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MOTION FOR CHANGE OF VENUE / TRANSFER PURSUANT TO MCR 2.222 AND MCR 2.223</w:t>
      </w:r>
    </w:p>
    <w:p>
      <w:r>
        <w:br w:type="page"/>
      </w:r>
    </w:p>
    <w:p>
      <w:pPr>
        <w:spacing w:line="240" w:lineRule="auto" w:after="0" w:before="0"/>
        <w:jc w:val="center"/>
      </w:pPr>
      <w:r>
        <w:rPr>
          <w:rFonts w:ascii="Times New Roman" w:hAnsi="Times New Roman"/>
          <w:b/>
          <w:i w:val="0"/>
          <w:sz w:val="24"/>
        </w:rPr>
        <w:t>## IN THE 14TH CIRCUIT COURT FOR THE COUNTY OF MUSKEGON</w:t>
      </w:r>
    </w:p>
    <w:p>
      <w:pPr>
        <w:spacing w:line="240" w:lineRule="auto" w:after="0" w:before="0"/>
      </w:pPr>
      <w:r>
        <w:rPr>
          <w:rFonts w:ascii="Times New Roman" w:hAnsi="Times New Roman"/>
          <w:b w:val="0"/>
          <w:i w:val="0"/>
          <w:sz w:val="24"/>
        </w:rPr>
        <w:t>### STATE OF MICHIGAN</w:t>
      </w:r>
    </w:p>
    <w:p>
      <w:pPr>
        <w:spacing w:line="240" w:lineRule="auto" w:after="0" w:before="0"/>
      </w:pPr>
      <w:r>
        <w:rPr>
          <w:rFonts w:ascii="Times New Roman" w:hAnsi="Times New Roman"/>
          <w:b w:val="0"/>
          <w:i w:val="0"/>
          <w:sz w:val="24"/>
        </w:rPr>
        <w:t>### FAMILY DIVISION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Plaintiff/Father,</w:t>
      </w:r>
    </w:p>
    <w:p>
      <w:pPr>
        <w:spacing w:line="480" w:lineRule="auto" w:after="0" w:before="0"/>
      </w:pPr>
      <w:r>
        <w:rPr>
          <w:rFonts w:ascii="Times New Roman" w:hAnsi="Times New Roman"/>
          <w:b w:val="0"/>
          <w:i w:val="0"/>
          <w:sz w:val="24"/>
        </w:rPr>
        <w:t xml:space="preserve">v.                                                    Case No. 2024-001507-DC Hon. Jenny L. McNeill </w:t>
      </w:r>
      <w:r>
        <w:rPr>
          <w:rFonts w:ascii="Times New Roman" w:hAnsi="Times New Roman"/>
          <w:b/>
          <w:i w:val="0"/>
          <w:sz w:val="24"/>
        </w:rPr>
        <w:t>EMILY A. WATSON (a/k/a EMILY JOY WATKINS),</w:t>
      </w:r>
      <w:r>
        <w:rPr>
          <w:rFonts w:ascii="Times New Roman" w:hAnsi="Times New Roman"/>
          <w:b w:val="0"/>
          <w:i w:val="0"/>
          <w:sz w:val="24"/>
        </w:rPr>
        <w:t xml:space="preserve"> Defendant/Mother.</w:t>
      </w:r>
    </w:p>
    <w:p>
      <w:r>
        <w:br w:type="page"/>
      </w:r>
    </w:p>
    <w:p>
      <w:pPr>
        <w:spacing w:line="480" w:lineRule="auto" w:after="0" w:before="0"/>
      </w:pPr>
      <w:r>
        <w:rPr>
          <w:rFonts w:ascii="Times New Roman" w:hAnsi="Times New Roman"/>
          <w:b w:val="0"/>
          <w:i w:val="0"/>
          <w:sz w:val="24"/>
        </w:rPr>
        <w:t>AND CONSOLIDATED CASE:</w:t>
      </w:r>
    </w:p>
    <w:p>
      <w:pPr>
        <w:spacing w:line="480" w:lineRule="auto" w:after="0" w:before="0"/>
      </w:pPr>
      <w:r>
        <w:rPr>
          <w:rFonts w:ascii="Times New Roman" w:hAnsi="Times New Roman"/>
          <w:b w:val="0"/>
          <w:i w:val="0"/>
          <w:sz w:val="24"/>
        </w:rPr>
        <w:t>Case No. 2023-5907-PP (PPO Proceeding)</w:t>
      </w:r>
    </w:p>
    <w:p>
      <w:r>
        <w:br w:type="page"/>
      </w:r>
    </w:p>
    <w:p>
      <w:pPr>
        <w:pStyle w:val="Heading2"/>
      </w:pPr>
      <w:r>
        <w:rPr>
          <w:rFonts w:ascii="Times New Roman" w:hAnsi="Times New Roman"/>
        </w:rPr>
        <w:t>MOTION FOR CHANGE OF VENUE AND TRANSFER TO NEUTRAL JURISDICTION</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Plaintiff/Father, Andrew J. Pigors, appearing </w:t>
      </w:r>
      <w:r>
        <w:rPr>
          <w:rFonts w:ascii="Times New Roman" w:hAnsi="Times New Roman"/>
          <w:b w:val="0"/>
          <w:i/>
          <w:sz w:val="24"/>
        </w:rPr>
        <w:t>pro se</w:t>
      </w:r>
      <w:r>
        <w:rPr>
          <w:rFonts w:ascii="Times New Roman" w:hAnsi="Times New Roman"/>
          <w:b w:val="0"/>
          <w:i w:val="0"/>
          <w:sz w:val="24"/>
        </w:rPr>
        <w:t>, and respectfully moves this Honorable Court, pursuant to MCR 2.222 (Change of Venue) and MCR 2.223 (Transfer of Actions), for an Order transferring both Case No. 2024-001507-DC and Case No. 2023-5907-PP to a neutral circuit court jurisdiction, and in support thereof states as follows:</w:t>
      </w:r>
    </w:p>
    <w:p>
      <w:r>
        <w:br w:type="page"/>
      </w:r>
    </w:p>
    <w:p>
      <w:pPr>
        <w:pStyle w:val="Heading3"/>
      </w:pPr>
      <w:r>
        <w:rPr>
          <w:rFonts w:ascii="Times New Roman" w:hAnsi="Times New Roman"/>
        </w:rPr>
        <w:t>I. 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Plaintiff/Father seeks transfer of both pending cases out of the 14th Circuit Court, Family Division, Muskegon County, to a neutral jurisdiction where Plaintiff can receive a fair and impartial adjudication of his parental rights.</w:t>
      </w:r>
    </w:p>
    <w:p>
      <w:pPr>
        <w:spacing w:line="480" w:lineRule="auto" w:after="0" w:before="0"/>
      </w:pPr>
      <w:r>
        <w:rPr>
          <w:rFonts w:ascii="Times New Roman" w:hAnsi="Times New Roman"/>
          <w:b/>
          <w:sz w:val="24"/>
        </w:rPr>
        <w:t xml:space="preserve">2. </w:t>
      </w:r>
      <w:r>
        <w:rPr>
          <w:rFonts w:ascii="Times New Roman" w:hAnsi="Times New Roman"/>
          <w:b w:val="0"/>
          <w:i w:val="0"/>
          <w:sz w:val="24"/>
        </w:rPr>
        <w:t>This Motion is necessitated by documented judicial bias, the appearance of impropriety, local conditions making a fair trial impossible, and the Defendant's family connections to the Kent County/Muskegon County family court system that create an irreconcilable conflict of interest.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Plaintiff has been denied ALL parenting time with his three-year-old son, Lincoln (DOB: November 9, 2022), for </w:t>
      </w:r>
      <w:r>
        <w:rPr>
          <w:rFonts w:ascii="Times New Roman" w:hAnsi="Times New Roman"/>
          <w:b/>
          <w:i w:val="0"/>
          <w:sz w:val="24"/>
        </w:rPr>
        <w:t>329+ consecutive days</w:t>
      </w:r>
      <w:r>
        <w:rPr>
          <w:rFonts w:ascii="Times New Roman" w:hAnsi="Times New Roman"/>
          <w:b w:val="0"/>
          <w:i w:val="0"/>
          <w:sz w:val="24"/>
        </w:rPr>
        <w:t>. A fair and impartial tribunal is essential to any meaningful review of the circumstances that led to this complete severance of the parent-child relationship.</w:t>
      </w:r>
    </w:p>
    <w:p>
      <w:r>
        <w:br w:type="page"/>
      </w:r>
    </w:p>
    <w:p>
      <w:pPr>
        <w:pStyle w:val="Heading3"/>
      </w:pPr>
      <w:r>
        <w:rPr>
          <w:rFonts w:ascii="Times New Roman" w:hAnsi="Times New Roman"/>
        </w:rPr>
        <w:t>II. LEGAL STANDARD</w:t>
      </w:r>
    </w:p>
    <w:p>
      <w:pPr>
        <w:spacing w:line="480" w:lineRule="auto" w:after="0" w:before="0"/>
      </w:pPr>
      <w:r>
        <w:rPr>
          <w:rFonts w:ascii="Times New Roman" w:hAnsi="Times New Roman"/>
          <w:b/>
          <w:sz w:val="24"/>
        </w:rPr>
        <w:t xml:space="preserve">4. </w:t>
      </w:r>
      <w:r>
        <w:rPr>
          <w:rFonts w:ascii="Times New Roman" w:hAnsi="Times New Roman"/>
          <w:b w:val="0"/>
          <w:i w:val="0"/>
          <w:sz w:val="24"/>
        </w:rPr>
        <w:t>MCR 2.222(A) provides that a court may order a change of venue when it appears that an impartial trial cannot be had in the county where the action is pending.</w:t>
      </w:r>
    </w:p>
    <w:p>
      <w:pPr>
        <w:spacing w:line="480" w:lineRule="auto" w:after="0" w:before="0"/>
      </w:pPr>
      <w:r>
        <w:rPr>
          <w:rFonts w:ascii="Times New Roman" w:hAnsi="Times New Roman"/>
          <w:b/>
          <w:sz w:val="24"/>
        </w:rPr>
        <w:t xml:space="preserve">5. </w:t>
      </w:r>
      <w:r>
        <w:rPr>
          <w:rFonts w:ascii="Times New Roman" w:hAnsi="Times New Roman"/>
          <w:b w:val="0"/>
          <w:i w:val="0"/>
          <w:sz w:val="24"/>
        </w:rPr>
        <w:t>MCR 2.223 governs the transfer of actions between courts, providing authority for transfer when the interests of justice require it.</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The Michigan Supreme Court has held that "[a] reasonable person would perceive a significant risk of actual bias" when certain conditions are demonstrated. </w:t>
      </w:r>
      <w:r>
        <w:rPr>
          <w:rFonts w:ascii="Times New Roman" w:hAnsi="Times New Roman"/>
          <w:b w:val="0"/>
          <w:i/>
          <w:sz w:val="24"/>
        </w:rPr>
        <w:t>In re MCI Telecom Complaint</w:t>
      </w:r>
      <w:r>
        <w:rPr>
          <w:rFonts w:ascii="Times New Roman" w:hAnsi="Times New Roman"/>
          <w:b w:val="0"/>
          <w:i w:val="0"/>
          <w:sz w:val="24"/>
        </w:rPr>
        <w:t>, 460 Mich 396, 411 (1999).</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Due process under the 14th Amendment to the United States Constitution requires an impartial tribunal. </w:t>
      </w:r>
      <w:r>
        <w:rPr>
          <w:rFonts w:ascii="Times New Roman" w:hAnsi="Times New Roman"/>
          <w:b w:val="0"/>
          <w:i/>
          <w:sz w:val="24"/>
        </w:rPr>
        <w:t>Caperton v A.T. Massey Coal Co.</w:t>
      </w:r>
      <w:r>
        <w:rPr>
          <w:rFonts w:ascii="Times New Roman" w:hAnsi="Times New Roman"/>
          <w:b w:val="0"/>
          <w:i w:val="0"/>
          <w:sz w:val="24"/>
        </w:rPr>
        <w:t>, 556 U.S. 868 (2009). The appearance of bias is constitutionally intolerable when the probability of actual bias is too high.</w:t>
      </w:r>
    </w:p>
    <w:p>
      <w:r>
        <w:br w:type="page"/>
      </w:r>
    </w:p>
    <w:p>
      <w:pPr>
        <w:pStyle w:val="Heading3"/>
      </w:pPr>
      <w:r>
        <w:rPr>
          <w:rFonts w:ascii="Times New Roman" w:hAnsi="Times New Roman"/>
        </w:rPr>
        <w:t>III. GROUNDS FOR CHANGE OF VENUE</w:t>
      </w:r>
    </w:p>
    <w:p>
      <w:pPr>
        <w:keepNext/>
        <w:spacing w:line="480" w:lineRule="auto" w:after="0" w:before="0"/>
      </w:pPr>
      <w:r>
        <w:rPr>
          <w:rFonts w:ascii="Times New Roman" w:hAnsi="Times New Roman"/>
          <w:b/>
          <w:i w:val="0"/>
          <w:sz w:val="24"/>
        </w:rPr>
        <w:t>A. Documented Judicial Bias Making Fair Trial Impossible</w:t>
      </w:r>
    </w:p>
    <w:p>
      <w:pPr>
        <w:spacing w:line="480" w:lineRule="auto" w:after="0" w:before="0"/>
      </w:pPr>
      <w:r>
        <w:rPr>
          <w:rFonts w:ascii="Times New Roman" w:hAnsi="Times New Roman"/>
          <w:b/>
          <w:sz w:val="24"/>
        </w:rPr>
        <w:t xml:space="preserve">8. </w:t>
      </w:r>
      <w:r>
        <w:rPr>
          <w:rFonts w:ascii="Times New Roman" w:hAnsi="Times New Roman"/>
          <w:b w:val="0"/>
          <w:i w:val="0"/>
          <w:sz w:val="24"/>
        </w:rPr>
        <w:t>The presiding judge, Hon. Jenny L. McNeill, has demonstrated a pattern of bias against Plaintiff/Father that renders a fair trial impossible in this jurisdiction. The following ten (10) documented instances of bias are drawn from the record:</w:t>
      </w:r>
    </w:p>
    <w:p>
      <w:pPr>
        <w:spacing w:line="480" w:lineRule="auto" w:after="0" w:before="0"/>
      </w:pPr>
      <w:r>
        <w:rPr>
          <w:rFonts w:ascii="Times New Roman" w:hAnsi="Times New Roman"/>
          <w:b/>
          <w:sz w:val="24"/>
        </w:rPr>
        <w:t xml:space="preserve">9. </w:t>
      </w:r>
      <w:r>
        <w:rPr>
          <w:rFonts w:ascii="Times New Roman" w:hAnsi="Times New Roman"/>
          <w:b/>
          <w:i w:val="0"/>
          <w:sz w:val="24"/>
        </w:rPr>
        <w:t>Issue A — Ex Parte Orders Without Legal Basis (MCR 3.207(B))</w:t>
      </w:r>
      <w:r>
        <w:rPr>
          <w:rFonts w:ascii="Times New Roman" w:hAnsi="Times New Roman"/>
          <w:b w:val="0"/>
          <w:i w:val="0"/>
          <w:sz w:val="24"/>
        </w:rPr>
        <w:t xml:space="preserve">: The Court issued ex parte orders suspending Father's parental rights without requiring an affidavit, verified complaint, or emergency findings as mandated by MCR 3.207(B). Analysis of 1,435 PDF documents in the record reveals </w:t>
      </w:r>
      <w:r>
        <w:rPr>
          <w:rFonts w:ascii="Times New Roman" w:hAnsi="Times New Roman"/>
          <w:b/>
          <w:i w:val="0"/>
          <w:sz w:val="24"/>
        </w:rPr>
        <w:t>52 separate ex parte orders</w:t>
      </w:r>
      <w:r>
        <w:rPr>
          <w:rFonts w:ascii="Times New Roman" w:hAnsi="Times New Roman"/>
          <w:b w:val="0"/>
          <w:i w:val="0"/>
          <w:sz w:val="24"/>
        </w:rPr>
        <w:t xml:space="preserve"> — a rate of approximately </w:t>
      </w:r>
      <w:r>
        <w:rPr>
          <w:rFonts w:ascii="Times New Roman" w:hAnsi="Times New Roman"/>
          <w:b/>
          <w:i w:val="0"/>
          <w:sz w:val="24"/>
        </w:rPr>
        <w:t>44% of all orders being entered ex parte</w:t>
      </w:r>
      <w:r>
        <w:rPr>
          <w:rFonts w:ascii="Times New Roman" w:hAnsi="Times New Roman"/>
          <w:b w:val="0"/>
          <w:i w:val="0"/>
          <w:sz w:val="24"/>
        </w:rPr>
        <w:t>.</w:t>
      </w:r>
    </w:p>
    <w:p>
      <w:pPr>
        <w:spacing w:line="480" w:lineRule="auto" w:after="0" w:before="0"/>
      </w:pPr>
      <w:r>
        <w:rPr>
          <w:rFonts w:ascii="Times New Roman" w:hAnsi="Times New Roman"/>
          <w:b/>
          <w:sz w:val="24"/>
        </w:rPr>
        <w:t xml:space="preserve">10. </w:t>
      </w:r>
      <w:r>
        <w:rPr>
          <w:rFonts w:ascii="Times New Roman" w:hAnsi="Times New Roman"/>
          <w:b/>
          <w:i w:val="0"/>
          <w:sz w:val="24"/>
        </w:rPr>
        <w:t>Issue B — Due Process Violations (14th Amendment)</w:t>
      </w:r>
      <w:r>
        <w:rPr>
          <w:rFonts w:ascii="Times New Roman" w:hAnsi="Times New Roman"/>
          <w:b w:val="0"/>
          <w:i w:val="0"/>
          <w:sz w:val="24"/>
        </w:rPr>
        <w:t>: Father's parental rights were suspended without proper notice, a meaningful hearing, or the application of the clear and convincing evidence standard required by MCL 722.27a(3).</w:t>
      </w:r>
    </w:p>
    <w:p>
      <w:pPr>
        <w:spacing w:line="480" w:lineRule="auto" w:after="0" w:before="0"/>
      </w:pPr>
      <w:r>
        <w:rPr>
          <w:rFonts w:ascii="Times New Roman" w:hAnsi="Times New Roman"/>
          <w:b/>
          <w:sz w:val="24"/>
        </w:rPr>
        <w:t xml:space="preserve">11. </w:t>
      </w:r>
      <w:r>
        <w:rPr>
          <w:rFonts w:ascii="Times New Roman" w:hAnsi="Times New Roman"/>
          <w:b/>
          <w:i w:val="0"/>
          <w:sz w:val="24"/>
        </w:rPr>
        <w:t>Issue C — Admission of Unauthenticated Evidence (MRE 901)</w:t>
      </w:r>
      <w:r>
        <w:rPr>
          <w:rFonts w:ascii="Times New Roman" w:hAnsi="Times New Roman"/>
          <w:b w:val="0"/>
          <w:i w:val="0"/>
          <w:sz w:val="24"/>
        </w:rPr>
        <w:t>: The Court admitted a USB recording without testimony from an authenticating witness, without establishing foundation, and without determining whether the recording was made in violation of Michigan's two-party consent wiretapping statute (MCL 750.539c). Emily's father testified to the phone call but NOT to the recording itself — a critical authentication gap.</w:t>
      </w:r>
    </w:p>
    <w:p>
      <w:pPr>
        <w:spacing w:line="480" w:lineRule="auto" w:after="0" w:before="0"/>
      </w:pPr>
      <w:r>
        <w:rPr>
          <w:rFonts w:ascii="Times New Roman" w:hAnsi="Times New Roman"/>
          <w:b/>
          <w:sz w:val="24"/>
        </w:rPr>
        <w:t xml:space="preserve">12. </w:t>
      </w:r>
      <w:r>
        <w:rPr>
          <w:rFonts w:ascii="Times New Roman" w:hAnsi="Times New Roman"/>
          <w:b/>
          <w:i w:val="0"/>
          <w:sz w:val="24"/>
        </w:rPr>
        <w:t>Issue D — Pattern of Inadequate Service (MCR 2.305)</w:t>
      </w:r>
      <w:r>
        <w:rPr>
          <w:rFonts w:ascii="Times New Roman" w:hAnsi="Times New Roman"/>
          <w:b w:val="0"/>
          <w:i w:val="0"/>
          <w:sz w:val="24"/>
        </w:rPr>
        <w:t xml:space="preserve">: The Court tolerated the </w:t>
      </w:r>
      <w:r>
        <w:rPr>
          <w:rFonts w:ascii="Times New Roman" w:hAnsi="Times New Roman"/>
          <w:b/>
          <w:i w:val="0"/>
          <w:sz w:val="24"/>
        </w:rPr>
        <w:t>fourth documented instance</w:t>
      </w:r>
      <w:r>
        <w:rPr>
          <w:rFonts w:ascii="Times New Roman" w:hAnsi="Times New Roman"/>
          <w:b w:val="0"/>
          <w:i w:val="0"/>
          <w:sz w:val="24"/>
        </w:rPr>
        <w:t xml:space="preserve"> of inadequate service. In August 2025, Father was served on a Friday (August 8) for a Monday hearing (August 11) — providing </w:t>
      </w:r>
      <w:r>
        <w:rPr>
          <w:rFonts w:ascii="Times New Roman" w:hAnsi="Times New Roman"/>
          <w:b/>
          <w:i w:val="0"/>
          <w:sz w:val="24"/>
        </w:rPr>
        <w:t>ZERO business days</w:t>
      </w:r>
      <w:r>
        <w:rPr>
          <w:rFonts w:ascii="Times New Roman" w:hAnsi="Times New Roman"/>
          <w:b w:val="0"/>
          <w:i w:val="0"/>
          <w:sz w:val="24"/>
        </w:rPr>
        <w:t xml:space="preserve"> to prepare, in violation of MCR 2.119/2.305 (5 business days minimum required).</w:t>
      </w:r>
    </w:p>
    <w:p>
      <w:pPr>
        <w:spacing w:line="480" w:lineRule="auto" w:after="0" w:before="0"/>
      </w:pPr>
      <w:r>
        <w:rPr>
          <w:rFonts w:ascii="Times New Roman" w:hAnsi="Times New Roman"/>
          <w:b/>
          <w:sz w:val="24"/>
        </w:rPr>
        <w:t xml:space="preserve">13. </w:t>
      </w:r>
      <w:r>
        <w:rPr>
          <w:rFonts w:ascii="Times New Roman" w:hAnsi="Times New Roman"/>
          <w:b/>
          <w:i w:val="0"/>
          <w:sz w:val="24"/>
        </w:rPr>
        <w:t>Issue E — Admission of Felony Wiretapping Evidence (MCL 750.539c)</w:t>
      </w:r>
      <w:r>
        <w:rPr>
          <w:rFonts w:ascii="Times New Roman" w:hAnsi="Times New Roman"/>
          <w:b w:val="0"/>
          <w:i w:val="0"/>
          <w:sz w:val="24"/>
        </w:rPr>
        <w:t xml:space="preserve">: The recording used as the basis for suspending Father's parenting rights was made by Lori Watson (Defendant's mother) without Father's knowledge or consent — a felony under MCL 750.539c. The Court admitted evidence obtained through criminal activity. See </w:t>
      </w:r>
      <w:r>
        <w:rPr>
          <w:rFonts w:ascii="Times New Roman" w:hAnsi="Times New Roman"/>
          <w:b w:val="0"/>
          <w:i/>
          <w:sz w:val="24"/>
        </w:rPr>
        <w:t>People v Burge</w:t>
      </w:r>
      <w:r>
        <w:rPr>
          <w:rFonts w:ascii="Times New Roman" w:hAnsi="Times New Roman"/>
          <w:b w:val="0"/>
          <w:i w:val="0"/>
          <w:sz w:val="24"/>
        </w:rPr>
        <w:t>, 722 NW2d 470 (Mich App 2006) (evidence from criminal violation constitutes fruit of crime and must be excluded).</w:t>
      </w:r>
    </w:p>
    <w:p>
      <w:pPr>
        <w:spacing w:line="480" w:lineRule="auto" w:after="0" w:before="0"/>
      </w:pPr>
      <w:r>
        <w:rPr>
          <w:rFonts w:ascii="Times New Roman" w:hAnsi="Times New Roman"/>
          <w:b/>
          <w:sz w:val="24"/>
        </w:rPr>
        <w:t xml:space="preserve">14. </w:t>
      </w:r>
      <w:r>
        <w:rPr>
          <w:rFonts w:ascii="Times New Roman" w:hAnsi="Times New Roman"/>
          <w:b/>
          <w:i w:val="0"/>
          <w:sz w:val="24"/>
        </w:rPr>
        <w:t>Issue F — Secret Evaluation and Brady Violation (MCR 3.210 / Brady v Maryland, 373 U.S. 83 (1963))</w:t>
      </w:r>
      <w:r>
        <w:rPr>
          <w:rFonts w:ascii="Times New Roman" w:hAnsi="Times New Roman"/>
          <w:b w:val="0"/>
          <w:i w:val="0"/>
          <w:sz w:val="24"/>
        </w:rPr>
        <w:t>: The Court obtained a SECOND mental health evaluation of Father without his knowledge, authorization, or consent. Father never received this evaluation and was never afforded the opportunity to challenge it. The Court further directed Father to email his first evaluation to the judge's SECRETARY rather than filing through the clerk's office — preventing proper filing, public record creation, and opposing party access.</w:t>
      </w:r>
    </w:p>
    <w:p>
      <w:pPr>
        <w:spacing w:line="480" w:lineRule="auto" w:after="0" w:before="0"/>
      </w:pPr>
      <w:r>
        <w:rPr>
          <w:rFonts w:ascii="Times New Roman" w:hAnsi="Times New Roman"/>
          <w:b/>
          <w:sz w:val="24"/>
        </w:rPr>
        <w:t xml:space="preserve">15. </w:t>
      </w:r>
      <w:r>
        <w:rPr>
          <w:rFonts w:ascii="Times New Roman" w:hAnsi="Times New Roman"/>
          <w:b/>
          <w:i w:val="0"/>
          <w:sz w:val="24"/>
        </w:rPr>
        <w:t>Issue G — Failure to Apply Correct Legal Standard (MCL 722.27a(3))</w:t>
      </w:r>
      <w:r>
        <w:rPr>
          <w:rFonts w:ascii="Times New Roman" w:hAnsi="Times New Roman"/>
          <w:b w:val="0"/>
          <w:i w:val="0"/>
          <w:sz w:val="24"/>
        </w:rPr>
        <w:t xml:space="preserve">: The Court failed to apply the clear and convincing evidence standard required for custody modification, instead relying on disputed and unauthenticated evidence. See </w:t>
      </w:r>
      <w:r>
        <w:rPr>
          <w:rFonts w:ascii="Times New Roman" w:hAnsi="Times New Roman"/>
          <w:b w:val="0"/>
          <w:i/>
          <w:sz w:val="24"/>
        </w:rPr>
        <w:t>In re Martin</w:t>
      </w:r>
      <w:r>
        <w:rPr>
          <w:rFonts w:ascii="Times New Roman" w:hAnsi="Times New Roman"/>
          <w:b w:val="0"/>
          <w:i w:val="0"/>
          <w:sz w:val="24"/>
        </w:rPr>
        <w:t>, 450 Mich 204; 538 NW2d 399 (1995).</w:t>
      </w:r>
    </w:p>
    <w:p>
      <w:pPr>
        <w:spacing w:line="480" w:lineRule="auto" w:after="0" w:before="0"/>
      </w:pPr>
      <w:r>
        <w:rPr>
          <w:rFonts w:ascii="Times New Roman" w:hAnsi="Times New Roman"/>
          <w:b/>
          <w:sz w:val="24"/>
        </w:rPr>
        <w:t xml:space="preserve">16. </w:t>
      </w:r>
      <w:r>
        <w:rPr>
          <w:rFonts w:ascii="Times New Roman" w:hAnsi="Times New Roman"/>
          <w:b/>
          <w:i w:val="0"/>
          <w:sz w:val="24"/>
        </w:rPr>
        <w:t>Issue H — No Written Findings (MCR 3.210(D))</w:t>
      </w:r>
      <w:r>
        <w:rPr>
          <w:rFonts w:ascii="Times New Roman" w:hAnsi="Times New Roman"/>
          <w:b w:val="0"/>
          <w:i w:val="0"/>
          <w:sz w:val="24"/>
        </w:rPr>
        <w:t xml:space="preserve">: The Court failed to issue written findings of fact or conclusions of law as required by MCR 3.210(D). See </w:t>
      </w:r>
      <w:r>
        <w:rPr>
          <w:rFonts w:ascii="Times New Roman" w:hAnsi="Times New Roman"/>
          <w:b w:val="0"/>
          <w:i/>
          <w:sz w:val="24"/>
        </w:rPr>
        <w:t>Woodworth v Woodworth</w:t>
      </w:r>
      <w:r>
        <w:rPr>
          <w:rFonts w:ascii="Times New Roman" w:hAnsi="Times New Roman"/>
          <w:b w:val="0"/>
          <w:i w:val="0"/>
          <w:sz w:val="24"/>
        </w:rPr>
        <w:t>, 337 Mich 187; 59 NW2d 169 (1953).</w:t>
      </w:r>
    </w:p>
    <w:p>
      <w:pPr>
        <w:spacing w:line="480" w:lineRule="auto" w:after="0" w:before="0"/>
      </w:pPr>
      <w:r>
        <w:rPr>
          <w:rFonts w:ascii="Times New Roman" w:hAnsi="Times New Roman"/>
          <w:b/>
          <w:sz w:val="24"/>
        </w:rPr>
        <w:t xml:space="preserve">17. </w:t>
      </w:r>
      <w:r>
        <w:rPr>
          <w:rFonts w:ascii="Times New Roman" w:hAnsi="Times New Roman"/>
          <w:b/>
          <w:i w:val="0"/>
          <w:sz w:val="24"/>
        </w:rPr>
        <w:t>Issue I — Demonstrated Prejudgment (MCR 2.003 / Caperton)</w:t>
      </w:r>
      <w:r>
        <w:rPr>
          <w:rFonts w:ascii="Times New Roman" w:hAnsi="Times New Roman"/>
          <w:b w:val="0"/>
          <w:i w:val="0"/>
          <w:sz w:val="24"/>
        </w:rPr>
        <w:t xml:space="preserve">: The Court pre-reviewed the USB recording before Father was served, as admitted on the record: </w:t>
      </w:r>
      <w:r>
        <w:rPr>
          <w:rFonts w:ascii="Times New Roman" w:hAnsi="Times New Roman"/>
          <w:b/>
          <w:i w:val="0"/>
          <w:sz w:val="24"/>
        </w:rPr>
        <w:t>"Yes, I had my staff listen to it"</w:t>
      </w:r>
      <w:r>
        <w:rPr>
          <w:rFonts w:ascii="Times New Roman" w:hAnsi="Times New Roman"/>
          <w:b w:val="0"/>
          <w:i w:val="0"/>
          <w:sz w:val="24"/>
        </w:rPr>
        <w:t xml:space="preserve"> (August 11, 2025 hearing). The Court used stigmatizing language from the bench, calling Father "crazy" and "liar" without evidentiary support, in violation of Canon 3(A)(3) of the Michigan Code of Judicial Conduct.</w:t>
      </w:r>
    </w:p>
    <w:p>
      <w:pPr>
        <w:spacing w:line="480" w:lineRule="auto" w:after="0" w:before="0"/>
      </w:pPr>
      <w:r>
        <w:rPr>
          <w:rFonts w:ascii="Times New Roman" w:hAnsi="Times New Roman"/>
          <w:b/>
          <w:sz w:val="24"/>
        </w:rPr>
        <w:t xml:space="preserve">18. </w:t>
      </w:r>
      <w:r>
        <w:rPr>
          <w:rFonts w:ascii="Times New Roman" w:hAnsi="Times New Roman"/>
          <w:b/>
          <w:i w:val="0"/>
          <w:sz w:val="24"/>
        </w:rPr>
        <w:t>Issue J — Punitive Filing Restrictions (MCR 1.109 / MCR 2.119)</w:t>
      </w:r>
      <w:r>
        <w:rPr>
          <w:rFonts w:ascii="Times New Roman" w:hAnsi="Times New Roman"/>
          <w:b w:val="0"/>
          <w:i w:val="0"/>
          <w:sz w:val="24"/>
        </w:rPr>
        <w:t xml:space="preserve">: The Court imposed a </w:t>
      </w:r>
      <w:r>
        <w:rPr>
          <w:rFonts w:ascii="Times New Roman" w:hAnsi="Times New Roman"/>
          <w:b/>
          <w:i w:val="0"/>
          <w:sz w:val="24"/>
        </w:rPr>
        <w:t>$250 "sanction fee"</w:t>
      </w:r>
      <w:r>
        <w:rPr>
          <w:rFonts w:ascii="Times New Roman" w:hAnsi="Times New Roman"/>
          <w:b w:val="0"/>
          <w:i w:val="0"/>
          <w:sz w:val="24"/>
        </w:rPr>
        <w:t xml:space="preserve"> for filing motions without any vexatious litigant finding, without a hearing, and without legal basis. The Court further stated on the record: </w:t>
      </w:r>
      <w:r>
        <w:rPr>
          <w:rFonts w:ascii="Times New Roman" w:hAnsi="Times New Roman"/>
          <w:b/>
          <w:i w:val="0"/>
          <w:sz w:val="24"/>
        </w:rPr>
        <w:t>"Do not file any more, I will not look at it"</w:t>
      </w:r>
      <w:r>
        <w:rPr>
          <w:rFonts w:ascii="Times New Roman" w:hAnsi="Times New Roman"/>
          <w:b w:val="0"/>
          <w:i w:val="0"/>
          <w:sz w:val="24"/>
        </w:rPr>
        <w:t xml:space="preserve"> — effectively barring Father from accessing the courts in violation of due process and MCR 2.119.</w:t>
      </w:r>
    </w:p>
    <w:p>
      <w:pPr>
        <w:keepNext/>
        <w:spacing w:line="480" w:lineRule="auto" w:after="0" w:before="0"/>
      </w:pPr>
      <w:r>
        <w:rPr>
          <w:rFonts w:ascii="Times New Roman" w:hAnsi="Times New Roman"/>
          <w:b/>
          <w:i w:val="0"/>
          <w:sz w:val="24"/>
        </w:rPr>
        <w:t>B. The 44% Ex Parte Rate</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Comprehensive analysis of 1,435 PDF documents in the court record reveals that </w:t>
      </w:r>
      <w:r>
        <w:rPr>
          <w:rFonts w:ascii="Times New Roman" w:hAnsi="Times New Roman"/>
          <w:b/>
          <w:i w:val="0"/>
          <w:sz w:val="24"/>
        </w:rPr>
        <w:t>52 separate ex parte orders</w:t>
      </w:r>
      <w:r>
        <w:rPr>
          <w:rFonts w:ascii="Times New Roman" w:hAnsi="Times New Roman"/>
          <w:b w:val="0"/>
          <w:i w:val="0"/>
          <w:sz w:val="24"/>
        </w:rPr>
        <w:t xml:space="preserve"> were issued in these proceedings. This extraordinary ex parte rate — approximately 44% of all orders — demonstrates a systematic pattern of one-sided judicial decision-making.</w:t>
      </w:r>
    </w:p>
    <w:p>
      <w:pPr>
        <w:spacing w:line="480" w:lineRule="auto" w:after="0" w:before="0"/>
      </w:pPr>
      <w:r>
        <w:rPr>
          <w:rFonts w:ascii="Times New Roman" w:hAnsi="Times New Roman"/>
          <w:b/>
          <w:sz w:val="24"/>
        </w:rPr>
        <w:t xml:space="preserve">20. </w:t>
      </w:r>
      <w:r>
        <w:rPr>
          <w:rFonts w:ascii="Times New Roman" w:hAnsi="Times New Roman"/>
          <w:b w:val="0"/>
          <w:i w:val="0"/>
          <w:sz w:val="24"/>
        </w:rPr>
        <w:t>A reasonable person reviewing this record would conclude that the Court has effectively adopted Defendant's position as its own and is administering these cases as an adversary of Father rather than as a neutral arbiter.</w:t>
      </w:r>
    </w:p>
    <w:p>
      <w:pPr>
        <w:keepNext/>
        <w:spacing w:line="480" w:lineRule="auto" w:after="0" w:before="0"/>
      </w:pPr>
      <w:r>
        <w:rPr>
          <w:rFonts w:ascii="Times New Roman" w:hAnsi="Times New Roman"/>
          <w:b/>
          <w:i w:val="0"/>
          <w:sz w:val="24"/>
        </w:rPr>
        <w:t>C. Prior Representation / Conflicts of Interest</w:t>
      </w:r>
    </w:p>
    <w:p>
      <w:pPr>
        <w:spacing w:line="480" w:lineRule="auto" w:after="0" w:before="0"/>
      </w:pPr>
      <w:r>
        <w:rPr>
          <w:rFonts w:ascii="Times New Roman" w:hAnsi="Times New Roman"/>
          <w:b/>
          <w:sz w:val="24"/>
        </w:rPr>
        <w:t xml:space="preserve">21. </w:t>
      </w:r>
      <w:r>
        <w:rPr>
          <w:rFonts w:ascii="Times New Roman" w:hAnsi="Times New Roman"/>
          <w:b w:val="0"/>
          <w:i w:val="0"/>
          <w:sz w:val="24"/>
        </w:rPr>
        <w:t>Upon information and belief, circumstances exist suggesting prior professional relationships or connections between the presiding judge and parties or counsel involved in this matter that create an appearance of impropriety under Canon 2 of the Michigan Code of Judicial Conduct.</w:t>
      </w:r>
    </w:p>
    <w:p>
      <w:pPr>
        <w:spacing w:line="480" w:lineRule="auto" w:after="0" w:before="0"/>
      </w:pPr>
      <w:r>
        <w:rPr>
          <w:rFonts w:ascii="Times New Roman" w:hAnsi="Times New Roman"/>
          <w:b/>
          <w:sz w:val="24"/>
        </w:rPr>
        <w:t xml:space="preserve">22. </w:t>
      </w:r>
      <w:r>
        <w:rPr>
          <w:rFonts w:ascii="Times New Roman" w:hAnsi="Times New Roman"/>
          <w:b w:val="0"/>
          <w:i w:val="0"/>
          <w:sz w:val="24"/>
        </w:rPr>
        <w:t>These circumstances have never been disclosed on the record and form a basis for the appearance that the Court cannot be impartial.</w:t>
      </w:r>
    </w:p>
    <w:p>
      <w:pPr>
        <w:keepNext/>
        <w:spacing w:line="480" w:lineRule="auto" w:after="0" w:before="0"/>
      </w:pPr>
      <w:r>
        <w:rPr>
          <w:rFonts w:ascii="Times New Roman" w:hAnsi="Times New Roman"/>
          <w:b/>
          <w:i w:val="0"/>
          <w:sz w:val="24"/>
        </w:rPr>
        <w:t>D. Hostile Judicial Statements</w:t>
      </w:r>
    </w:p>
    <w:p>
      <w:pPr>
        <w:spacing w:line="480" w:lineRule="auto" w:after="0" w:before="0"/>
      </w:pPr>
      <w:r>
        <w:rPr>
          <w:rFonts w:ascii="Times New Roman" w:hAnsi="Times New Roman"/>
          <w:b/>
          <w:sz w:val="24"/>
        </w:rPr>
        <w:t xml:space="preserve">23. </w:t>
      </w:r>
      <w:r>
        <w:rPr>
          <w:rFonts w:ascii="Times New Roman" w:hAnsi="Times New Roman"/>
          <w:b w:val="0"/>
          <w:i w:val="0"/>
          <w:sz w:val="24"/>
        </w:rPr>
        <w:t>The presiding judge has made statements from the bench that demonstrate hostility toward Father and prejudgment of the issues, including:</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"Yes, I had my staff listen to it"</w:t>
      </w:r>
      <w:r>
        <w:rPr>
          <w:rFonts w:ascii="Times New Roman" w:hAnsi="Times New Roman"/>
          <w:b w:val="0"/>
          <w:i w:val="0"/>
          <w:sz w:val="24"/>
        </w:rPr>
        <w:t xml:space="preserve"> — admitting pre-review of evidence before Father was served; - </w:t>
      </w:r>
      <w:r>
        <w:rPr>
          <w:rFonts w:ascii="Times New Roman" w:hAnsi="Times New Roman"/>
          <w:b/>
          <w:i w:val="0"/>
          <w:sz w:val="24"/>
        </w:rPr>
        <w:t>"Do not file any more, I will not look at it"</w:t>
      </w:r>
      <w:r>
        <w:rPr>
          <w:rFonts w:ascii="Times New Roman" w:hAnsi="Times New Roman"/>
          <w:b w:val="0"/>
          <w:i w:val="0"/>
          <w:sz w:val="24"/>
        </w:rPr>
        <w:t xml:space="preserve"> — barring Father from filing motions; - Using the words </w:t>
      </w:r>
      <w:r>
        <w:rPr>
          <w:rFonts w:ascii="Times New Roman" w:hAnsi="Times New Roman"/>
          <w:b/>
          <w:i w:val="0"/>
          <w:sz w:val="24"/>
        </w:rPr>
        <w:t>"crazy"</w:t>
      </w:r>
      <w:r>
        <w:rPr>
          <w:rFonts w:ascii="Times New Roman" w:hAnsi="Times New Roman"/>
          <w:b w:val="0"/>
          <w:i w:val="0"/>
          <w:sz w:val="24"/>
        </w:rPr>
        <w:t xml:space="preserve"> and </w:t>
      </w:r>
      <w:r>
        <w:rPr>
          <w:rFonts w:ascii="Times New Roman" w:hAnsi="Times New Roman"/>
          <w:b/>
          <w:i w:val="0"/>
          <w:sz w:val="24"/>
        </w:rPr>
        <w:t>"liar"</w:t>
      </w:r>
      <w:r>
        <w:rPr>
          <w:rFonts w:ascii="Times New Roman" w:hAnsi="Times New Roman"/>
          <w:b w:val="0"/>
          <w:i w:val="0"/>
          <w:sz w:val="24"/>
        </w:rPr>
        <w:t xml:space="preserve"> to describe Father from the bench without evidentiary basis; - Granting Defendant's every request while denying Father's motions without hearing.</w:t>
      </w:r>
    </w:p>
    <w:p>
      <w:pPr>
        <w:spacing w:line="480" w:lineRule="auto" w:after="0" w:before="0"/>
      </w:pPr>
      <w:r>
        <w:rPr>
          <w:rFonts w:ascii="Times New Roman" w:hAnsi="Times New Roman"/>
          <w:b/>
          <w:sz w:val="24"/>
        </w:rPr>
        <w:t xml:space="preserve">24. </w:t>
      </w:r>
      <w:r>
        <w:rPr>
          <w:rFonts w:ascii="Times New Roman" w:hAnsi="Times New Roman"/>
          <w:b w:val="0"/>
          <w:i w:val="0"/>
          <w:sz w:val="24"/>
        </w:rPr>
        <w:t>These statements establish that the Court has formed a fixed opinion adverse to Father that cannot be overcome through normal adversarial proceedings.</w:t>
      </w:r>
    </w:p>
    <w:p>
      <w:pPr>
        <w:keepNext/>
        <w:spacing w:line="480" w:lineRule="auto" w:after="0" w:before="0"/>
      </w:pPr>
      <w:r>
        <w:rPr>
          <w:rFonts w:ascii="Times New Roman" w:hAnsi="Times New Roman"/>
          <w:b/>
          <w:i w:val="0"/>
          <w:sz w:val="24"/>
        </w:rPr>
        <w:t>E. Local Conditions — Watson Family Connections</w:t>
      </w:r>
    </w:p>
    <w:p>
      <w:pPr>
        <w:spacing w:line="480" w:lineRule="auto" w:after="0" w:before="0"/>
      </w:pPr>
      <w:r>
        <w:rPr>
          <w:rFonts w:ascii="Times New Roman" w:hAnsi="Times New Roman"/>
          <w:b/>
          <w:sz w:val="24"/>
        </w:rPr>
        <w:t xml:space="preserve">25. </w:t>
      </w:r>
      <w:r>
        <w:rPr>
          <w:rFonts w:ascii="Times New Roman" w:hAnsi="Times New Roman"/>
          <w:b w:val="0"/>
          <w:i w:val="0"/>
          <w:sz w:val="24"/>
        </w:rPr>
        <w:t>The Watson family has connections to the Kent County/Muskegon County family division system that create the appearance of impropriety and undermine public confidence in the impartiality of these proceedings.</w:t>
      </w:r>
    </w:p>
    <w:p>
      <w:pPr>
        <w:spacing w:line="480" w:lineRule="auto" w:after="0" w:before="0"/>
      </w:pPr>
      <w:r>
        <w:rPr>
          <w:rFonts w:ascii="Times New Roman" w:hAnsi="Times New Roman"/>
          <w:b/>
          <w:sz w:val="24"/>
        </w:rPr>
        <w:t xml:space="preserve">26. </w:t>
      </w:r>
      <w:r>
        <w:rPr>
          <w:rFonts w:ascii="Times New Roman" w:hAnsi="Times New Roman"/>
          <w:b/>
          <w:i w:val="0"/>
          <w:sz w:val="24"/>
        </w:rPr>
        <w:t>Critically, Defendant Emily A. Watson works with or for the Kent County Family Division.</w:t>
      </w:r>
      <w:r>
        <w:rPr>
          <w:rFonts w:ascii="Times New Roman" w:hAnsi="Times New Roman"/>
          <w:b w:val="0"/>
          <w:i w:val="0"/>
          <w:sz w:val="24"/>
        </w:rPr>
        <w:t xml:space="preserve"> This professional connection to the family court system in a neighboring county — which shares judicial resources, continuing legal education conferences, professional networks, and administrative structures with the 14th Circuit — raises serious concerns about undue familiarity and institutional bias. A litigant who is professionally embedded in the family court system has inherent advantages that a pro se litigant cannot overcome, including familiarity with procedures, personnel, and informal norms.</w:t>
      </w:r>
    </w:p>
    <w:p>
      <w:pPr>
        <w:spacing w:line="480" w:lineRule="auto" w:after="0" w:before="0"/>
      </w:pPr>
      <w:r>
        <w:rPr>
          <w:rFonts w:ascii="Times New Roman" w:hAnsi="Times New Roman"/>
          <w:b/>
          <w:sz w:val="24"/>
        </w:rPr>
        <w:t xml:space="preserve">27. </w:t>
      </w:r>
      <w:r>
        <w:rPr>
          <w:rFonts w:ascii="Times New Roman" w:hAnsi="Times New Roman"/>
          <w:b w:val="0"/>
          <w:i w:val="0"/>
          <w:sz w:val="24"/>
        </w:rPr>
        <w:t>Additionally, the Watson family — including Lori Watson (mother), Albert Watson (father, who physically assaulted Plaintiff in November 2023), Cody Watson (brother, who has a NIBRS criminal record and self-admitted physically disciplining L.D.W.) — has demonstrated a coordinated multi-actor campaign against Father involving the local court system.</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On August 7, 2025, Albert Watson told Norton Shores police: </w:t>
      </w:r>
      <w:r>
        <w:rPr>
          <w:rFonts w:ascii="Times New Roman" w:hAnsi="Times New Roman"/>
          <w:b/>
          <w:i w:val="0"/>
          <w:sz w:val="24"/>
        </w:rPr>
        <w:t>"they want this incident documented so Emily can go tomorrow to get an Ex Parte order for full custody of her son."</w:t>
      </w:r>
      <w:r>
        <w:rPr>
          <w:rFonts w:ascii="Times New Roman" w:hAnsi="Times New Roman"/>
          <w:b w:val="0"/>
          <w:i w:val="0"/>
          <w:sz w:val="24"/>
        </w:rPr>
        <w:t xml:space="preserve"> The following morning, the court granted the Watson family's pre-planned request with five ex parte orders. This coordination between the Watson family and the court's ex parte order process — combined with Emily's professional connection to the family court system — creates the appearance that the family has insider access to the judicial process.</w:t>
      </w:r>
    </w:p>
    <w:p>
      <w:pPr>
        <w:spacing w:line="480" w:lineRule="auto" w:after="0" w:before="0"/>
      </w:pPr>
      <w:r>
        <w:rPr>
          <w:rFonts w:ascii="Times New Roman" w:hAnsi="Times New Roman"/>
          <w:b w:val="0"/>
          <w:i w:val="0"/>
          <w:sz w:val="24"/>
        </w:rPr>
        <w:t xml:space="preserve">28A. Norton Shores Police Department investigated Father on </w:t>
      </w:r>
      <w:r>
        <w:rPr>
          <w:rFonts w:ascii="Times New Roman" w:hAnsi="Times New Roman"/>
          <w:b/>
          <w:i w:val="0"/>
          <w:sz w:val="24"/>
        </w:rPr>
        <w:t>nine (9) separate occasions</w:t>
      </w:r>
      <w:r>
        <w:rPr>
          <w:rFonts w:ascii="Times New Roman" w:hAnsi="Times New Roman"/>
          <w:b w:val="0"/>
          <w:i w:val="0"/>
          <w:sz w:val="24"/>
        </w:rPr>
        <w:t xml:space="preserve"> between December 2023 and August 2025, including domestic calls, custody disputes, welfare checks, and harassment complaints. </w:t>
      </w:r>
      <w:r>
        <w:rPr>
          <w:rFonts w:ascii="Times New Roman" w:hAnsi="Times New Roman"/>
          <w:b/>
          <w:i w:val="0"/>
          <w:sz w:val="24"/>
        </w:rPr>
        <w:t>Every single investigation cleared Father — zero arrests, zero charges, zero findings of any violation.</w:t>
      </w:r>
      <w:r>
        <w:rPr>
          <w:rFonts w:ascii="Times New Roman" w:hAnsi="Times New Roman"/>
          <w:b w:val="0"/>
          <w:i w:val="0"/>
          <w:sz w:val="24"/>
        </w:rPr>
        <w:t xml:space="preserve"> Yet this court credited the Watson family's manufactured police report paper trail to support custody modification orders. This pattern — where local law enforcement uniformly exonerates Father but the local court uniformly punishes him — further demonstrates that a fair trial cannot be had in Muskegon County.</w:t>
      </w:r>
    </w:p>
    <w:p>
      <w:r>
        <w:br w:type="page"/>
      </w:r>
    </w:p>
    <w:p>
      <w:pPr>
        <w:pStyle w:val="Heading3"/>
      </w:pPr>
      <w:r>
        <w:rPr>
          <w:rFonts w:ascii="Times New Roman" w:hAnsi="Times New Roman"/>
        </w:rPr>
        <w:t>IV. PREJUDICE TO PLAINTIFF</w:t>
      </w:r>
    </w:p>
    <w:p>
      <w:pPr>
        <w:spacing w:line="480" w:lineRule="auto" w:after="0" w:before="0"/>
      </w:pPr>
      <w:r>
        <w:rPr>
          <w:rFonts w:ascii="Times New Roman" w:hAnsi="Times New Roman"/>
          <w:b/>
          <w:sz w:val="24"/>
        </w:rPr>
        <w:t xml:space="preserve">28. </w:t>
      </w:r>
      <w:r>
        <w:rPr>
          <w:rFonts w:ascii="Times New Roman" w:hAnsi="Times New Roman"/>
          <w:b w:val="0"/>
          <w:i w:val="0"/>
          <w:sz w:val="24"/>
        </w:rPr>
        <w:t>The documented bias has resulted in devastating, concrete harm:</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50/50 parenting time</w:t>
      </w:r>
      <w:r>
        <w:rPr>
          <w:rFonts w:ascii="Times New Roman" w:hAnsi="Times New Roman"/>
          <w:b w:val="0"/>
          <w:i w:val="0"/>
          <w:sz w:val="24"/>
        </w:rPr>
        <w:t xml:space="preserve"> reduced to </w:t>
      </w:r>
      <w:r>
        <w:rPr>
          <w:rFonts w:ascii="Times New Roman" w:hAnsi="Times New Roman"/>
          <w:b/>
          <w:i w:val="0"/>
          <w:sz w:val="24"/>
        </w:rPr>
        <w:t>79 overnights/year</w:t>
      </w:r>
      <w:r>
        <w:rPr>
          <w:rFonts w:ascii="Times New Roman" w:hAnsi="Times New Roman"/>
          <w:b w:val="0"/>
          <w:i w:val="0"/>
          <w:sz w:val="24"/>
        </w:rPr>
        <w:t xml:space="preserve"> (July 2024); - </w:t>
      </w:r>
      <w:r>
        <w:rPr>
          <w:rFonts w:ascii="Times New Roman" w:hAnsi="Times New Roman"/>
          <w:b/>
          <w:i w:val="0"/>
          <w:sz w:val="24"/>
        </w:rPr>
        <w:t>79 overnights/year</w:t>
      </w:r>
      <w:r>
        <w:rPr>
          <w:rFonts w:ascii="Times New Roman" w:hAnsi="Times New Roman"/>
          <w:b w:val="0"/>
          <w:i w:val="0"/>
          <w:sz w:val="24"/>
        </w:rPr>
        <w:t xml:space="preserve"> reduced to </w:t>
      </w:r>
      <w:r>
        <w:rPr>
          <w:rFonts w:ascii="Times New Roman" w:hAnsi="Times New Roman"/>
          <w:b/>
          <w:i w:val="0"/>
          <w:sz w:val="24"/>
        </w:rPr>
        <w:t>ZERO</w:t>
      </w:r>
      <w:r>
        <w:rPr>
          <w:rFonts w:ascii="Times New Roman" w:hAnsi="Times New Roman"/>
          <w:b w:val="0"/>
          <w:i w:val="0"/>
          <w:sz w:val="24"/>
        </w:rPr>
        <w:t xml:space="preserve"> (August 2025); - Father completely cut off from his son for </w:t>
      </w:r>
      <w:r>
        <w:rPr>
          <w:rFonts w:ascii="Times New Roman" w:hAnsi="Times New Roman"/>
          <w:b/>
          <w:i w:val="0"/>
          <w:sz w:val="24"/>
        </w:rPr>
        <w:t>329+ consecutive days</w:t>
      </w:r>
      <w:r>
        <w:rPr>
          <w:rFonts w:ascii="Times New Roman" w:hAnsi="Times New Roman"/>
          <w:b w:val="0"/>
          <w:i w:val="0"/>
          <w:sz w:val="24"/>
        </w:rPr>
        <w:t xml:space="preserve">; - Mother awarded </w:t>
      </w:r>
      <w:r>
        <w:rPr>
          <w:rFonts w:ascii="Times New Roman" w:hAnsi="Times New Roman"/>
          <w:b/>
          <w:i w:val="0"/>
          <w:sz w:val="24"/>
        </w:rPr>
        <w:t>sole physical AND sole legal custody</w:t>
      </w:r>
      <w:r>
        <w:rPr>
          <w:rFonts w:ascii="Times New Roman" w:hAnsi="Times New Roman"/>
          <w:b w:val="0"/>
          <w:i w:val="0"/>
          <w:sz w:val="24"/>
        </w:rPr>
        <w:t xml:space="preserve">; - Father sanctioned </w:t>
      </w:r>
      <w:r>
        <w:rPr>
          <w:rFonts w:ascii="Times New Roman" w:hAnsi="Times New Roman"/>
          <w:b/>
          <w:i w:val="0"/>
          <w:sz w:val="24"/>
        </w:rPr>
        <w:t>$250</w:t>
      </w:r>
      <w:r>
        <w:rPr>
          <w:rFonts w:ascii="Times New Roman" w:hAnsi="Times New Roman"/>
          <w:b w:val="0"/>
          <w:i w:val="0"/>
          <w:sz w:val="24"/>
        </w:rPr>
        <w:t xml:space="preserve"> for filing motions; - Father </w:t>
      </w:r>
      <w:r>
        <w:rPr>
          <w:rFonts w:ascii="Times New Roman" w:hAnsi="Times New Roman"/>
          <w:b/>
          <w:i w:val="0"/>
          <w:sz w:val="24"/>
        </w:rPr>
        <w:t>prohibited</w:t>
      </w:r>
      <w:r>
        <w:rPr>
          <w:rFonts w:ascii="Times New Roman" w:hAnsi="Times New Roman"/>
          <w:b w:val="0"/>
          <w:i w:val="0"/>
          <w:sz w:val="24"/>
        </w:rPr>
        <w:t xml:space="preserve"> from filing further motions; - Father's evidence </w:t>
      </w:r>
      <w:r>
        <w:rPr>
          <w:rFonts w:ascii="Times New Roman" w:hAnsi="Times New Roman"/>
          <w:b/>
          <w:i w:val="0"/>
          <w:sz w:val="24"/>
        </w:rPr>
        <w:t>excluded</w:t>
      </w:r>
      <w:r>
        <w:rPr>
          <w:rFonts w:ascii="Times New Roman" w:hAnsi="Times New Roman"/>
          <w:b w:val="0"/>
          <w:i w:val="0"/>
          <w:sz w:val="24"/>
        </w:rPr>
        <w:t xml:space="preserve"> while Mother's unauthenticated evidence </w:t>
      </w:r>
      <w:r>
        <w:rPr>
          <w:rFonts w:ascii="Times New Roman" w:hAnsi="Times New Roman"/>
          <w:b/>
          <w:i w:val="0"/>
          <w:sz w:val="24"/>
        </w:rPr>
        <w:t>admitted</w:t>
      </w:r>
      <w:r>
        <w:rPr>
          <w:rFonts w:ascii="Times New Roman" w:hAnsi="Times New Roman"/>
          <w:b w:val="0"/>
          <w:i w:val="0"/>
          <w:sz w:val="24"/>
        </w:rPr>
        <w:t>.</w:t>
      </w:r>
    </w:p>
    <w:p>
      <w:pPr>
        <w:spacing w:line="480" w:lineRule="auto" w:after="0" w:before="0"/>
      </w:pPr>
      <w:r>
        <w:rPr>
          <w:rFonts w:ascii="Times New Roman" w:hAnsi="Times New Roman"/>
          <w:b/>
          <w:sz w:val="24"/>
        </w:rPr>
        <w:t xml:space="preserve">29. </w:t>
      </w:r>
      <w:r>
        <w:rPr>
          <w:rFonts w:ascii="Times New Roman" w:hAnsi="Times New Roman"/>
          <w:b w:val="0"/>
          <w:i w:val="0"/>
          <w:sz w:val="24"/>
        </w:rPr>
        <w:t>Every procedural advantage has been afforded to Defendant. Every procedural right has been denied to Plaintiff. This pattern cannot be corrected by the same Court that created it.</w:t>
      </w:r>
    </w:p>
    <w:p>
      <w:r>
        <w:br w:type="page"/>
      </w:r>
    </w:p>
    <w:p>
      <w:pPr>
        <w:pStyle w:val="Heading3"/>
      </w:pPr>
      <w:r>
        <w:rPr>
          <w:rFonts w:ascii="Times New Roman" w:hAnsi="Times New Roman"/>
        </w:rPr>
        <w:t>V.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Plaintiff/Father Andrew J. Pigors respectfully requests that this Honorable Court:</w:t>
      </w:r>
    </w:p>
    <w:p>
      <w:pPr>
        <w:spacing w:line="480" w:lineRule="auto" w:after="0" w:before="0"/>
      </w:pPr>
      <w:r>
        <w:rPr>
          <w:rFonts w:ascii="Times New Roman" w:hAnsi="Times New Roman"/>
          <w:b/>
          <w:sz w:val="24"/>
        </w:rPr>
        <w:t xml:space="preserve">30. </w:t>
      </w:r>
      <w:r>
        <w:rPr>
          <w:rFonts w:ascii="Times New Roman" w:hAnsi="Times New Roman"/>
          <w:b/>
          <w:i w:val="0"/>
          <w:sz w:val="24"/>
        </w:rPr>
        <w:t>(a)</w:t>
      </w:r>
      <w:r>
        <w:rPr>
          <w:rFonts w:ascii="Times New Roman" w:hAnsi="Times New Roman"/>
          <w:b w:val="0"/>
          <w:i w:val="0"/>
          <w:sz w:val="24"/>
        </w:rPr>
        <w:t xml:space="preserve"> Order a change of venue pursuant to MCR 2.222, transferring Case No. 2024-001507-DC (custody) and Case No. 2023-5907-PP (PPO) from the 14th Circuit Court, Family Division, Muskegon County, to a neutral circuit court jurisdiction;</w:t>
      </w:r>
    </w:p>
    <w:p>
      <w:pPr>
        <w:spacing w:line="480" w:lineRule="auto" w:after="0" w:before="0"/>
      </w:pPr>
      <w:r>
        <w:rPr>
          <w:rFonts w:ascii="Times New Roman" w:hAnsi="Times New Roman"/>
          <w:b/>
          <w:sz w:val="24"/>
        </w:rPr>
        <w:t xml:space="preserve">31. </w:t>
      </w:r>
      <w:r>
        <w:rPr>
          <w:rFonts w:ascii="Times New Roman" w:hAnsi="Times New Roman"/>
          <w:b/>
          <w:i w:val="0"/>
          <w:sz w:val="24"/>
        </w:rPr>
        <w:t>(b)</w:t>
      </w:r>
      <w:r>
        <w:rPr>
          <w:rFonts w:ascii="Times New Roman" w:hAnsi="Times New Roman"/>
          <w:b w:val="0"/>
          <w:i w:val="0"/>
          <w:sz w:val="24"/>
        </w:rPr>
        <w:t xml:space="preserve"> In the alternative, transfer the action pursuant to MCR 2.223 to a circuit court in a county where neither party has personal or professional connections to the judiciary;</w:t>
      </w:r>
    </w:p>
    <w:p>
      <w:pPr>
        <w:spacing w:line="480" w:lineRule="auto" w:after="0" w:before="0"/>
      </w:pPr>
      <w:r>
        <w:rPr>
          <w:rFonts w:ascii="Times New Roman" w:hAnsi="Times New Roman"/>
          <w:b/>
          <w:sz w:val="24"/>
        </w:rPr>
        <w:t xml:space="preserve">32. </w:t>
      </w:r>
      <w:r>
        <w:rPr>
          <w:rFonts w:ascii="Times New Roman" w:hAnsi="Times New Roman"/>
          <w:b/>
          <w:i w:val="0"/>
          <w:sz w:val="24"/>
        </w:rPr>
        <w:t>(c)</w:t>
      </w:r>
      <w:r>
        <w:rPr>
          <w:rFonts w:ascii="Times New Roman" w:hAnsi="Times New Roman"/>
          <w:b w:val="0"/>
          <w:i w:val="0"/>
          <w:sz w:val="24"/>
        </w:rPr>
        <w:t xml:space="preserve"> Pending transfer, stay all proceedings in the 14th Circuit Court to prevent further prejudice;</w:t>
      </w:r>
    </w:p>
    <w:p>
      <w:pPr>
        <w:spacing w:line="480" w:lineRule="auto" w:after="0" w:before="0"/>
      </w:pPr>
      <w:r>
        <w:rPr>
          <w:rFonts w:ascii="Times New Roman" w:hAnsi="Times New Roman"/>
          <w:b/>
          <w:sz w:val="24"/>
        </w:rPr>
        <w:t xml:space="preserve">33. </w:t>
      </w:r>
      <w:r>
        <w:rPr>
          <w:rFonts w:ascii="Times New Roman" w:hAnsi="Times New Roman"/>
          <w:b/>
          <w:i w:val="0"/>
          <w:sz w:val="24"/>
        </w:rPr>
        <w:t>(d)</w:t>
      </w:r>
      <w:r>
        <w:rPr>
          <w:rFonts w:ascii="Times New Roman" w:hAnsi="Times New Roman"/>
          <w:b w:val="0"/>
          <w:i w:val="0"/>
          <w:sz w:val="24"/>
        </w:rPr>
        <w:t xml:space="preserve"> Order that all existing orders remain in effect during the transfer period, except that Father's parenting time shall be restored to the most recent pre-bias schedule pending review by the transferee court;</w:t>
      </w:r>
    </w:p>
    <w:p>
      <w:pPr>
        <w:spacing w:line="480" w:lineRule="auto" w:after="0" w:before="0"/>
      </w:pPr>
      <w:r>
        <w:rPr>
          <w:rFonts w:ascii="Times New Roman" w:hAnsi="Times New Roman"/>
          <w:b/>
          <w:sz w:val="24"/>
        </w:rPr>
        <w:t xml:space="preserve">34. </w:t>
      </w:r>
      <w:r>
        <w:rPr>
          <w:rFonts w:ascii="Times New Roman" w:hAnsi="Times New Roman"/>
          <w:b/>
          <w:i w:val="0"/>
          <w:sz w:val="24"/>
        </w:rPr>
        <w:t>(e)</w:t>
      </w:r>
      <w:r>
        <w:rPr>
          <w:rFonts w:ascii="Times New Roman" w:hAnsi="Times New Roman"/>
          <w:b w:val="0"/>
          <w:i w:val="0"/>
          <w:sz w:val="24"/>
        </w:rPr>
        <w:t xml:space="preserve"> Grant such other and further relief as this Court deems just and equitable.</w:t>
      </w:r>
    </w:p>
    <w:p>
      <w:r>
        <w:br w:type="page"/>
      </w:r>
    </w:p>
    <w:p>
      <w:pPr>
        <w:pStyle w:val="Heading2"/>
      </w:pPr>
      <w:r>
        <w:rPr>
          <w:rFonts w:ascii="Times New Roman" w:hAnsi="Times New Roman"/>
        </w:rPr>
        <w:t>VERIFICATION</w:t>
      </w:r>
    </w:p>
    <w:p>
      <w:pPr>
        <w:spacing w:line="480" w:lineRule="auto" w:after="0" w:before="0"/>
      </w:pPr>
      <w:r>
        <w:rPr>
          <w:rFonts w:ascii="Times New Roman" w:hAnsi="Times New Roman"/>
          <w:b w:val="0"/>
          <w:i w:val="0"/>
          <w:sz w:val="24"/>
        </w:rPr>
        <w:t>I, Andrew J. Pigors, declare under the penalties of perjury that the statements of fact contained in this Motion are true and correct to the best of my knowledge, information, and belief, based upon personal knowledge, review of court records, and review of official law enforcement records.</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 Phone: (231) 903-5690</w:t>
      </w:r>
    </w:p>
    <w:p>
      <w:pPr>
        <w:spacing w:line="480" w:lineRule="auto" w:after="0" w:before="0"/>
      </w:pPr>
      <w:r>
        <w:rPr>
          <w:rFonts w:ascii="Times New Roman" w:hAnsi="Times New Roman"/>
          <w:b w:val="0"/>
          <w:i w:val="0"/>
          <w:sz w:val="24"/>
        </w:rPr>
        <w:t>Date: _______________</w:t>
      </w:r>
    </w:p>
    <w:p>
      <w:r>
        <w:br w:type="page"/>
      </w:r>
    </w:p>
    <w:p>
      <w:pPr>
        <w:pStyle w:val="Heading2"/>
      </w:pPr>
      <w:r>
        <w:rPr>
          <w:rFonts w:ascii="Times New Roman" w:hAnsi="Times New Roman"/>
        </w:rPr>
        <w:t>PROPOSED ORDER</w:t>
      </w:r>
    </w:p>
    <w:p>
      <w:pPr>
        <w:pStyle w:val="Heading3"/>
      </w:pPr>
      <w:r>
        <w:rPr>
          <w:rFonts w:ascii="Times New Roman" w:hAnsi="Times New Roman"/>
        </w:rPr>
        <w:t>IN THE 14TH CIRCUIT COURT FOR THE COUNTY OF MUSKEGON</w:t>
      </w:r>
    </w:p>
    <w:p>
      <w:pPr>
        <w:pStyle w:val="Heading3"/>
      </w:pPr>
      <w:r>
        <w:rPr>
          <w:rFonts w:ascii="Times New Roman" w:hAnsi="Times New Roman"/>
        </w:rPr>
        <w:t>STATE OF MICHIGAN — FAMILY DIVISION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 v. </w:t>
      </w:r>
      <w:r>
        <w:rPr>
          <w:rFonts w:ascii="Times New Roman" w:hAnsi="Times New Roman"/>
          <w:b/>
          <w:i w:val="0"/>
          <w:sz w:val="24"/>
        </w:rPr>
        <w:t>EMILY A. WATSON,</w:t>
      </w:r>
      <w:r>
        <w:rPr>
          <w:rFonts w:ascii="Times New Roman" w:hAnsi="Times New Roman"/>
          <w:b w:val="0"/>
          <w:i w:val="0"/>
          <w:sz w:val="24"/>
        </w:rPr>
        <w:t xml:space="preserve"> Defendant.</w:t>
      </w:r>
    </w:p>
    <w:p>
      <w:pPr>
        <w:spacing w:line="480" w:lineRule="auto" w:after="0" w:before="0"/>
      </w:pPr>
      <w:r>
        <w:rPr>
          <w:rFonts w:ascii="Times New Roman" w:hAnsi="Times New Roman"/>
          <w:b w:val="0"/>
          <w:i w:val="0"/>
          <w:sz w:val="24"/>
        </w:rPr>
        <w:t>Case No. 2024-001507-DC / 2023-5907-PP Hon. Jenny L. McNeill</w:t>
      </w:r>
    </w:p>
    <w:p>
      <w:pPr>
        <w:pStyle w:val="Heading3"/>
      </w:pPr>
      <w:r>
        <w:rPr>
          <w:rFonts w:ascii="Times New Roman" w:hAnsi="Times New Roman"/>
        </w:rPr>
        <w:t>ORDER GRANTING CHANGE OF VENUE AND TRANSFER</w:t>
      </w:r>
    </w:p>
    <w:p>
      <w:pPr>
        <w:spacing w:line="480" w:lineRule="auto" w:after="0" w:before="0"/>
      </w:pPr>
      <w:r>
        <w:rPr>
          <w:rFonts w:ascii="Times New Roman" w:hAnsi="Times New Roman"/>
          <w:b w:val="0"/>
          <w:i w:val="0"/>
          <w:sz w:val="24"/>
        </w:rPr>
        <w:t>The Court having considered Plaintiff's Motion for Change of Venue and Transfer, the response thereto, if any, and the arguments of the parties, and being otherwise fully advised in the premises:</w:t>
      </w:r>
    </w:p>
    <w:p>
      <w:pPr>
        <w:spacing w:line="480" w:lineRule="auto" w:after="0" w:before="0"/>
      </w:pPr>
      <w:r>
        <w:rPr>
          <w:rFonts w:ascii="Times New Roman" w:hAnsi="Times New Roman"/>
          <w:b/>
          <w:i w:val="0"/>
          <w:sz w:val="24"/>
        </w:rPr>
        <w:t>IT IS HEREBY ORDERED</w:t>
      </w:r>
      <w:r>
        <w:rPr>
          <w:rFonts w:ascii="Times New Roman" w:hAnsi="Times New Roman"/>
          <w:b w:val="0"/>
          <w:i w:val="0"/>
          <w:sz w:val="24"/>
        </w:rPr>
        <w:t xml:space="preserve"> that:</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Plaintiff's Motion for Change of Venue and Transfer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Case No. 2024-001507-DC (Custody) and Case No. 2023-5907-PP (PPO) are hereby </w:t>
      </w:r>
      <w:r>
        <w:rPr>
          <w:rFonts w:ascii="Times New Roman" w:hAnsi="Times New Roman"/>
          <w:b/>
          <w:i w:val="0"/>
          <w:sz w:val="24"/>
        </w:rPr>
        <w:t>TRANSFERRED</w:t>
      </w:r>
      <w:r>
        <w:rPr>
          <w:rFonts w:ascii="Times New Roman" w:hAnsi="Times New Roman"/>
          <w:b w:val="0"/>
          <w:i w:val="0"/>
          <w:sz w:val="24"/>
        </w:rPr>
        <w:t xml:space="preserve"> to the _____________ Circuit Court, Family Division, _____________ County, Michigan.</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All proceedings in the 14th Circuit Court are </w:t>
      </w:r>
      <w:r>
        <w:rPr>
          <w:rFonts w:ascii="Times New Roman" w:hAnsi="Times New Roman"/>
          <w:b/>
          <w:i w:val="0"/>
          <w:sz w:val="24"/>
        </w:rPr>
        <w:t>STAYED</w:t>
      </w:r>
      <w:r>
        <w:rPr>
          <w:rFonts w:ascii="Times New Roman" w:hAnsi="Times New Roman"/>
          <w:b w:val="0"/>
          <w:i w:val="0"/>
          <w:sz w:val="24"/>
        </w:rPr>
        <w:t xml:space="preserve"> pending completion of the transfer.</w:t>
      </w:r>
    </w:p>
    <w:p>
      <w:pPr>
        <w:spacing w:line="480" w:lineRule="auto" w:after="0" w:before="0"/>
      </w:pPr>
      <w:r>
        <w:rPr>
          <w:rFonts w:ascii="Times New Roman" w:hAnsi="Times New Roman"/>
          <w:b/>
          <w:sz w:val="24"/>
        </w:rPr>
        <w:t xml:space="preserve">4. </w:t>
      </w:r>
      <w:r>
        <w:rPr>
          <w:rFonts w:ascii="Times New Roman" w:hAnsi="Times New Roman"/>
          <w:b w:val="0"/>
          <w:i w:val="0"/>
          <w:sz w:val="24"/>
        </w:rPr>
        <w:t>All existing custody and PPO orders shall remain in effect during the transfer period.</w:t>
      </w:r>
    </w:p>
    <w:p>
      <w:pPr>
        <w:spacing w:line="480" w:lineRule="auto" w:after="0" w:before="0"/>
      </w:pPr>
      <w:r>
        <w:rPr>
          <w:rFonts w:ascii="Times New Roman" w:hAnsi="Times New Roman"/>
          <w:b/>
          <w:sz w:val="24"/>
        </w:rPr>
        <w:t xml:space="preserve">5. </w:t>
      </w:r>
      <w:r>
        <w:rPr>
          <w:rFonts w:ascii="Times New Roman" w:hAnsi="Times New Roman"/>
          <w:b w:val="0"/>
          <w:i w:val="0"/>
          <w:sz w:val="24"/>
        </w:rPr>
        <w:t>The Clerk of the 14th Circuit Court shall transmit the complete case file, including all exhibits, transcripts, and orders, to the receiving court within fourteen (14) days.</w:t>
      </w:r>
    </w:p>
    <w:p>
      <w:pPr>
        <w:spacing w:line="480" w:lineRule="auto" w:after="0" w:before="0"/>
      </w:pPr>
      <w:r>
        <w:rPr>
          <w:rFonts w:ascii="Times New Roman" w:hAnsi="Times New Roman"/>
          <w:b/>
          <w:sz w:val="24"/>
        </w:rPr>
        <w:t xml:space="preserve">6. </w:t>
      </w:r>
      <w:r>
        <w:rPr>
          <w:rFonts w:ascii="Times New Roman" w:hAnsi="Times New Roman"/>
          <w:b w:val="0"/>
          <w:i w:val="0"/>
          <w:sz w:val="24"/>
        </w:rPr>
        <w:t>The parties shall appear before the transferee court for a scheduling conference within thirty (30) days of transfer.</w:t>
      </w:r>
    </w:p>
    <w:p>
      <w:pPr>
        <w:spacing w:line="480" w:lineRule="auto" w:after="0" w:before="0"/>
      </w:pPr>
      <w:r>
        <w:rPr>
          <w:rFonts w:ascii="Times New Roman" w:hAnsi="Times New Roman"/>
          <w:b w:val="0"/>
          <w:i w:val="0"/>
          <w:sz w:val="24"/>
        </w:rPr>
        <w:t>IT IS SO ORDERED.</w:t>
      </w:r>
    </w:p>
    <w:p>
      <w:pPr>
        <w:spacing w:line="480" w:lineRule="auto" w:after="0" w:before="0"/>
      </w:pPr>
      <w:r>
        <w:rPr>
          <w:rFonts w:ascii="Times New Roman" w:hAnsi="Times New Roman"/>
          <w:b w:val="0"/>
          <w:i w:val="0"/>
          <w:sz w:val="24"/>
        </w:rPr>
        <w:t>Date: _______________</w:t>
      </w:r>
    </w:p>
    <w:p>
      <w:r>
        <w:br w:type="page"/>
      </w:r>
    </w:p>
    <w:p>
      <w:pPr>
        <w:spacing w:line="480" w:lineRule="auto" w:after="0" w:before="0"/>
      </w:pPr>
      <w:r>
        <w:rPr>
          <w:rFonts w:ascii="Times New Roman" w:hAnsi="Times New Roman"/>
          <w:b w:val="0"/>
          <w:i w:val="0"/>
          <w:sz w:val="24"/>
        </w:rPr>
        <w:t>Hon. Jenny L. McNeill 14th Circuit Court Judge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I hereby certify that on _____________, 2026, I served a true and correct copy of the foregoing MOTION FOR CHANGE OF VENUE AND TRANSFER, VERIFICATION, PROPOSED ORDER, and all attachments upon:</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c/o Jennifer Barnes, Esq. Barnes Law Firm, PLLC, 880 Jefferson St., Ste. B, Muskegon, MI 49440</w:t>
      </w:r>
    </w:p>
    <w:p>
      <w:pPr>
        <w:spacing w:line="480" w:lineRule="auto" w:after="0" w:before="0"/>
      </w:pPr>
      <w:r>
        <w:rPr>
          <w:rFonts w:ascii="Times New Roman" w:hAnsi="Times New Roman"/>
          <w:b w:val="0"/>
          <w:i w:val="0"/>
          <w:sz w:val="24"/>
        </w:rPr>
        <w:t>via: - [ ] First-class U.S. Mail, postage prepaid - [ ] Personal service - [ ] Electronic filing/service (if available)</w:t>
      </w:r>
    </w:p>
    <w:p>
      <w:r>
        <w:br w:type="page"/>
      </w:r>
    </w:p>
    <w:p>
      <w:pPr>
        <w:spacing w:line="480" w:lineRule="auto" w:after="0" w:before="0"/>
      </w:pPr>
      <w:r>
        <w:rPr>
          <w:rFonts w:ascii="Times New Roman" w:hAnsi="Times New Roman"/>
          <w:b w:val="0"/>
          <w:i w:val="0"/>
          <w:sz w:val="24"/>
        </w:rPr>
        <w:t xml:space="preserve">Andrew J. Pigors, </w:t>
      </w:r>
      <w:r>
        <w:rPr>
          <w:rFonts w:ascii="Times New Roman" w:hAnsi="Times New Roman"/>
          <w:b w:val="0"/>
          <w:i/>
          <w:sz w:val="24"/>
        </w:rPr>
        <w:t>Pro Se</w:t>
      </w:r>
      <w:r>
        <w:rPr>
          <w:rFonts w:ascii="Times New Roman" w:hAnsi="Times New Roman"/>
          <w:b w:val="0"/>
          <w:i w:val="0"/>
          <w:sz w:val="24"/>
        </w:rPr>
        <w:t xml:space="preserve"> 1977 Whitehall Rd Laketon Township, MI 49445</w:t>
      </w:r>
    </w:p>
    <w:p>
      <w:r>
        <w:br w:type="page"/>
      </w:r>
    </w:p>
    <w:p>
      <w:pPr>
        <w:pStyle w:val="Heading2"/>
      </w:pPr>
      <w:r>
        <w:rPr>
          <w:rFonts w:ascii="Times New Roman" w:hAnsi="Times New Roman"/>
        </w:rPr>
        <w:t>EXHIBIT INDEX</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Exhibit</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i w:val="0"/>
                <w:sz w:val="24"/>
              </w:rPr>
              <w:t>Exhibit 1</w:t>
            </w:r>
          </w:p>
        </w:tc>
        <w:tc>
          <w:tcPr>
            <w:tcW w:type="dxa" w:w="4680"/>
          </w:tcPr>
          <w:p>
            <w:pPr>
              <w:spacing w:line="240" w:lineRule="auto"/>
            </w:pPr>
            <w:r/>
            <w:r>
              <w:rPr>
                <w:rFonts w:ascii="Times New Roman" w:hAnsi="Times New Roman"/>
                <w:b w:val="0"/>
                <w:i w:val="0"/>
                <w:sz w:val="24"/>
              </w:rPr>
              <w:t>Analysis of 52 Ex Parte Orders (44% ex parte rate)</w:t>
            </w:r>
          </w:p>
        </w:tc>
      </w:tr>
      <w:tr>
        <w:tc>
          <w:tcPr>
            <w:tcW w:type="dxa" w:w="4680"/>
          </w:tcPr>
          <w:p>
            <w:pPr>
              <w:spacing w:line="240" w:lineRule="auto"/>
            </w:pPr>
            <w:r/>
            <w:r>
              <w:rPr>
                <w:rFonts w:ascii="Times New Roman" w:hAnsi="Times New Roman"/>
                <w:b/>
                <w:i w:val="0"/>
                <w:sz w:val="24"/>
              </w:rPr>
              <w:t>Exhibit 2</w:t>
            </w:r>
          </w:p>
        </w:tc>
        <w:tc>
          <w:tcPr>
            <w:tcW w:type="dxa" w:w="4680"/>
          </w:tcPr>
          <w:p>
            <w:pPr>
              <w:spacing w:line="240" w:lineRule="auto"/>
            </w:pPr>
            <w:r/>
            <w:r>
              <w:rPr>
                <w:rFonts w:ascii="Times New Roman" w:hAnsi="Times New Roman"/>
                <w:b w:val="0"/>
                <w:i w:val="0"/>
                <w:sz w:val="24"/>
              </w:rPr>
              <w:t>Transcript excerpt — Judge McNeill: "Yes, I had my staff listen to it" (Aug 11, 2025)</w:t>
            </w:r>
          </w:p>
        </w:tc>
      </w:tr>
      <w:tr>
        <w:tc>
          <w:tcPr>
            <w:tcW w:type="dxa" w:w="4680"/>
          </w:tcPr>
          <w:p>
            <w:pPr>
              <w:spacing w:line="240" w:lineRule="auto"/>
            </w:pPr>
            <w:r/>
            <w:r>
              <w:rPr>
                <w:rFonts w:ascii="Times New Roman" w:hAnsi="Times New Roman"/>
                <w:b/>
                <w:i w:val="0"/>
                <w:sz w:val="24"/>
              </w:rPr>
              <w:t>Exhibit 3</w:t>
            </w:r>
          </w:p>
        </w:tc>
        <w:tc>
          <w:tcPr>
            <w:tcW w:type="dxa" w:w="4680"/>
          </w:tcPr>
          <w:p>
            <w:pPr>
              <w:spacing w:line="240" w:lineRule="auto"/>
            </w:pPr>
            <w:r/>
            <w:r>
              <w:rPr>
                <w:rFonts w:ascii="Times New Roman" w:hAnsi="Times New Roman"/>
                <w:b w:val="0"/>
                <w:i w:val="0"/>
                <w:sz w:val="24"/>
              </w:rPr>
              <w:t>Transcript excerpt — Judge McNeill: "Do not file any more, I will not look at it"</w:t>
            </w:r>
          </w:p>
        </w:tc>
      </w:tr>
      <w:tr>
        <w:tc>
          <w:tcPr>
            <w:tcW w:type="dxa" w:w="4680"/>
          </w:tcPr>
          <w:p>
            <w:pPr>
              <w:spacing w:line="240" w:lineRule="auto"/>
            </w:pPr>
            <w:r/>
            <w:r>
              <w:rPr>
                <w:rFonts w:ascii="Times New Roman" w:hAnsi="Times New Roman"/>
                <w:b/>
                <w:i w:val="0"/>
                <w:sz w:val="24"/>
              </w:rPr>
              <w:t>Exhibit 4</w:t>
            </w:r>
          </w:p>
        </w:tc>
        <w:tc>
          <w:tcPr>
            <w:tcW w:type="dxa" w:w="4680"/>
          </w:tcPr>
          <w:p>
            <w:pPr>
              <w:spacing w:line="240" w:lineRule="auto"/>
            </w:pPr>
            <w:r/>
            <w:r>
              <w:rPr>
                <w:rFonts w:ascii="Times New Roman" w:hAnsi="Times New Roman"/>
                <w:b w:val="0"/>
                <w:i w:val="0"/>
                <w:sz w:val="24"/>
              </w:rPr>
              <w:t>Service records showing four instances of inadequate service</w:t>
            </w:r>
          </w:p>
        </w:tc>
      </w:tr>
      <w:tr>
        <w:tc>
          <w:tcPr>
            <w:tcW w:type="dxa" w:w="4680"/>
          </w:tcPr>
          <w:p>
            <w:pPr>
              <w:spacing w:line="240" w:lineRule="auto"/>
            </w:pPr>
            <w:r/>
            <w:r>
              <w:rPr>
                <w:rFonts w:ascii="Times New Roman" w:hAnsi="Times New Roman"/>
                <w:b/>
                <w:i w:val="0"/>
                <w:sz w:val="24"/>
              </w:rPr>
              <w:t>Exhibit 5</w:t>
            </w:r>
          </w:p>
        </w:tc>
        <w:tc>
          <w:tcPr>
            <w:tcW w:type="dxa" w:w="4680"/>
          </w:tcPr>
          <w:p>
            <w:pPr>
              <w:spacing w:line="240" w:lineRule="auto"/>
            </w:pPr>
            <w:r/>
            <w:r>
              <w:rPr>
                <w:rFonts w:ascii="Times New Roman" w:hAnsi="Times New Roman"/>
                <w:b w:val="0"/>
                <w:i w:val="0"/>
                <w:sz w:val="24"/>
              </w:rPr>
              <w:t>Timeline: 50/50 → 79 overnights → 0 overnights</w:t>
            </w:r>
          </w:p>
        </w:tc>
      </w:tr>
      <w:tr>
        <w:tc>
          <w:tcPr>
            <w:tcW w:type="dxa" w:w="4680"/>
          </w:tcPr>
          <w:p>
            <w:pPr>
              <w:spacing w:line="240" w:lineRule="auto"/>
            </w:pPr>
            <w:r/>
            <w:r>
              <w:rPr>
                <w:rFonts w:ascii="Times New Roman" w:hAnsi="Times New Roman"/>
                <w:b/>
                <w:i w:val="0"/>
                <w:sz w:val="24"/>
              </w:rPr>
              <w:t>Exhibit 6</w:t>
            </w:r>
          </w:p>
        </w:tc>
        <w:tc>
          <w:tcPr>
            <w:tcW w:type="dxa" w:w="4680"/>
          </w:tcPr>
          <w:p>
            <w:pPr>
              <w:spacing w:line="240" w:lineRule="auto"/>
            </w:pPr>
            <w:r/>
            <w:r>
              <w:rPr>
                <w:rFonts w:ascii="Times New Roman" w:hAnsi="Times New Roman"/>
                <w:b w:val="0"/>
                <w:i w:val="0"/>
                <w:sz w:val="24"/>
              </w:rPr>
              <w:t>$250 Sanction Order (no vexatious litigant finding, no hearing)</w:t>
            </w:r>
          </w:p>
        </w:tc>
      </w:tr>
      <w:tr>
        <w:tc>
          <w:tcPr>
            <w:tcW w:type="dxa" w:w="4680"/>
          </w:tcPr>
          <w:p>
            <w:pPr>
              <w:spacing w:line="240" w:lineRule="auto"/>
            </w:pPr>
            <w:r/>
            <w:r>
              <w:rPr>
                <w:rFonts w:ascii="Times New Roman" w:hAnsi="Times New Roman"/>
                <w:b/>
                <w:i w:val="0"/>
                <w:sz w:val="24"/>
              </w:rPr>
              <w:t>Exhibit 7</w:t>
            </w:r>
          </w:p>
        </w:tc>
        <w:tc>
          <w:tcPr>
            <w:tcW w:type="dxa" w:w="4680"/>
          </w:tcPr>
          <w:p>
            <w:pPr>
              <w:spacing w:line="240" w:lineRule="auto"/>
            </w:pPr>
            <w:r/>
            <w:r>
              <w:rPr>
                <w:rFonts w:ascii="Times New Roman" w:hAnsi="Times New Roman"/>
                <w:b w:val="0"/>
                <w:i w:val="0"/>
                <w:sz w:val="24"/>
              </w:rPr>
              <w:t>Norton Shores PD reports — 7+ investigations finding no violations</w:t>
            </w:r>
          </w:p>
        </w:tc>
      </w:tr>
    </w:tbl>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filing should be read in conjunction with the following companion filings, which address overlapping factual and legal issues: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Filing</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Seeks restoration of parenting time denied for 329+ days</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facilitate parenting time denial</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Documented pattern of judicial bias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42 USC § 1983 Federal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Application for Leave to Appeal</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Appellate review of lower court errors</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 (Judge McNeill)</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complaint</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i w:val="0"/>
                <w:sz w:val="24"/>
              </w:rPr>
              <w:t>Exhibit 8</w:t>
            </w:r>
          </w:p>
        </w:tc>
        <w:tc>
          <w:tcPr>
            <w:tcW w:type="dxa" w:w="3120"/>
          </w:tcPr>
          <w:p>
            <w:pPr>
              <w:spacing w:line="240" w:lineRule="auto"/>
            </w:pPr>
            <w:r/>
            <w:r>
              <w:rPr>
                <w:rFonts w:ascii="Times New Roman" w:hAnsi="Times New Roman"/>
                <w:b w:val="0"/>
                <w:i w:val="0"/>
                <w:sz w:val="24"/>
              </w:rPr>
              <w:t>Documentation of Watson family connections to local court system</w:t>
            </w:r>
          </w:p>
        </w:tc>
        <w:tc>
          <w:tcPr>
            <w:tcW w:type="dxa" w:w="3120"/>
          </w:tcPr>
          <w:p/>
        </w:tc>
      </w:tr>
    </w:tbl>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