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[EMAIL]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MOTION TO COMPEL DISCOVERY AND FOR SANCTIONS</w:t>
      </w:r>
    </w:p>
    <w:p>
      <w:pPr>
        <w:pStyle w:val="Heading2"/>
      </w:pPr>
      <w:r>
        <w:rPr>
          <w:rFonts w:ascii="Times New Roman" w:hAnsi="Times New Roman"/>
        </w:rPr>
        <w:t>**WITH BRIEF IN SUPPORT**</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Location:</w:t>
      </w:r>
      <w:r>
        <w:rPr>
          <w:rFonts w:ascii="Times New Roman" w:hAnsi="Times New Roman"/>
          <w:b w:val="0"/>
          <w:i w:val="0"/>
          <w:sz w:val="24"/>
        </w:rPr>
        <w:t xml:space="preserve"> Muskegon County Courthouse, 990 Terrace St, Muskegon MI 49442</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val="0"/>
          <w:i w:val="0"/>
          <w:sz w:val="24"/>
        </w:rPr>
        <w:t xml:space="preserve">Plaintiff Andrew J. Pigors ("Father"), appearing </w:t>
      </w:r>
      <w:r>
        <w:rPr>
          <w:rFonts w:ascii="Times New Roman" w:hAnsi="Times New Roman"/>
          <w:b w:val="0"/>
          <w:i/>
          <w:sz w:val="24"/>
        </w:rPr>
        <w:t>pro se</w:t>
      </w:r>
      <w:r>
        <w:rPr>
          <w:rFonts w:ascii="Times New Roman" w:hAnsi="Times New Roman"/>
          <w:b w:val="0"/>
          <w:i w:val="0"/>
          <w:sz w:val="24"/>
        </w:rPr>
        <w:t xml:space="preserve">, respectfully moves this Court pursuant to </w:t>
      </w:r>
      <w:r>
        <w:rPr>
          <w:rFonts w:ascii="Times New Roman" w:hAnsi="Times New Roman"/>
          <w:b/>
          <w:i w:val="0"/>
          <w:sz w:val="24"/>
        </w:rPr>
        <w:t>MCR 2.313(A)</w:t>
      </w:r>
      <w:r>
        <w:rPr>
          <w:rFonts w:ascii="Times New Roman" w:hAnsi="Times New Roman"/>
          <w:b w:val="0"/>
          <w:i w:val="0"/>
          <w:sz w:val="24"/>
        </w:rPr>
        <w:t xml:space="preserve"> for an order compelling Defendant Emily A. Watson ("Mother") and her counsel to comply with outstanding discovery obligations, and for sanctions pursuant to </w:t>
      </w:r>
      <w:r>
        <w:rPr>
          <w:rFonts w:ascii="Times New Roman" w:hAnsi="Times New Roman"/>
          <w:b/>
          <w:i w:val="0"/>
          <w:sz w:val="24"/>
        </w:rPr>
        <w:t>MCR 2.313(B)</w:t>
      </w:r>
      <w:r>
        <w:rPr>
          <w:rFonts w:ascii="Times New Roman" w:hAnsi="Times New Roman"/>
          <w:b w:val="0"/>
          <w:i w:val="0"/>
          <w:sz w:val="24"/>
        </w:rPr>
        <w:t xml:space="preserve"> for their willful failure to respond to lawful discovery requests.</w:t>
      </w:r>
    </w:p>
    <w:p>
      <w:pPr>
        <w:spacing w:line="480" w:lineRule="auto" w:after="0" w:before="0"/>
      </w:pPr>
      <w:r>
        <w:rPr>
          <w:rFonts w:ascii="Times New Roman" w:hAnsi="Times New Roman"/>
          <w:b w:val="0"/>
          <w:i w:val="0"/>
          <w:sz w:val="24"/>
        </w:rPr>
        <w:t>The discovery failures documented herein are not mere oversights — they constitute a deliberate pattern of obstruction designed to prevent Father from presenting evidence critical to custody, parenting time, and the best interests of the minor child, L.D.W. (DOB: November 9, 2022).</w:t>
      </w:r>
    </w:p>
    <w:p>
      <w:pPr>
        <w:pStyle w:val="Heading2"/>
      </w:pPr>
      <w:r>
        <w:rPr>
          <w:rFonts w:ascii="Times New Roman" w:hAnsi="Times New Roman"/>
        </w:rPr>
        <w:t>II. STATEMENT OF FACTS</w:t>
      </w:r>
    </w:p>
    <w:p>
      <w:pPr>
        <w:pStyle w:val="Heading3"/>
      </w:pPr>
      <w:r>
        <w:rPr>
          <w:rFonts w:ascii="Times New Roman" w:hAnsi="Times New Roman"/>
        </w:rPr>
        <w:t>A. Discovery Requests Served</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 served the following discovery requests upon Defendant, all properly served per MCR 2.302: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Request</w:t>
            </w:r>
          </w:p>
        </w:tc>
        <w:tc>
          <w:tcPr>
            <w:tcW w:type="dxa" w:w="1872"/>
          </w:tcPr>
          <w:p>
            <w:pPr>
              <w:spacing w:line="240" w:lineRule="auto"/>
            </w:pPr>
            <w:r/>
            <w:r>
              <w:rPr>
                <w:rFonts w:ascii="Times New Roman" w:hAnsi="Times New Roman"/>
                <w:b/>
                <w:sz w:val="24"/>
              </w:rPr>
              <w:t>Date Served</w:t>
            </w:r>
          </w:p>
        </w:tc>
        <w:tc>
          <w:tcPr>
            <w:tcW w:type="dxa" w:w="1872"/>
          </w:tcPr>
          <w:p>
            <w:pPr>
              <w:spacing w:line="240" w:lineRule="auto"/>
            </w:pPr>
            <w:r/>
            <w:r>
              <w:rPr>
                <w:rFonts w:ascii="Times New Roman" w:hAnsi="Times New Roman"/>
                <w:b/>
                <w:sz w:val="24"/>
              </w:rPr>
              <w:t>Method</w:t>
            </w:r>
          </w:p>
        </w:tc>
        <w:tc>
          <w:tcPr>
            <w:tcW w:type="dxa" w:w="1872"/>
          </w:tcPr>
          <w:p>
            <w:pPr>
              <w:spacing w:line="240" w:lineRule="auto"/>
            </w:pPr>
            <w:r/>
            <w:r>
              <w:rPr>
                <w:rFonts w:ascii="Times New Roman" w:hAnsi="Times New Roman"/>
                <w:b/>
                <w:sz w:val="24"/>
              </w:rPr>
              <w:t>Deadline</w:t>
            </w:r>
          </w:p>
        </w:tc>
        <w:tc>
          <w:tcPr>
            <w:tcW w:type="dxa" w:w="1872"/>
          </w:tcPr>
          <w:p>
            <w:pPr>
              <w:spacing w:line="240" w:lineRule="auto"/>
            </w:pPr>
            <w:r/>
            <w:r>
              <w:rPr>
                <w:rFonts w:ascii="Times New Roman" w:hAnsi="Times New Roman"/>
                <w:b/>
                <w:sz w:val="24"/>
              </w:rPr>
              <w:t>Response Received</w:t>
            </w:r>
          </w:p>
        </w:tc>
      </w:tr>
      <w:tr>
        <w:tc>
          <w:tcPr>
            <w:tcW w:type="dxa" w:w="1872"/>
          </w:tcPr>
          <w:p>
            <w:pPr>
              <w:spacing w:line="240" w:lineRule="auto"/>
            </w:pPr>
            <w:r/>
            <w:r>
              <w:rPr>
                <w:rFonts w:ascii="Times New Roman" w:hAnsi="Times New Roman"/>
                <w:b w:val="0"/>
                <w:i w:val="0"/>
                <w:sz w:val="24"/>
              </w:rPr>
              <w:t>First Set of Interrogatories (20 questions)</w:t>
            </w:r>
          </w:p>
        </w:tc>
        <w:tc>
          <w:tcPr>
            <w:tcW w:type="dxa" w:w="1872"/>
          </w:tcPr>
          <w:p>
            <w:pPr>
              <w:spacing w:line="240" w:lineRule="auto"/>
            </w:pPr>
            <w:r/>
            <w:r>
              <w:rPr>
                <w:rFonts w:ascii="Times New Roman" w:hAnsi="Times New Roman"/>
                <w:b w:val="0"/>
                <w:i w:val="0"/>
                <w:sz w:val="24"/>
              </w:rPr>
              <w:t>On or about January 2026</w:t>
            </w:r>
          </w:p>
        </w:tc>
        <w:tc>
          <w:tcPr>
            <w:tcW w:type="dxa" w:w="1872"/>
          </w:tcPr>
          <w:p>
            <w:pPr>
              <w:spacing w:line="240" w:lineRule="auto"/>
            </w:pPr>
            <w:r/>
            <w:r>
              <w:rPr>
                <w:rFonts w:ascii="Times New Roman" w:hAnsi="Times New Roman"/>
                <w:b w:val="0"/>
                <w:i w:val="0"/>
                <w:sz w:val="24"/>
              </w:rPr>
              <w:t>First-class U.S. Mail to Barnes Law Firm, PLLC</w:t>
            </w:r>
          </w:p>
        </w:tc>
        <w:tc>
          <w:tcPr>
            <w:tcW w:type="dxa" w:w="1872"/>
          </w:tcPr>
          <w:p>
            <w:pPr>
              <w:spacing w:line="240" w:lineRule="auto"/>
            </w:pPr>
            <w:r/>
            <w:r>
              <w:rPr>
                <w:rFonts w:ascii="Times New Roman" w:hAnsi="Times New Roman"/>
                <w:b w:val="0"/>
                <w:i w:val="0"/>
                <w:sz w:val="24"/>
              </w:rPr>
              <w:t>28 days after service</w:t>
            </w:r>
          </w:p>
        </w:tc>
        <w:tc>
          <w:tcPr>
            <w:tcW w:type="dxa" w:w="1872"/>
          </w:tcPr>
          <w:p>
            <w:pPr>
              <w:spacing w:line="240" w:lineRule="auto"/>
            </w:pPr>
            <w:r/>
            <w:r>
              <w:rPr>
                <w:rFonts w:ascii="Times New Roman" w:hAnsi="Times New Roman"/>
                <w:b w:val="0"/>
                <w:i w:val="0"/>
                <w:sz w:val="24"/>
              </w:rPr>
              <w:t>❌ None</w:t>
            </w:r>
          </w:p>
        </w:tc>
      </w:tr>
      <w:tr>
        <w:tc>
          <w:tcPr>
            <w:tcW w:type="dxa" w:w="1872"/>
          </w:tcPr>
          <w:p>
            <w:pPr>
              <w:spacing w:line="240" w:lineRule="auto"/>
            </w:pPr>
            <w:r/>
            <w:r>
              <w:rPr>
                <w:rFonts w:ascii="Times New Roman" w:hAnsi="Times New Roman"/>
                <w:b w:val="0"/>
                <w:i w:val="0"/>
                <w:sz w:val="24"/>
              </w:rPr>
              <w:t>First Request for Production of Documents</w:t>
            </w:r>
          </w:p>
        </w:tc>
        <w:tc>
          <w:tcPr>
            <w:tcW w:type="dxa" w:w="1872"/>
          </w:tcPr>
          <w:p>
            <w:pPr>
              <w:spacing w:line="240" w:lineRule="auto"/>
            </w:pPr>
            <w:r/>
            <w:r>
              <w:rPr>
                <w:rFonts w:ascii="Times New Roman" w:hAnsi="Times New Roman"/>
                <w:b w:val="0"/>
                <w:i w:val="0"/>
                <w:sz w:val="24"/>
              </w:rPr>
              <w:t>On or about January 2026</w:t>
            </w:r>
          </w:p>
        </w:tc>
        <w:tc>
          <w:tcPr>
            <w:tcW w:type="dxa" w:w="1872"/>
          </w:tcPr>
          <w:p>
            <w:pPr>
              <w:spacing w:line="240" w:lineRule="auto"/>
            </w:pPr>
            <w:r/>
            <w:r>
              <w:rPr>
                <w:rFonts w:ascii="Times New Roman" w:hAnsi="Times New Roman"/>
                <w:b w:val="0"/>
                <w:i w:val="0"/>
                <w:sz w:val="24"/>
              </w:rPr>
              <w:t>First-class U.S. Mail to Barnes Law Firm, PLLC</w:t>
            </w:r>
          </w:p>
        </w:tc>
        <w:tc>
          <w:tcPr>
            <w:tcW w:type="dxa" w:w="1872"/>
          </w:tcPr>
          <w:p>
            <w:pPr>
              <w:spacing w:line="240" w:lineRule="auto"/>
            </w:pPr>
            <w:r/>
            <w:r>
              <w:rPr>
                <w:rFonts w:ascii="Times New Roman" w:hAnsi="Times New Roman"/>
                <w:b w:val="0"/>
                <w:i w:val="0"/>
                <w:sz w:val="24"/>
              </w:rPr>
              <w:t>28 days after service</w:t>
            </w:r>
          </w:p>
        </w:tc>
        <w:tc>
          <w:tcPr>
            <w:tcW w:type="dxa" w:w="1872"/>
          </w:tcPr>
          <w:p>
            <w:pPr>
              <w:spacing w:line="240" w:lineRule="auto"/>
            </w:pPr>
            <w:r/>
            <w:r>
              <w:rPr>
                <w:rFonts w:ascii="Times New Roman" w:hAnsi="Times New Roman"/>
                <w:b w:val="0"/>
                <w:i w:val="0"/>
                <w:sz w:val="24"/>
              </w:rPr>
              <w:t>❌ Partial/Evasive</w:t>
            </w:r>
          </w:p>
        </w:tc>
      </w:tr>
      <w:tr>
        <w:tc>
          <w:tcPr>
            <w:tcW w:type="dxa" w:w="1872"/>
          </w:tcPr>
          <w:p>
            <w:pPr>
              <w:spacing w:line="240" w:lineRule="auto"/>
            </w:pPr>
            <w:r/>
            <w:r>
              <w:rPr>
                <w:rFonts w:ascii="Times New Roman" w:hAnsi="Times New Roman"/>
                <w:b w:val="0"/>
                <w:i w:val="0"/>
                <w:sz w:val="24"/>
              </w:rPr>
              <w:t>Request for Admissions</w:t>
            </w:r>
          </w:p>
        </w:tc>
        <w:tc>
          <w:tcPr>
            <w:tcW w:type="dxa" w:w="1872"/>
          </w:tcPr>
          <w:p>
            <w:pPr>
              <w:spacing w:line="240" w:lineRule="auto"/>
            </w:pPr>
            <w:r/>
            <w:r>
              <w:rPr>
                <w:rFonts w:ascii="Times New Roman" w:hAnsi="Times New Roman"/>
                <w:b w:val="0"/>
                <w:i w:val="0"/>
                <w:sz w:val="24"/>
              </w:rPr>
              <w:t>On or about January 2026</w:t>
            </w:r>
          </w:p>
        </w:tc>
        <w:tc>
          <w:tcPr>
            <w:tcW w:type="dxa" w:w="1872"/>
          </w:tcPr>
          <w:p>
            <w:pPr>
              <w:spacing w:line="240" w:lineRule="auto"/>
            </w:pPr>
            <w:r/>
            <w:r>
              <w:rPr>
                <w:rFonts w:ascii="Times New Roman" w:hAnsi="Times New Roman"/>
                <w:b w:val="0"/>
                <w:i w:val="0"/>
                <w:sz w:val="24"/>
              </w:rPr>
              <w:t>First-class U.S. Mail to Barnes Law Firm, PLLC</w:t>
            </w:r>
          </w:p>
        </w:tc>
        <w:tc>
          <w:tcPr>
            <w:tcW w:type="dxa" w:w="1872"/>
          </w:tcPr>
          <w:p>
            <w:pPr>
              <w:spacing w:line="240" w:lineRule="auto"/>
            </w:pPr>
            <w:r/>
            <w:r>
              <w:rPr>
                <w:rFonts w:ascii="Times New Roman" w:hAnsi="Times New Roman"/>
                <w:b w:val="0"/>
                <w:i w:val="0"/>
                <w:sz w:val="24"/>
              </w:rPr>
              <w:t>28 days after service</w:t>
            </w:r>
          </w:p>
        </w:tc>
        <w:tc>
          <w:tcPr>
            <w:tcW w:type="dxa" w:w="1872"/>
          </w:tcPr>
          <w:p>
            <w:pPr>
              <w:spacing w:line="240" w:lineRule="auto"/>
            </w:pPr>
            <w:r/>
            <w:r>
              <w:rPr>
                <w:rFonts w:ascii="Times New Roman" w:hAnsi="Times New Roman"/>
                <w:b w:val="0"/>
                <w:i w:val="0"/>
                <w:sz w:val="24"/>
              </w:rPr>
              <w:t>❌ None (deemed admitted per MCR 2.312(B)(1))</w:t>
            </w:r>
          </w:p>
        </w:tc>
      </w:tr>
    </w:tbl>
    <w:p>
      <w:pPr>
        <w:pStyle w:val="Heading3"/>
      </w:pPr>
      <w:r>
        <w:rPr>
          <w:rFonts w:ascii="Times New Roman" w:hAnsi="Times New Roman"/>
        </w:rPr>
        <w:t>B. Categories of Discovery Withheld</w:t>
      </w:r>
    </w:p>
    <w:p>
      <w:pPr>
        <w:spacing w:line="480" w:lineRule="auto" w:after="0" w:before="0"/>
      </w:pPr>
      <w:r>
        <w:rPr>
          <w:rFonts w:ascii="Times New Roman" w:hAnsi="Times New Roman"/>
          <w:b/>
          <w:sz w:val="24"/>
        </w:rPr>
        <w:t xml:space="preserve">2. </w:t>
      </w:r>
      <w:r>
        <w:rPr>
          <w:rFonts w:ascii="Times New Roman" w:hAnsi="Times New Roman"/>
          <w:b w:val="0"/>
          <w:i w:val="0"/>
          <w:sz w:val="24"/>
        </w:rPr>
        <w:t>The following categories of discovery remain outstanding and are directly relevant to the pending custody and parenting time proceedings:</w:t>
      </w:r>
    </w:p>
    <w:p>
      <w:pPr>
        <w:spacing w:line="480" w:lineRule="auto" w:after="0" w:before="0"/>
      </w:pPr>
      <w:r>
        <w:rPr>
          <w:rFonts w:ascii="Times New Roman" w:hAnsi="Times New Roman"/>
          <w:b/>
          <w:i w:val="0"/>
          <w:sz w:val="24"/>
        </w:rPr>
        <w:t>Category 1: Financial Records (MCL 722.27a — Capacity to Provide)</w:t>
      </w:r>
      <w:r>
        <w:rPr>
          <w:rFonts w:ascii="Times New Roman" w:hAnsi="Times New Roman"/>
          <w:b w:val="0"/>
          <w:i w:val="0"/>
          <w:sz w:val="24"/>
        </w:rPr>
        <w:t xml:space="preserve"> - Employment records, pay stubs, tax returns (2022–2025) - Bank statements showing household income and expenditures - Documentation of child support receipt and expenditure - Cody Watson's rental payments to Defendant (relevant to household stability)</w:t>
      </w:r>
    </w:p>
    <w:p>
      <w:pPr>
        <w:spacing w:line="480" w:lineRule="auto" w:after="0" w:before="0"/>
      </w:pPr>
      <w:r>
        <w:rPr>
          <w:rFonts w:ascii="Times New Roman" w:hAnsi="Times New Roman"/>
          <w:b/>
          <w:i w:val="0"/>
          <w:sz w:val="24"/>
        </w:rPr>
        <w:t>Category 2: Medical and Psychological Records (MCL 722.27a — Mental/Physical Health)</w:t>
      </w:r>
      <w:r>
        <w:rPr>
          <w:rFonts w:ascii="Times New Roman" w:hAnsi="Times New Roman"/>
          <w:b w:val="0"/>
          <w:i w:val="0"/>
          <w:sz w:val="24"/>
        </w:rPr>
        <w:t xml:space="preserve"> - L.D.W.'s complete medical records (pediatrician, dental, developmental) - Any mental health treatment records for Defendant - Any substance abuse assessments or treatment records</w:t>
      </w:r>
    </w:p>
    <w:p>
      <w:pPr>
        <w:spacing w:line="480" w:lineRule="auto" w:after="0" w:before="0"/>
      </w:pPr>
      <w:r>
        <w:rPr>
          <w:rFonts w:ascii="Times New Roman" w:hAnsi="Times New Roman"/>
          <w:b/>
          <w:i w:val="0"/>
          <w:sz w:val="24"/>
        </w:rPr>
        <w:t>Category 3: Communications (MCL 722.23 — Willingness to Facilitate)</w:t>
      </w:r>
      <w:r>
        <w:rPr>
          <w:rFonts w:ascii="Times New Roman" w:hAnsi="Times New Roman"/>
          <w:b w:val="0"/>
          <w:i w:val="0"/>
          <w:sz w:val="24"/>
        </w:rPr>
        <w:t xml:space="preserve"> - Text messages between Defendant and her family (Lori Watson, Albert Watson, Cody Watson) regarding Father, L.D.W., and custody proceedings - Emails between Defendant and counsel regarding ex parte filings - AppClose/co-parenting app records showing denied communication attempts - Social media posts referencing Father or L.D.W.</w:t>
      </w:r>
    </w:p>
    <w:p>
      <w:pPr>
        <w:spacing w:line="480" w:lineRule="auto" w:after="0" w:before="0"/>
      </w:pPr>
      <w:r>
        <w:rPr>
          <w:rFonts w:ascii="Times New Roman" w:hAnsi="Times New Roman"/>
          <w:b/>
          <w:i w:val="0"/>
          <w:sz w:val="24"/>
        </w:rPr>
        <w:t>Category 4: PPO-Related Evidence (MCL 600.2950)</w:t>
      </w:r>
      <w:r>
        <w:rPr>
          <w:rFonts w:ascii="Times New Roman" w:hAnsi="Times New Roman"/>
          <w:b w:val="0"/>
          <w:i w:val="0"/>
          <w:sz w:val="24"/>
        </w:rPr>
        <w:t xml:space="preserve"> - Underlying factual basis for PPO allegations (specifics, not conclusions) - Police reports Defendant referenced in PPO filings - Recordings, photographs, or other evidence supporting PPO claims - Any evidence Defendant provided to third parties regarding Father</w:t>
      </w:r>
    </w:p>
    <w:p>
      <w:pPr>
        <w:spacing w:line="480" w:lineRule="auto" w:after="0" w:before="0"/>
      </w:pPr>
      <w:r>
        <w:rPr>
          <w:rFonts w:ascii="Times New Roman" w:hAnsi="Times New Roman"/>
          <w:b/>
          <w:i w:val="0"/>
          <w:sz w:val="24"/>
        </w:rPr>
        <w:t>Category 5: Evaluation and Assessment Records</w:t>
      </w:r>
      <w:r>
        <w:rPr>
          <w:rFonts w:ascii="Times New Roman" w:hAnsi="Times New Roman"/>
          <w:b w:val="0"/>
          <w:i w:val="0"/>
          <w:sz w:val="24"/>
        </w:rPr>
        <w:t xml:space="preserve"> - All documents provided by Defendant or her counsel to assessment evaluators - The letter provided by the Court to the second evaluator (upon information and belief, this letter contained characterizations inconsistent with the HealthWest evaluation that cleared Father) - Any communications between Defendant's counsel and evaluators</w:t>
      </w:r>
    </w:p>
    <w:p>
      <w:pPr>
        <w:spacing w:line="480" w:lineRule="auto" w:after="0" w:before="0"/>
      </w:pPr>
      <w:r>
        <w:rPr>
          <w:rFonts w:ascii="Times New Roman" w:hAnsi="Times New Roman"/>
          <w:b/>
          <w:i w:val="0"/>
          <w:sz w:val="24"/>
        </w:rPr>
        <w:t>Category 6: Prior Alienation History (MCL 722.27a — Pattern Evidence)</w:t>
      </w:r>
      <w:r>
        <w:rPr>
          <w:rFonts w:ascii="Times New Roman" w:hAnsi="Times New Roman"/>
          <w:b w:val="0"/>
          <w:i w:val="0"/>
          <w:sz w:val="24"/>
        </w:rPr>
        <w:t xml:space="preserve"> - All records relating to Defendant's prior custody dispute with Austin Muratori, father of Defendant's other child, including: court filings, custody orders, PPO filings, communications, and the outcome of that custody matter - This evidence is directly relevant to MCL 722.23 factor (j) (willingness to facilitate close and continuing parent-child relationship) and to establishing a pattern of parental alienation by Defendant</w:t>
      </w:r>
    </w:p>
    <w:p>
      <w:pPr>
        <w:spacing w:line="480" w:lineRule="auto" w:after="0" w:before="0"/>
      </w:pPr>
      <w:r>
        <w:rPr>
          <w:rFonts w:ascii="Times New Roman" w:hAnsi="Times New Roman"/>
          <w:b/>
          <w:i w:val="0"/>
          <w:sz w:val="24"/>
        </w:rPr>
        <w:t>Category 7: Employment Records (Kent County Prosecutor's Office)</w:t>
      </w:r>
      <w:r>
        <w:rPr>
          <w:rFonts w:ascii="Times New Roman" w:hAnsi="Times New Roman"/>
          <w:b w:val="0"/>
          <w:i w:val="0"/>
          <w:sz w:val="24"/>
        </w:rPr>
        <w:t xml:space="preserve"> - Defendant's position, title, and duties at the Kent County Prosecutor's Office, where she has been employed for approximately nine years - Any policies regarding conflicts of interest for employees involved in family court proceedings - This evidence is relevant to Defendant's access to legal resources and insider knowledge of the family court system, which has been leveraged to tactical advantage in this litigation</w:t>
      </w:r>
    </w:p>
    <w:p>
      <w:pPr>
        <w:spacing w:line="480" w:lineRule="auto" w:after="0" w:before="0"/>
      </w:pPr>
      <w:r>
        <w:rPr>
          <w:rFonts w:ascii="Times New Roman" w:hAnsi="Times New Roman"/>
          <w:b/>
          <w:i w:val="0"/>
          <w:sz w:val="24"/>
        </w:rPr>
        <w:t>Category 8: Law Enforcement Records — Complete NSPD Report Set</w:t>
      </w:r>
      <w:r>
        <w:rPr>
          <w:rFonts w:ascii="Times New Roman" w:hAnsi="Times New Roman"/>
          <w:b w:val="0"/>
          <w:i w:val="0"/>
          <w:sz w:val="24"/>
        </w:rPr>
        <w:t xml:space="preserve"> - All Norton Shores Police Department incident/complaint reports bearing Case Numbers: NSPD-2023-08121, NSPD-2023-08183, NSPD-2023-08179, NSPD-2024-01944, NSPD-2024-02001, NSPD-2024-02086, NS2500783, NS2505044, and NS2505078 - All body camera footage, dash camera footage, and digital evidence photographs associated with the above case numbers, including but not limited to the digital photos of Lincoln's forehead bruises collected under NS2500783 (Feb 7, 2025) - All dispatch audio recordings and CAD records for each of the above incidents - Defendant's and Watson family members' (Albert Watson, Lori Watson, Cody Watson) written or verbal statements to any law enforcement officer from January 2023 to present - This evidence is relevant to demonstrate: (a) the Watson family's coordinated report-filing strategy; (b) law enforcement's uniform exoneration of Father; (c) manufactured paper trail used to support ex parte orders; and (d) the source and pattern of recurring bruises on L.D.W.</w:t>
      </w:r>
    </w:p>
    <w:p>
      <w:pPr>
        <w:pStyle w:val="Heading3"/>
      </w:pPr>
      <w:r>
        <w:rPr>
          <w:rFonts w:ascii="Times New Roman" w:hAnsi="Times New Roman"/>
        </w:rPr>
        <w:t>C. Good Faith Efforts to Resolve</w:t>
      </w:r>
    </w:p>
    <w:p>
      <w:pPr>
        <w:spacing w:line="480" w:lineRule="auto" w:after="0" w:before="0"/>
      </w:pPr>
      <w:r>
        <w:rPr>
          <w:rFonts w:ascii="Times New Roman" w:hAnsi="Times New Roman"/>
          <w:b/>
          <w:sz w:val="24"/>
        </w:rPr>
        <w:t xml:space="preserve">3. </w:t>
      </w:r>
      <w:r>
        <w:rPr>
          <w:rFonts w:ascii="Times New Roman" w:hAnsi="Times New Roman"/>
          <w:b w:val="0"/>
          <w:i w:val="0"/>
          <w:sz w:val="24"/>
        </w:rPr>
        <w:t>Plaintiff has made good faith efforts to resolve this discovery dispute without court intervention, as required by MCR 2.313(A)(1):</w:t>
      </w:r>
    </w:p>
    <w:p>
      <w:pPr>
        <w:spacing w:line="480" w:lineRule="auto" w:after="0" w:before="0"/>
      </w:pPr>
      <w:r>
        <w:rPr>
          <w:rFonts w:ascii="Times New Roman" w:hAnsi="Times New Roman"/>
          <w:b w:val="0"/>
          <w:i w:val="0"/>
          <w:sz w:val="24"/>
        </w:rPr>
        <w:t>a. On or about _____________, 2026, Plaintiff sent a written request to Defendant's counsel requesting compliance with outstanding discovery obligations.</w:t>
      </w:r>
    </w:p>
    <w:p>
      <w:pPr>
        <w:spacing w:line="480" w:lineRule="auto" w:after="0" w:before="0"/>
      </w:pPr>
      <w:r>
        <w:rPr>
          <w:rFonts w:ascii="Times New Roman" w:hAnsi="Times New Roman"/>
          <w:b w:val="0"/>
          <w:i w:val="0"/>
          <w:sz w:val="24"/>
        </w:rPr>
        <w:t>b. On or about _____________, 2026, Plaintiff followed up via email extending the deadline by an additional 14 days.</w:t>
      </w:r>
    </w:p>
    <w:p>
      <w:pPr>
        <w:spacing w:line="480" w:lineRule="auto" w:after="0" w:before="0"/>
      </w:pPr>
      <w:r>
        <w:rPr>
          <w:rFonts w:ascii="Times New Roman" w:hAnsi="Times New Roman"/>
          <w:b w:val="0"/>
          <w:i w:val="0"/>
          <w:sz w:val="24"/>
        </w:rPr>
        <w:t>c. On or about _____________, 2026, Plaintiff sent a final notice advising that a motion to compel would be filed if compliance was not forthcoming.</w:t>
      </w:r>
    </w:p>
    <w:p>
      <w:pPr>
        <w:spacing w:line="480" w:lineRule="auto" w:after="0" w:before="0"/>
      </w:pPr>
      <w:r>
        <w:rPr>
          <w:rFonts w:ascii="Times New Roman" w:hAnsi="Times New Roman"/>
          <w:b w:val="0"/>
          <w:i w:val="0"/>
          <w:sz w:val="24"/>
        </w:rPr>
        <w:t>d. Despite these efforts, Defendant has failed to provide adequate responses.</w:t>
      </w:r>
    </w:p>
    <w:p>
      <w:pPr>
        <w:spacing w:line="480" w:lineRule="auto" w:after="0" w:before="0"/>
      </w:pPr>
      <w:r>
        <w:rPr>
          <w:rFonts w:ascii="Times New Roman" w:hAnsi="Times New Roman"/>
          <w:b/>
          <w:sz w:val="24"/>
        </w:rPr>
        <w:t xml:space="preserve">4. </w:t>
      </w:r>
      <w:r>
        <w:rPr>
          <w:rFonts w:ascii="Times New Roman" w:hAnsi="Times New Roman"/>
          <w:b/>
          <w:i w:val="0"/>
          <w:sz w:val="24"/>
        </w:rPr>
        <w:t>Certificate of Good Faith:</w:t>
      </w:r>
      <w:r>
        <w:rPr>
          <w:rFonts w:ascii="Times New Roman" w:hAnsi="Times New Roman"/>
          <w:b w:val="0"/>
          <w:i w:val="0"/>
          <w:sz w:val="24"/>
        </w:rPr>
        <w:t xml:space="preserve"> Pursuant to MCR 2.313(A)(1), Plaintiff certifies that good faith efforts have been made to resolve this discovery dispute without court intervention, but those efforts have been unsuccessful.</w:t>
      </w:r>
    </w:p>
    <w:p>
      <w:pPr>
        <w:pStyle w:val="Heading2"/>
      </w:pPr>
      <w:r>
        <w:rPr>
          <w:rFonts w:ascii="Times New Roman" w:hAnsi="Times New Roman"/>
        </w:rPr>
        <w:t>III. LEGAL ARGUMENT</w:t>
      </w:r>
    </w:p>
    <w:p>
      <w:pPr>
        <w:pStyle w:val="Heading3"/>
      </w:pPr>
      <w:r>
        <w:rPr>
          <w:rFonts w:ascii="Times New Roman" w:hAnsi="Times New Roman"/>
        </w:rPr>
        <w:t>A. Standard for Compelling Discovery (MCR 2.313(A))</w:t>
      </w:r>
    </w:p>
    <w:p>
      <w:pPr>
        <w:spacing w:line="480" w:lineRule="auto" w:after="0" w:before="0"/>
      </w:pPr>
      <w:r>
        <w:rPr>
          <w:rFonts w:ascii="Times New Roman" w:hAnsi="Times New Roman"/>
          <w:b/>
          <w:sz w:val="24"/>
        </w:rPr>
        <w:t xml:space="preserve">5. </w:t>
      </w:r>
      <w:r>
        <w:rPr>
          <w:rFonts w:ascii="Times New Roman" w:hAnsi="Times New Roman"/>
          <w:b w:val="0"/>
          <w:i w:val="0"/>
          <w:sz w:val="24"/>
        </w:rPr>
        <w:t>MCR 2.313(A) provides:</w:t>
      </w:r>
    </w:p>
    <w:p>
      <w:pPr>
        <w:spacing w:line="480" w:lineRule="auto" w:after="0" w:before="0"/>
      </w:pPr>
      <w:r>
        <w:rPr>
          <w:rFonts w:ascii="Times New Roman" w:hAnsi="Times New Roman"/>
          <w:b w:val="0"/>
          <w:i w:val="0"/>
          <w:sz w:val="24"/>
        </w:rPr>
        <w:t>&gt; "If a party fails to furnish a discovery response or permit discovery as requested under this subchapter, the party seeking discovery may move for an order compelling discovery."</w:t>
      </w:r>
    </w:p>
    <w:p>
      <w:pPr>
        <w:spacing w:line="480" w:lineRule="auto" w:after="0" w:before="0"/>
      </w:pPr>
      <w:r>
        <w:rPr>
          <w:rFonts w:ascii="Times New Roman" w:hAnsi="Times New Roman"/>
          <w:b/>
          <w:sz w:val="24"/>
        </w:rPr>
        <w:t xml:space="preserve">6. </w:t>
      </w:r>
      <w:r>
        <w:rPr>
          <w:rFonts w:ascii="Times New Roman" w:hAnsi="Times New Roman"/>
          <w:b w:val="0"/>
          <w:i w:val="0"/>
          <w:sz w:val="24"/>
        </w:rPr>
        <w:t>The scope of discovery under MCR 2.302(B)(1) is broad:</w:t>
      </w:r>
    </w:p>
    <w:p>
      <w:pPr>
        <w:spacing w:line="480" w:lineRule="auto" w:after="0" w:before="0"/>
      </w:pPr>
      <w:r>
        <w:rPr>
          <w:rFonts w:ascii="Times New Roman" w:hAnsi="Times New Roman"/>
          <w:b w:val="0"/>
          <w:i w:val="0"/>
          <w:sz w:val="24"/>
        </w:rPr>
        <w:t>&gt; "Parties may obtain discovery regarding any matter, not privileged, which is relevant to the subject matter involved in the pending action."</w:t>
      </w:r>
    </w:p>
    <w:p>
      <w:pPr>
        <w:spacing w:line="480" w:lineRule="auto" w:after="0" w:before="0"/>
      </w:pPr>
      <w:r>
        <w:rPr>
          <w:rFonts w:ascii="Times New Roman" w:hAnsi="Times New Roman"/>
          <w:b/>
          <w:sz w:val="24"/>
        </w:rPr>
        <w:t xml:space="preserve">7. </w:t>
      </w:r>
      <w:r>
        <w:rPr>
          <w:rFonts w:ascii="Times New Roman" w:hAnsi="Times New Roman"/>
          <w:b w:val="0"/>
          <w:i w:val="0"/>
          <w:sz w:val="24"/>
        </w:rPr>
        <w:t>All categories of discovery sought are directly relevant to the 12 best interest factors under MCL 722.23, which govern custody and parenting time determinations.</w:t>
      </w:r>
    </w:p>
    <w:p>
      <w:pPr>
        <w:pStyle w:val="Heading3"/>
      </w:pPr>
      <w:r>
        <w:rPr>
          <w:rFonts w:ascii="Times New Roman" w:hAnsi="Times New Roman"/>
        </w:rPr>
        <w:t>B. Defendant's Discovery Failures Are Willful</w:t>
      </w:r>
    </w:p>
    <w:p>
      <w:pPr>
        <w:spacing w:line="480" w:lineRule="auto" w:after="0" w:before="0"/>
      </w:pPr>
      <w:r>
        <w:rPr>
          <w:rFonts w:ascii="Times New Roman" w:hAnsi="Times New Roman"/>
          <w:b/>
          <w:sz w:val="24"/>
        </w:rPr>
        <w:t xml:space="preserve">8. </w:t>
      </w:r>
      <w:r>
        <w:rPr>
          <w:rFonts w:ascii="Times New Roman" w:hAnsi="Times New Roman"/>
          <w:b w:val="0"/>
          <w:i w:val="0"/>
          <w:sz w:val="24"/>
        </w:rPr>
        <w:t>The pattern of non-compliance is not inadvertent. It is consistent with Defendant's broader strategy of:</w:t>
      </w:r>
    </w:p>
    <w:p>
      <w:pPr>
        <w:spacing w:line="480" w:lineRule="auto" w:after="0" w:before="0"/>
      </w:pPr>
      <w:r>
        <w:rPr>
          <w:rFonts w:ascii="Times New Roman" w:hAnsi="Times New Roman"/>
          <w:b w:val="0"/>
          <w:i w:val="0"/>
          <w:sz w:val="24"/>
        </w:rPr>
        <w:t>a. Filing 52+ ex parte motions to obtain orders without Father's knowledge or participation;</w:t>
      </w:r>
    </w:p>
    <w:p>
      <w:pPr>
        <w:spacing w:line="480" w:lineRule="auto" w:after="0" w:before="0"/>
      </w:pPr>
      <w:r>
        <w:rPr>
          <w:rFonts w:ascii="Times New Roman" w:hAnsi="Times New Roman"/>
          <w:b w:val="0"/>
          <w:i w:val="0"/>
          <w:sz w:val="24"/>
        </w:rPr>
        <w:t>b. Relying on unsubstantiated allegations while withholding the evidence that would disprove those allegations;</w:t>
      </w:r>
    </w:p>
    <w:p>
      <w:pPr>
        <w:spacing w:line="480" w:lineRule="auto" w:after="0" w:before="0"/>
      </w:pPr>
      <w:r>
        <w:rPr>
          <w:rFonts w:ascii="Times New Roman" w:hAnsi="Times New Roman"/>
          <w:b w:val="0"/>
          <w:i w:val="0"/>
          <w:sz w:val="24"/>
        </w:rPr>
        <w:t>c. Preventing Father from obtaining evidence that would demonstrate Mother's alienating conduct, including: - Communications with Watson family members coordinating interference with parenting time; - Albert Watson's admission that the police report was filed specifically to obtain the ex parte order; - Evidence that the PPO was obtained through false statements (MCL 750.423 — perjury);</w:t>
      </w:r>
    </w:p>
    <w:p>
      <w:pPr>
        <w:spacing w:line="480" w:lineRule="auto" w:after="0" w:before="0"/>
      </w:pPr>
      <w:r>
        <w:rPr>
          <w:rFonts w:ascii="Times New Roman" w:hAnsi="Times New Roman"/>
          <w:b w:val="0"/>
          <w:i w:val="0"/>
          <w:sz w:val="24"/>
        </w:rPr>
        <w:t>d. Creating an asymmetry of information that allows Mother to make accusations without evidentiary support while Father is denied access to contradicting evidence.</w:t>
      </w:r>
    </w:p>
    <w:p>
      <w:pPr>
        <w:pStyle w:val="Heading3"/>
      </w:pPr>
      <w:r>
        <w:rPr>
          <w:rFonts w:ascii="Times New Roman" w:hAnsi="Times New Roman"/>
        </w:rPr>
        <w:t>C. Sanctions Are Warranted (MCR 2.313(B))</w:t>
      </w:r>
    </w:p>
    <w:p>
      <w:pPr>
        <w:spacing w:line="480" w:lineRule="auto" w:after="0" w:before="0"/>
      </w:pPr>
      <w:r>
        <w:rPr>
          <w:rFonts w:ascii="Times New Roman" w:hAnsi="Times New Roman"/>
          <w:b/>
          <w:sz w:val="24"/>
        </w:rPr>
        <w:t xml:space="preserve">9. </w:t>
      </w:r>
      <w:r>
        <w:rPr>
          <w:rFonts w:ascii="Times New Roman" w:hAnsi="Times New Roman"/>
          <w:b w:val="0"/>
          <w:i w:val="0"/>
          <w:sz w:val="24"/>
        </w:rPr>
        <w:t>MCR 2.313(B)(2) authorizes the following sanctions for failure to comply with a discovery order:</w:t>
      </w:r>
    </w:p>
    <w:p>
      <w:pPr>
        <w:spacing w:line="480" w:lineRule="auto" w:after="0" w:before="0"/>
      </w:pPr>
      <w:r>
        <w:rPr>
          <w:rFonts w:ascii="Times New Roman" w:hAnsi="Times New Roman"/>
          <w:b w:val="0"/>
          <w:i w:val="0"/>
          <w:sz w:val="24"/>
        </w:rPr>
        <w:t>(a) An order that designated facts be taken as established; (b) An order refusing to allow the disobedient party to support or oppose designated claims; (c) An order striking pleadings or parts thereof; (d) An order dismissing the action or entering default judgment; (e) An order treating the failure as contempt of court.</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Under </w:t>
      </w:r>
      <w:r>
        <w:rPr>
          <w:rFonts w:ascii="Times New Roman" w:hAnsi="Times New Roman"/>
          <w:b w:val="0"/>
          <w:i/>
          <w:sz w:val="24"/>
        </w:rPr>
        <w:t>Dean v Tucker</w:t>
      </w:r>
      <w:r>
        <w:rPr>
          <w:rFonts w:ascii="Times New Roman" w:hAnsi="Times New Roman"/>
          <w:b w:val="0"/>
          <w:i w:val="0"/>
          <w:sz w:val="24"/>
        </w:rPr>
        <w:t>, 182 Mich App 27 (1990), sanctions must be proportional to the discovery violation and the prejudice caused. Here, the prejudice is severe: Father has been denied parenting time for 329+ consecutive days based on allegations he cannot effectively challenge because the underlying evidence has been withheld.</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Under </w:t>
      </w:r>
      <w:r>
        <w:rPr>
          <w:rFonts w:ascii="Times New Roman" w:hAnsi="Times New Roman"/>
          <w:b w:val="0"/>
          <w:i/>
          <w:sz w:val="24"/>
        </w:rPr>
        <w:t>Vicencio v Ramirez</w:t>
      </w:r>
      <w:r>
        <w:rPr>
          <w:rFonts w:ascii="Times New Roman" w:hAnsi="Times New Roman"/>
          <w:b w:val="0"/>
          <w:i w:val="0"/>
          <w:sz w:val="24"/>
        </w:rPr>
        <w:t>, 211 Mich App 501 (1995), exclusion of evidence is an appropriate sanction when discovery violations are willful or prejudicial. Father requests that any evidence not previously disclosed be excluded from future proceedings.</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Under </w:t>
      </w:r>
      <w:r>
        <w:rPr>
          <w:rFonts w:ascii="Times New Roman" w:hAnsi="Times New Roman"/>
          <w:b w:val="0"/>
          <w:i/>
          <w:sz w:val="24"/>
        </w:rPr>
        <w:t>Barnard Mfg Co v Gates Performance Engineering</w:t>
      </w:r>
      <w:r>
        <w:rPr>
          <w:rFonts w:ascii="Times New Roman" w:hAnsi="Times New Roman"/>
          <w:b w:val="0"/>
          <w:i w:val="0"/>
          <w:sz w:val="24"/>
        </w:rPr>
        <w:t>, 285 Mich App 362 (2009), the most severe sanctions (dismissal, default) are reserved for the most egregious violations. The systematic withholding of evidence in a case involving a child's welfare and a parent's fundamental constitutional rights warrants the most serious consideration.</w:t>
      </w:r>
    </w:p>
    <w:p>
      <w:pPr>
        <w:pStyle w:val="Heading3"/>
      </w:pPr>
      <w:r>
        <w:rPr>
          <w:rFonts w:ascii="Times New Roman" w:hAnsi="Times New Roman"/>
        </w:rPr>
        <w:t>D. Prejudice to Plaintiff</w:t>
      </w:r>
    </w:p>
    <w:p>
      <w:pPr>
        <w:spacing w:line="480" w:lineRule="auto" w:after="0" w:before="0"/>
      </w:pPr>
      <w:r>
        <w:rPr>
          <w:rFonts w:ascii="Times New Roman" w:hAnsi="Times New Roman"/>
          <w:b/>
          <w:sz w:val="24"/>
        </w:rPr>
        <w:t xml:space="preserve">13. </w:t>
      </w:r>
      <w:r>
        <w:rPr>
          <w:rFonts w:ascii="Times New Roman" w:hAnsi="Times New Roman"/>
          <w:b w:val="0"/>
          <w:i w:val="0"/>
          <w:sz w:val="24"/>
        </w:rPr>
        <w:t>The failure to provide discovery has caused the following specific prejudice: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Unable to Challenge PPO Basis:</w:t>
      </w:r>
      <w:r>
        <w:rPr>
          <w:rFonts w:ascii="Times New Roman" w:hAnsi="Times New Roman"/>
          <w:b w:val="0"/>
          <w:i w:val="0"/>
          <w:sz w:val="24"/>
        </w:rPr>
        <w:t xml:space="preserve"> Without the underlying evidence supporting the PPO allegations, Father cannot effectively move to terminate the PPO under MCR 3.707(A);</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Unable to Demonstrate Alienation:</w:t>
      </w:r>
      <w:r>
        <w:rPr>
          <w:rFonts w:ascii="Times New Roman" w:hAnsi="Times New Roman"/>
          <w:b w:val="0"/>
          <w:i w:val="0"/>
          <w:sz w:val="24"/>
        </w:rPr>
        <w:t xml:space="preserve"> Without communications between Watson family members, Father cannot prove the coordinated campaign to alienate L.D.W. from Father (MCL 722.27a);</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Unable to Challenge Financial Claims:</w:t>
      </w:r>
      <w:r>
        <w:rPr>
          <w:rFonts w:ascii="Times New Roman" w:hAnsi="Times New Roman"/>
          <w:b w:val="0"/>
          <w:i w:val="0"/>
          <w:sz w:val="24"/>
        </w:rPr>
        <w:t xml:space="preserve"> Without financial records, Father cannot challenge child support calculations or demonstrate Mother's capacity to provide (MCL 722.27a);</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Unable to Prepare for Hearings:</w:t>
      </w:r>
      <w:r>
        <w:rPr>
          <w:rFonts w:ascii="Times New Roman" w:hAnsi="Times New Roman"/>
          <w:b w:val="0"/>
          <w:i w:val="0"/>
          <w:sz w:val="24"/>
        </w:rPr>
        <w:t xml:space="preserve"> The Court has scheduled hearings where Father must present his case, but he cannot prepare without discovery responses;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Unable to Challenge Evaluator Bias:</w:t>
      </w:r>
      <w:r>
        <w:rPr>
          <w:rFonts w:ascii="Times New Roman" w:hAnsi="Times New Roman"/>
          <w:b w:val="0"/>
          <w:i w:val="0"/>
          <w:sz w:val="24"/>
        </w:rPr>
        <w:t xml:space="preserve"> Without the Court's letter to the second evaluator, Father cannot demonstrate that the evaluation was tainted by prejudicial information, particularly given that the HealthWest evaluation found Psychosis Score: 0, no substance abuse, and no risk factors.</w:t>
      </w:r>
    </w:p>
    <w:p>
      <w:pPr>
        <w:pStyle w:val="Heading3"/>
      </w:pPr>
      <w:r>
        <w:rPr>
          <w:rFonts w:ascii="Times New Roman" w:hAnsi="Times New Roman"/>
        </w:rPr>
        <w:t>E. Brady-Type Obligation in Family Proceedings</w:t>
      </w:r>
    </w:p>
    <w:p>
      <w:pPr>
        <w:spacing w:line="480" w:lineRule="auto" w:after="0" w:before="0"/>
      </w:pPr>
      <w:r>
        <w:rPr>
          <w:rFonts w:ascii="Times New Roman" w:hAnsi="Times New Roman"/>
          <w:b/>
          <w:sz w:val="24"/>
        </w:rPr>
        <w:t xml:space="preserve">14. </w:t>
      </w:r>
      <w:r>
        <w:rPr>
          <w:rFonts w:ascii="Times New Roman" w:hAnsi="Times New Roman"/>
          <w:b w:val="0"/>
          <w:i w:val="0"/>
          <w:sz w:val="24"/>
        </w:rPr>
        <w:t xml:space="preserve">While </w:t>
      </w:r>
      <w:r>
        <w:rPr>
          <w:rFonts w:ascii="Times New Roman" w:hAnsi="Times New Roman"/>
          <w:b w:val="0"/>
          <w:i/>
          <w:sz w:val="24"/>
        </w:rPr>
        <w:t>Brady v Maryland</w:t>
      </w:r>
      <w:r>
        <w:rPr>
          <w:rFonts w:ascii="Times New Roman" w:hAnsi="Times New Roman"/>
          <w:b w:val="0"/>
          <w:i w:val="0"/>
          <w:sz w:val="24"/>
        </w:rPr>
        <w:t xml:space="preserve">, 373 U.S. 83 (1963) applies directly to criminal proceedings, Michigan courts have recognized analogous disclosure obligations in civil proceedings where fundamental rights are at stake. </w:t>
      </w:r>
      <w:r>
        <w:rPr>
          <w:rFonts w:ascii="Times New Roman" w:hAnsi="Times New Roman"/>
          <w:b w:val="0"/>
          <w:i/>
          <w:sz w:val="24"/>
        </w:rPr>
        <w:t>See In re Sanders</w:t>
      </w:r>
      <w:r>
        <w:rPr>
          <w:rFonts w:ascii="Times New Roman" w:hAnsi="Times New Roman"/>
          <w:b w:val="0"/>
          <w:i w:val="0"/>
          <w:sz w:val="24"/>
        </w:rPr>
        <w:t>, 495 Mich 394 (2014).</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The deprivation of parental rights implicates fundamental liberty interests protected by the Due Process Clause of both the United States Constitution (Amend. XIV) and the Michigan Constitution (Const 1963, art 1, § 17). </w:t>
      </w:r>
      <w:r>
        <w:rPr>
          <w:rFonts w:ascii="Times New Roman" w:hAnsi="Times New Roman"/>
          <w:b w:val="0"/>
          <w:i/>
          <w:sz w:val="24"/>
        </w:rPr>
        <w:t>See Troxel v Granville</w:t>
      </w:r>
      <w:r>
        <w:rPr>
          <w:rFonts w:ascii="Times New Roman" w:hAnsi="Times New Roman"/>
          <w:b w:val="0"/>
          <w:i w:val="0"/>
          <w:sz w:val="24"/>
        </w:rPr>
        <w:t xml:space="preserve">, 530 U.S. 57 (2000);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sz w:val="24"/>
        </w:rPr>
        <w:t xml:space="preserve">16. </w:t>
      </w:r>
      <w:r>
        <w:rPr>
          <w:rFonts w:ascii="Times New Roman" w:hAnsi="Times New Roman"/>
          <w:b w:val="0"/>
          <w:i w:val="0"/>
          <w:sz w:val="24"/>
        </w:rPr>
        <w:t>When fundamental parental rights are at stake, the obligation to disclose exculpatory evidence should be no less rigorous than in criminal proceedings.</w:t>
      </w:r>
    </w:p>
    <w:p>
      <w:pPr>
        <w:pStyle w:val="Heading2"/>
      </w:pPr>
      <w:r>
        <w:rPr>
          <w:rFonts w:ascii="Times New Roman" w:hAnsi="Times New Roman"/>
        </w:rPr>
        <w:t>IV. RELIEF REQUESTED</w:t>
      </w:r>
    </w:p>
    <w:p>
      <w:pPr>
        <w:spacing w:line="480" w:lineRule="auto" w:after="0" w:before="0"/>
      </w:pPr>
      <w:r>
        <w:rPr>
          <w:rFonts w:ascii="Times New Roman" w:hAnsi="Times New Roman"/>
          <w:b w:val="0"/>
          <w:i w:val="0"/>
          <w:sz w:val="24"/>
        </w:rPr>
        <w:t>WHEREFORE, Plaintiff respectfully requests that this Court:</w:t>
      </w:r>
    </w:p>
    <w:p>
      <w:pPr>
        <w:spacing w:line="480" w:lineRule="auto" w:after="0" w:before="0"/>
      </w:pPr>
      <w:r>
        <w:rPr>
          <w:rFonts w:ascii="Times New Roman" w:hAnsi="Times New Roman"/>
          <w:b/>
          <w:sz w:val="24"/>
        </w:rPr>
        <w:t xml:space="preserve">1. </w:t>
      </w:r>
      <w:r>
        <w:rPr>
          <w:rFonts w:ascii="Times New Roman" w:hAnsi="Times New Roman"/>
          <w:b/>
          <w:i w:val="0"/>
          <w:sz w:val="24"/>
        </w:rPr>
        <w:t>Compel Defendant</w:t>
      </w:r>
      <w:r>
        <w:rPr>
          <w:rFonts w:ascii="Times New Roman" w:hAnsi="Times New Roman"/>
          <w:b w:val="0"/>
          <w:i w:val="0"/>
          <w:sz w:val="24"/>
        </w:rPr>
        <w:t xml:space="preserve"> to produce complete responses to all outstanding discovery within 14 days of this Court's order;</w:t>
      </w:r>
    </w:p>
    <w:p>
      <w:pPr>
        <w:spacing w:line="480" w:lineRule="auto" w:after="0" w:before="0"/>
      </w:pPr>
      <w:r>
        <w:rPr>
          <w:rFonts w:ascii="Times New Roman" w:hAnsi="Times New Roman"/>
          <w:b/>
          <w:sz w:val="24"/>
        </w:rPr>
        <w:t xml:space="preserve">2. </w:t>
      </w:r>
      <w:r>
        <w:rPr>
          <w:rFonts w:ascii="Times New Roman" w:hAnsi="Times New Roman"/>
          <w:b/>
          <w:i w:val="0"/>
          <w:sz w:val="24"/>
        </w:rPr>
        <w:t>Order Defendant</w:t>
      </w:r>
      <w:r>
        <w:rPr>
          <w:rFonts w:ascii="Times New Roman" w:hAnsi="Times New Roman"/>
          <w:b w:val="0"/>
          <w:i w:val="0"/>
          <w:sz w:val="24"/>
        </w:rPr>
        <w:t xml:space="preserve"> to produce all communications between Defendant and Watson family members (Albert Watson, Lori Watson, Cody Watson) referencing Father, L.D.W., custody, parenting time, or court proceedings;</w:t>
      </w:r>
    </w:p>
    <w:p>
      <w:pPr>
        <w:spacing w:line="480" w:lineRule="auto" w:after="0" w:before="0"/>
      </w:pPr>
      <w:r>
        <w:rPr>
          <w:rFonts w:ascii="Times New Roman" w:hAnsi="Times New Roman"/>
          <w:b/>
          <w:sz w:val="24"/>
        </w:rPr>
        <w:t xml:space="preserve">3. </w:t>
      </w:r>
      <w:r>
        <w:rPr>
          <w:rFonts w:ascii="Times New Roman" w:hAnsi="Times New Roman"/>
          <w:b/>
          <w:i w:val="0"/>
          <w:sz w:val="24"/>
        </w:rPr>
        <w:t>Order Defendant's counsel</w:t>
      </w:r>
      <w:r>
        <w:rPr>
          <w:rFonts w:ascii="Times New Roman" w:hAnsi="Times New Roman"/>
          <w:b w:val="0"/>
          <w:i w:val="0"/>
          <w:sz w:val="24"/>
        </w:rPr>
        <w:t xml:space="preserve"> to produce all documents provided to any evaluator or assessment provider regarding Father or this case;</w:t>
      </w:r>
    </w:p>
    <w:p>
      <w:pPr>
        <w:spacing w:line="480" w:lineRule="auto" w:after="0" w:before="0"/>
      </w:pPr>
      <w:r>
        <w:rPr>
          <w:rFonts w:ascii="Times New Roman" w:hAnsi="Times New Roman"/>
          <w:b/>
          <w:sz w:val="24"/>
        </w:rPr>
        <w:t xml:space="preserve">4. </w:t>
      </w:r>
      <w:r>
        <w:rPr>
          <w:rFonts w:ascii="Times New Roman" w:hAnsi="Times New Roman"/>
          <w:b/>
          <w:i w:val="0"/>
          <w:sz w:val="24"/>
        </w:rPr>
        <w:t>Order production</w:t>
      </w:r>
      <w:r>
        <w:rPr>
          <w:rFonts w:ascii="Times New Roman" w:hAnsi="Times New Roman"/>
          <w:b w:val="0"/>
          <w:i w:val="0"/>
          <w:sz w:val="24"/>
        </w:rPr>
        <w:t xml:space="preserve"> of the Court's letter to the second assessment evaluator (if originated from Defendant's counsel or with Defendant's participation);</w:t>
      </w:r>
    </w:p>
    <w:p>
      <w:pPr>
        <w:spacing w:line="480" w:lineRule="auto" w:after="0" w:before="0"/>
      </w:pPr>
      <w:r>
        <w:rPr>
          <w:rFonts w:ascii="Times New Roman" w:hAnsi="Times New Roman"/>
          <w:b/>
          <w:sz w:val="24"/>
        </w:rPr>
        <w:t xml:space="preserve">5. </w:t>
      </w:r>
      <w:r>
        <w:rPr>
          <w:rFonts w:ascii="Times New Roman" w:hAnsi="Times New Roman"/>
          <w:b/>
          <w:i w:val="0"/>
          <w:sz w:val="24"/>
        </w:rPr>
        <w:t>Deem admitted</w:t>
      </w:r>
      <w:r>
        <w:rPr>
          <w:rFonts w:ascii="Times New Roman" w:hAnsi="Times New Roman"/>
          <w:b w:val="0"/>
          <w:i w:val="0"/>
          <w:sz w:val="24"/>
        </w:rPr>
        <w:t xml:space="preserve"> all Requests for Admission that remain unanswered per MCR 2.312(B)(1);</w:t>
      </w:r>
    </w:p>
    <w:p>
      <w:pPr>
        <w:spacing w:line="480" w:lineRule="auto" w:after="0" w:before="0"/>
      </w:pPr>
      <w:r>
        <w:rPr>
          <w:rFonts w:ascii="Times New Roman" w:hAnsi="Times New Roman"/>
          <w:b/>
          <w:sz w:val="24"/>
        </w:rPr>
        <w:t xml:space="preserve">6. </w:t>
      </w:r>
      <w:r>
        <w:rPr>
          <w:rFonts w:ascii="Times New Roman" w:hAnsi="Times New Roman"/>
          <w:b/>
          <w:i w:val="0"/>
          <w:sz w:val="24"/>
        </w:rPr>
        <w:t>Impose sanctions</w:t>
      </w:r>
      <w:r>
        <w:rPr>
          <w:rFonts w:ascii="Times New Roman" w:hAnsi="Times New Roman"/>
          <w:b w:val="0"/>
          <w:i w:val="0"/>
          <w:sz w:val="24"/>
        </w:rPr>
        <w:t xml:space="preserve"> pursuant to MCR 2.313(B):</w:t>
      </w:r>
    </w:p>
    <w:p>
      <w:pPr>
        <w:spacing w:line="480" w:lineRule="auto" w:after="0" w:before="0"/>
      </w:pPr>
      <w:r>
        <w:rPr>
          <w:rFonts w:ascii="Times New Roman" w:hAnsi="Times New Roman"/>
          <w:b w:val="0"/>
          <w:i w:val="0"/>
          <w:sz w:val="24"/>
        </w:rPr>
        <w:t>a. Order that Defendant's unsubstantiated allegations be stricken; b. Preclude Defendant from introducing evidence not previously disclosed; c. Award Father reasonable costs and attorney fees (or pro se equivalent) per MCR 2.313(A)(4); d. Find Defendant's counsel in violation of MCR 2.302 obligations;</w:t>
      </w:r>
    </w:p>
    <w:p>
      <w:pPr>
        <w:spacing w:line="480" w:lineRule="auto" w:after="0" w:before="0"/>
      </w:pPr>
      <w:r>
        <w:rPr>
          <w:rFonts w:ascii="Times New Roman" w:hAnsi="Times New Roman"/>
          <w:b/>
          <w:sz w:val="24"/>
        </w:rPr>
        <w:t xml:space="preserve">7. </w:t>
      </w:r>
      <w:r>
        <w:rPr>
          <w:rFonts w:ascii="Times New Roman" w:hAnsi="Times New Roman"/>
          <w:b/>
          <w:i w:val="0"/>
          <w:sz w:val="24"/>
        </w:rPr>
        <w:t>Award costs</w:t>
      </w:r>
      <w:r>
        <w:rPr>
          <w:rFonts w:ascii="Times New Roman" w:hAnsi="Times New Roman"/>
          <w:b w:val="0"/>
          <w:i w:val="0"/>
          <w:sz w:val="24"/>
        </w:rPr>
        <w:t xml:space="preserve"> of this motion, including the reasonable value of Plaintiff's time in preparing this motion, pursuant to MCR 2.313(A)(4);</w:t>
      </w:r>
    </w:p>
    <w:p>
      <w:pPr>
        <w:spacing w:line="480" w:lineRule="auto" w:after="0" w:before="0"/>
      </w:pPr>
      <w:r>
        <w:rPr>
          <w:rFonts w:ascii="Times New Roman" w:hAnsi="Times New Roman"/>
          <w:b/>
          <w:sz w:val="24"/>
        </w:rPr>
        <w:t xml:space="preserve">8. </w:t>
      </w:r>
      <w:r>
        <w:rPr>
          <w:rFonts w:ascii="Times New Roman" w:hAnsi="Times New Roman"/>
          <w:b/>
          <w:i w:val="0"/>
          <w:sz w:val="24"/>
        </w:rPr>
        <w:t>Order an evidentiary hearing</w:t>
      </w:r>
      <w:r>
        <w:rPr>
          <w:rFonts w:ascii="Times New Roman" w:hAnsi="Times New Roman"/>
          <w:b w:val="0"/>
          <w:i w:val="0"/>
          <w:sz w:val="24"/>
        </w:rPr>
        <w:t xml:space="preserve"> on the discovery disputes within 21 days;</w:t>
      </w:r>
    </w:p>
    <w:p>
      <w:pPr>
        <w:spacing w:line="480" w:lineRule="auto" w:after="0" w:before="0"/>
      </w:pPr>
      <w:r>
        <w:rPr>
          <w:rFonts w:ascii="Times New Roman" w:hAnsi="Times New Roman"/>
          <w:b/>
          <w:sz w:val="24"/>
        </w:rPr>
        <w:t xml:space="preserve">9. </w:t>
      </w:r>
      <w:r>
        <w:rPr>
          <w:rFonts w:ascii="Times New Roman" w:hAnsi="Times New Roman"/>
          <w:b w:val="0"/>
          <w:i w:val="0"/>
          <w:sz w:val="24"/>
        </w:rPr>
        <w:t>Grant such other relief as this Court deems just and equitable.</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I, Andrew J. Pigors, declare under the penalties of perjury under the laws of the State of Michigan that the foregoing statements are true and correct to the best of my knowledge, information, and belief. MCR 2.114(A).</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Telephone: (231) 903-5690</w:t>
      </w:r>
    </w:p>
    <w:p>
      <w:pPr>
        <w:spacing w:line="480" w:lineRule="auto" w:after="0" w:before="0"/>
      </w:pPr>
      <w:r>
        <w:rPr>
          <w:rFonts w:ascii="Times New Roman" w:hAnsi="Times New Roman"/>
          <w:b w:val="0"/>
          <w:i w:val="0"/>
          <w:sz w:val="24"/>
        </w:rPr>
        <w:t>Date: _______________</w:t>
      </w:r>
    </w:p>
    <w:p>
      <w:r>
        <w:br w:type="page"/>
      </w:r>
    </w:p>
    <w:p>
      <w:pPr>
        <w:pStyle w:val="Heading2"/>
      </w:pPr>
      <w:r>
        <w:rPr>
          <w:rFonts w:ascii="Times New Roman" w:hAnsi="Times New Roman"/>
        </w:rPr>
        <w:t>PROPOSED ORDER</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14TH JUDICIAL CIRCUIT COURT — FAMILY DIVISION</w:t>
      </w:r>
      <w:r>
        <w:rPr>
          <w:rFonts w:ascii="Times New Roman" w:hAnsi="Times New Roman"/>
          <w:b w:val="0"/>
          <w:i w:val="0"/>
          <w:sz w:val="24"/>
        </w:rPr>
        <w:t xml:space="preserve"> </w:t>
      </w:r>
      <w:r>
        <w:rPr>
          <w:rFonts w:ascii="Times New Roman" w:hAnsi="Times New Roman"/>
          <w:b/>
          <w:i w:val="0"/>
          <w:sz w:val="24"/>
        </w:rPr>
        <w:t>COUNTY OF MUSKEGON</w:t>
      </w:r>
    </w:p>
    <w:p>
      <w:pPr>
        <w:spacing w:line="480" w:lineRule="auto" w:after="0" w:before="0"/>
      </w:pPr>
      <w:r>
        <w:rPr>
          <w:rFonts w:ascii="Times New Roman" w:hAnsi="Times New Roman"/>
          <w:b/>
          <w:i w:val="0"/>
          <w:sz w:val="24"/>
        </w:rPr>
        <w:t>Case No. 2024-001507-DC</w:t>
      </w:r>
      <w:r>
        <w:rPr>
          <w:rFonts w:ascii="Times New Roman" w:hAnsi="Times New Roman"/>
          <w:b w:val="0"/>
          <w:i w:val="0"/>
          <w:sz w:val="24"/>
        </w:rPr>
        <w:t xml:space="preserve"> </w:t>
      </w:r>
      <w:r>
        <w:rPr>
          <w:rFonts w:ascii="Times New Roman" w:hAnsi="Times New Roman"/>
          <w:b/>
          <w:i w:val="0"/>
          <w:sz w:val="24"/>
        </w:rPr>
        <w:t>Hon. Jenny L. McNeill</w:t>
      </w:r>
    </w:p>
    <w:p>
      <w:pPr>
        <w:spacing w:line="480" w:lineRule="auto" w:after="0" w:before="0"/>
      </w:pPr>
      <w:r>
        <w:rPr>
          <w:rFonts w:ascii="Times New Roman" w:hAnsi="Times New Roman"/>
          <w:b/>
          <w:i w:val="0"/>
          <w:sz w:val="24"/>
        </w:rPr>
        <w:t>ORDER COMPELLING DISCOVERY AND IMPOSING SANCTIONS</w:t>
      </w:r>
    </w:p>
    <w:p>
      <w:pPr>
        <w:spacing w:line="480" w:lineRule="auto" w:after="0" w:before="0"/>
      </w:pPr>
      <w:r>
        <w:rPr>
          <w:rFonts w:ascii="Times New Roman" w:hAnsi="Times New Roman"/>
          <w:b w:val="0"/>
          <w:i w:val="0"/>
          <w:sz w:val="24"/>
        </w:rPr>
        <w:t>The Court, having considered Plaintiff's Motion to Compel Discovery and for Sanctions, the response thereto (if any), and the arguments of the parties, and being otherwise fully advised:</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Defendant Emily A. Watson shall produce complete responses to all outstanding discovery requests within </w:t>
      </w:r>
      <w:r>
        <w:rPr>
          <w:rFonts w:ascii="Times New Roman" w:hAnsi="Times New Roman"/>
          <w:b/>
          <w:i w:val="0"/>
          <w:sz w:val="24"/>
        </w:rPr>
        <w:t>fourteen (14) days</w:t>
      </w:r>
      <w:r>
        <w:rPr>
          <w:rFonts w:ascii="Times New Roman" w:hAnsi="Times New Roman"/>
          <w:b w:val="0"/>
          <w:i w:val="0"/>
          <w:sz w:val="24"/>
        </w:rPr>
        <w:t xml:space="preserve"> of the date of this Order.</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Defendant shall produce all communications with Watson family members regarding Plaintiff, the minor child, custody, parenting time, or these proceedings within </w:t>
      </w:r>
      <w:r>
        <w:rPr>
          <w:rFonts w:ascii="Times New Roman" w:hAnsi="Times New Roman"/>
          <w:b/>
          <w:i w:val="0"/>
          <w:sz w:val="24"/>
        </w:rPr>
        <w:t>fourteen (14) days</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All unanswered Requests for Admission are </w:t>
      </w:r>
      <w:r>
        <w:rPr>
          <w:rFonts w:ascii="Times New Roman" w:hAnsi="Times New Roman"/>
          <w:b/>
          <w:i w:val="0"/>
          <w:sz w:val="24"/>
        </w:rPr>
        <w:t>deemed admitted</w:t>
      </w:r>
      <w:r>
        <w:rPr>
          <w:rFonts w:ascii="Times New Roman" w:hAnsi="Times New Roman"/>
          <w:b w:val="0"/>
          <w:i w:val="0"/>
          <w:sz w:val="24"/>
        </w:rPr>
        <w:t xml:space="preserve"> per MCR 2.312(B)(1).</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Defendant is </w:t>
      </w:r>
      <w:r>
        <w:rPr>
          <w:rFonts w:ascii="Times New Roman" w:hAnsi="Times New Roman"/>
          <w:b/>
          <w:i w:val="0"/>
          <w:sz w:val="24"/>
        </w:rPr>
        <w:t>precluded</w:t>
      </w:r>
      <w:r>
        <w:rPr>
          <w:rFonts w:ascii="Times New Roman" w:hAnsi="Times New Roman"/>
          <w:b w:val="0"/>
          <w:i w:val="0"/>
          <w:sz w:val="24"/>
        </w:rPr>
        <w:t xml:space="preserve"> from introducing at any future hearing evidence not previously disclosed in discovery.</w:t>
      </w:r>
    </w:p>
    <w:p>
      <w:pPr>
        <w:spacing w:line="480" w:lineRule="auto" w:after="0" w:before="0"/>
      </w:pPr>
      <w:r>
        <w:rPr>
          <w:rFonts w:ascii="Times New Roman" w:hAnsi="Times New Roman"/>
          <w:b/>
          <w:sz w:val="24"/>
        </w:rPr>
        <w:t xml:space="preserve">5. </w:t>
      </w:r>
      <w:r>
        <w:rPr>
          <w:rFonts w:ascii="Times New Roman" w:hAnsi="Times New Roman"/>
          <w:b w:val="0"/>
          <w:i w:val="0"/>
          <w:sz w:val="24"/>
        </w:rPr>
        <w:t>Defendant and/or Defendant's counsel shall pay Plaintiff the sum of $__________ as reasonable costs of this motion per MCR 2.313(A)(4).</w:t>
      </w:r>
    </w:p>
    <w:p>
      <w:pPr>
        <w:spacing w:line="480" w:lineRule="auto" w:after="0" w:before="0"/>
      </w:pPr>
      <w:r>
        <w:rPr>
          <w:rFonts w:ascii="Times New Roman" w:hAnsi="Times New Roman"/>
          <w:b/>
          <w:sz w:val="24"/>
        </w:rPr>
        <w:t xml:space="preserve">6. </w:t>
      </w:r>
      <w:r>
        <w:rPr>
          <w:rFonts w:ascii="Times New Roman" w:hAnsi="Times New Roman"/>
          <w:b w:val="0"/>
          <w:i w:val="0"/>
          <w:sz w:val="24"/>
        </w:rPr>
        <w:t>Failure to comply with this Order within the time specified shall result in additional sanctions, including but not limited to striking Defendant's pleadings or entering a default on contested issues.</w:t>
      </w:r>
    </w:p>
    <w:p>
      <w:pPr>
        <w:spacing w:line="480" w:lineRule="auto" w:after="0" w:before="0"/>
      </w:pPr>
      <w:r>
        <w:rPr>
          <w:rFonts w:ascii="Times New Roman" w:hAnsi="Times New Roman"/>
          <w:b w:val="0"/>
          <w:i w:val="0"/>
          <w:sz w:val="24"/>
        </w:rPr>
        <w:t>IT IS SO ORDERED.</w:t>
      </w:r>
    </w:p>
    <w:p>
      <w:pPr>
        <w:spacing w:line="480" w:lineRule="auto" w:after="0" w:before="0"/>
      </w:pPr>
      <w:r>
        <w:rPr>
          <w:rFonts w:ascii="Times New Roman" w:hAnsi="Times New Roman"/>
          <w:b w:val="0"/>
          <w:i w:val="0"/>
          <w:sz w:val="24"/>
        </w:rPr>
        <w:t>Date: _______________</w:t>
      </w:r>
    </w:p>
    <w:p>
      <w:r>
        <w:br w:type="page"/>
      </w:r>
    </w:p>
    <w:p>
      <w:pPr>
        <w:spacing w:line="480" w:lineRule="auto" w:after="0" w:before="0"/>
      </w:pPr>
      <w:r>
        <w:rPr>
          <w:rFonts w:ascii="Times New Roman" w:hAnsi="Times New Roman"/>
          <w:b w:val="0"/>
          <w:i w:val="0"/>
          <w:sz w:val="24"/>
        </w:rPr>
        <w:t>Hon. Jenny L. McNeill 14th Judicial Circuit Court</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_______________, I served a true copy of the foregoing Motion to Compel Discovery and for Sanctions, with Brief in Support and Proposed Order, upon:</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Attorney for Defendant [ADDRESS]</w:t>
      </w:r>
    </w:p>
    <w:p>
      <w:pPr>
        <w:spacing w:line="480" w:lineRule="auto" w:after="0" w:before="0"/>
      </w:pPr>
      <w:r>
        <w:rPr>
          <w:rFonts w:ascii="Times New Roman" w:hAnsi="Times New Roman"/>
          <w:b w:val="0"/>
          <w:i w:val="0"/>
          <w:sz w:val="24"/>
        </w:rPr>
        <w:t>by: ☐ Personal service (MCR 2.105) ☐ First-class mail, postage prepaid (MCR 2.107(C)(3)) ☐ Electronic service (MCR 2.107(C)(4))</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p>
    <w:p>
      <w:r>
        <w:br w:type="page"/>
      </w:r>
    </w:p>
    <w:p>
      <w:pPr>
        <w:pStyle w:val="Heading2"/>
      </w:pPr>
      <w:r>
        <w:rPr>
          <w:rFonts w:ascii="Times New Roman" w:hAnsi="Times New Roman"/>
        </w:rPr>
        <w:t>EXHIBIT INDEX</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Bates Range</w:t>
            </w:r>
          </w:p>
        </w:tc>
      </w:tr>
      <w:tr>
        <w:tc>
          <w:tcPr>
            <w:tcW w:type="dxa" w:w="3120"/>
          </w:tcPr>
          <w:p>
            <w:pPr>
              <w:spacing w:line="240" w:lineRule="auto"/>
            </w:pPr>
            <w:r/>
            <w:r>
              <w:rPr>
                <w:rFonts w:ascii="Times New Roman" w:hAnsi="Times New Roman"/>
                <w:b w:val="0"/>
                <w:i w:val="0"/>
                <w:sz w:val="24"/>
              </w:rPr>
              <w:t>A</w:t>
            </w:r>
          </w:p>
        </w:tc>
        <w:tc>
          <w:tcPr>
            <w:tcW w:type="dxa" w:w="3120"/>
          </w:tcPr>
          <w:p>
            <w:pPr>
              <w:spacing w:line="240" w:lineRule="auto"/>
            </w:pPr>
            <w:r/>
            <w:r>
              <w:rPr>
                <w:rFonts w:ascii="Times New Roman" w:hAnsi="Times New Roman"/>
                <w:b w:val="0"/>
                <w:i w:val="0"/>
                <w:sz w:val="24"/>
              </w:rPr>
              <w:t>First Set of Interrogatories (as served)</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B</w:t>
            </w:r>
          </w:p>
        </w:tc>
        <w:tc>
          <w:tcPr>
            <w:tcW w:type="dxa" w:w="3120"/>
          </w:tcPr>
          <w:p>
            <w:pPr>
              <w:spacing w:line="240" w:lineRule="auto"/>
            </w:pPr>
            <w:r/>
            <w:r>
              <w:rPr>
                <w:rFonts w:ascii="Times New Roman" w:hAnsi="Times New Roman"/>
                <w:b w:val="0"/>
                <w:i w:val="0"/>
                <w:sz w:val="24"/>
              </w:rPr>
              <w:t>First Request for Production of Documents (as served)</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C</w:t>
            </w:r>
          </w:p>
        </w:tc>
        <w:tc>
          <w:tcPr>
            <w:tcW w:type="dxa" w:w="3120"/>
          </w:tcPr>
          <w:p>
            <w:pPr>
              <w:spacing w:line="240" w:lineRule="auto"/>
            </w:pPr>
            <w:r/>
            <w:r>
              <w:rPr>
                <w:rFonts w:ascii="Times New Roman" w:hAnsi="Times New Roman"/>
                <w:b w:val="0"/>
                <w:i w:val="0"/>
                <w:sz w:val="24"/>
              </w:rPr>
              <w:t>Request for Admissions (as served)</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D</w:t>
            </w:r>
          </w:p>
        </w:tc>
        <w:tc>
          <w:tcPr>
            <w:tcW w:type="dxa" w:w="3120"/>
          </w:tcPr>
          <w:p>
            <w:pPr>
              <w:spacing w:line="240" w:lineRule="auto"/>
            </w:pPr>
            <w:r/>
            <w:r>
              <w:rPr>
                <w:rFonts w:ascii="Times New Roman" w:hAnsi="Times New Roman"/>
                <w:b w:val="0"/>
                <w:i w:val="0"/>
                <w:sz w:val="24"/>
              </w:rPr>
              <w:t>Good Faith Correspondence #1 (request for compliance)</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E</w:t>
            </w:r>
          </w:p>
        </w:tc>
        <w:tc>
          <w:tcPr>
            <w:tcW w:type="dxa" w:w="3120"/>
          </w:tcPr>
          <w:p>
            <w:pPr>
              <w:spacing w:line="240" w:lineRule="auto"/>
            </w:pPr>
            <w:r/>
            <w:r>
              <w:rPr>
                <w:rFonts w:ascii="Times New Roman" w:hAnsi="Times New Roman"/>
                <w:b w:val="0"/>
                <w:i w:val="0"/>
                <w:sz w:val="24"/>
              </w:rPr>
              <w:t>Good Faith Correspondence #2 (extension of deadline)</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F</w:t>
            </w:r>
          </w:p>
        </w:tc>
        <w:tc>
          <w:tcPr>
            <w:tcW w:type="dxa" w:w="3120"/>
          </w:tcPr>
          <w:p>
            <w:pPr>
              <w:spacing w:line="240" w:lineRule="auto"/>
            </w:pPr>
            <w:r/>
            <w:r>
              <w:rPr>
                <w:rFonts w:ascii="Times New Roman" w:hAnsi="Times New Roman"/>
                <w:b w:val="0"/>
                <w:i w:val="0"/>
                <w:sz w:val="24"/>
              </w:rPr>
              <w:t>Good Faith Correspondence #3 (final notice)</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G</w:t>
            </w:r>
          </w:p>
        </w:tc>
        <w:tc>
          <w:tcPr>
            <w:tcW w:type="dxa" w:w="3120"/>
          </w:tcPr>
          <w:p>
            <w:pPr>
              <w:spacing w:line="240" w:lineRule="auto"/>
            </w:pPr>
            <w:r/>
            <w:r>
              <w:rPr>
                <w:rFonts w:ascii="Times New Roman" w:hAnsi="Times New Roman"/>
                <w:b w:val="0"/>
                <w:i w:val="0"/>
                <w:sz w:val="24"/>
              </w:rPr>
              <w:t>Defendant's Partial/Evasive Responses (if any)</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H</w:t>
            </w:r>
          </w:p>
        </w:tc>
        <w:tc>
          <w:tcPr>
            <w:tcW w:type="dxa" w:w="3120"/>
          </w:tcPr>
          <w:p>
            <w:pPr>
              <w:spacing w:line="240" w:lineRule="auto"/>
            </w:pPr>
            <w:r/>
            <w:r>
              <w:rPr>
                <w:rFonts w:ascii="Times New Roman" w:hAnsi="Times New Roman"/>
                <w:b w:val="0"/>
                <w:i w:val="0"/>
                <w:sz w:val="24"/>
              </w:rPr>
              <w:t>HealthWest Evaluation Summary (showing Psychosis=0)</w:t>
            </w:r>
          </w:p>
        </w:tc>
        <w:tc>
          <w:tcPr>
            <w:tcW w:type="dxa" w:w="3120"/>
          </w:tcPr>
          <w:p>
            <w:pPr>
              <w:spacing w:line="240" w:lineRule="auto"/>
            </w:pPr>
            <w:r/>
            <w:r>
              <w:rPr>
                <w:rFonts w:ascii="Times New Roman" w:hAnsi="Times New Roman"/>
                <w:b w:val="0"/>
                <w:i w:val="0"/>
                <w:sz w:val="24"/>
              </w:rPr>
              <w:t>PIGORS-[####]</w:t>
            </w:r>
          </w:p>
        </w:tc>
      </w:tr>
      <w:tr>
        <w:tc>
          <w:tcPr>
            <w:tcW w:type="dxa" w:w="3120"/>
          </w:tcPr>
          <w:p>
            <w:pPr>
              <w:spacing w:line="240" w:lineRule="auto"/>
            </w:pPr>
            <w:r/>
            <w:r>
              <w:rPr>
                <w:rFonts w:ascii="Times New Roman" w:hAnsi="Times New Roman"/>
                <w:b w:val="0"/>
                <w:i w:val="0"/>
                <w:sz w:val="24"/>
              </w:rPr>
              <w:t>I</w:t>
            </w:r>
          </w:p>
        </w:tc>
        <w:tc>
          <w:tcPr>
            <w:tcW w:type="dxa" w:w="3120"/>
          </w:tcPr>
          <w:p>
            <w:pPr>
              <w:spacing w:line="240" w:lineRule="auto"/>
            </w:pPr>
            <w:r/>
            <w:r>
              <w:rPr>
                <w:rFonts w:ascii="Times New Roman" w:hAnsi="Times New Roman"/>
                <w:b w:val="0"/>
                <w:i w:val="0"/>
                <w:sz w:val="24"/>
              </w:rPr>
              <w:t>Chronology of Discovery Requests and Non-Compliance</w:t>
            </w:r>
          </w:p>
        </w:tc>
        <w:tc>
          <w:tcPr>
            <w:tcW w:type="dxa" w:w="3120"/>
          </w:tcPr>
          <w:p>
            <w:pPr>
              <w:spacing w:line="240" w:lineRule="auto"/>
            </w:pPr>
            <w:r/>
            <w:r>
              <w:rPr>
                <w:rFonts w:ascii="Times New Roman" w:hAnsi="Times New Roman"/>
                <w:b w:val="0"/>
                <w:i w:val="0"/>
                <w:sz w:val="24"/>
              </w:rPr>
              <w:t>PIGORS-[####]</w:t>
            </w:r>
          </w:p>
        </w:tc>
      </w:tr>
    </w:tbl>
    <w:p>
      <w:pPr>
        <w:pStyle w:val="Heading2"/>
      </w:pPr>
      <w:r>
        <w:rPr>
          <w:rFonts w:ascii="Times New Roman" w:hAnsi="Times New Roman"/>
        </w:rPr>
        <w:t>COMPANION FILINGS CROSS-REFERENCE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Court</w:t>
            </w:r>
          </w:p>
        </w:tc>
        <w:tc>
          <w:tcPr>
            <w:tcW w:type="dxa" w:w="3120"/>
          </w:tcPr>
          <w:p>
            <w:pPr>
              <w:spacing w:line="240" w:lineRule="auto"/>
            </w:pPr>
            <w:r/>
            <w:r>
              <w:rPr>
                <w:rFonts w:ascii="Times New Roman" w:hAnsi="Times New Roman"/>
                <w:b/>
                <w:sz w:val="24"/>
              </w:rPr>
              <w:t>Relevance to This Motion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14th Circuit</w:t>
            </w:r>
          </w:p>
        </w:tc>
        <w:tc>
          <w:tcPr>
            <w:tcW w:type="dxa" w:w="3120"/>
          </w:tcPr>
          <w:p>
            <w:pPr>
              <w:spacing w:line="240" w:lineRule="auto"/>
            </w:pPr>
            <w:r/>
            <w:r>
              <w:rPr>
                <w:rFonts w:ascii="Times New Roman" w:hAnsi="Times New Roman"/>
                <w:b w:val="0"/>
                <w:i w:val="0"/>
                <w:sz w:val="24"/>
              </w:rPr>
              <w:t>Discovery needed to challenge basis for parenting time suspension</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14th Circuit</w:t>
            </w:r>
          </w:p>
        </w:tc>
        <w:tc>
          <w:tcPr>
            <w:tcW w:type="dxa" w:w="3120"/>
          </w:tcPr>
          <w:p>
            <w:pPr>
              <w:spacing w:line="240" w:lineRule="auto"/>
            </w:pPr>
            <w:r/>
            <w:r>
              <w:rPr>
                <w:rFonts w:ascii="Times New Roman" w:hAnsi="Times New Roman"/>
                <w:b w:val="0"/>
                <w:i w:val="0"/>
                <w:sz w:val="24"/>
              </w:rPr>
              <w:t>Underlying PPO evidence withheld</w:t>
            </w:r>
          </w:p>
        </w:tc>
      </w:tr>
      <w:tr>
        <w:tc>
          <w:tcPr>
            <w:tcW w:type="dxa" w:w="3120"/>
          </w:tcPr>
          <w:p>
            <w:pPr>
              <w:spacing w:line="240" w:lineRule="auto"/>
            </w:pPr>
            <w:r/>
            <w:r>
              <w:rPr>
                <w:rFonts w:ascii="Times New Roman" w:hAnsi="Times New Roman"/>
                <w:b w:val="0"/>
                <w:i w:val="0"/>
                <w:sz w:val="24"/>
              </w:rPr>
              <w:t>Motion for Contempt/Show Cause</w:t>
            </w:r>
          </w:p>
        </w:tc>
        <w:tc>
          <w:tcPr>
            <w:tcW w:type="dxa" w:w="3120"/>
          </w:tcPr>
          <w:p>
            <w:pPr>
              <w:spacing w:line="240" w:lineRule="auto"/>
            </w:pPr>
            <w:r/>
            <w:r>
              <w:rPr>
                <w:rFonts w:ascii="Times New Roman" w:hAnsi="Times New Roman"/>
                <w:b w:val="0"/>
                <w:i w:val="0"/>
                <w:sz w:val="24"/>
              </w:rPr>
              <w:t>14th Circuit</w:t>
            </w:r>
          </w:p>
        </w:tc>
        <w:tc>
          <w:tcPr>
            <w:tcW w:type="dxa" w:w="3120"/>
          </w:tcPr>
          <w:p>
            <w:pPr>
              <w:spacing w:line="240" w:lineRule="auto"/>
            </w:pPr>
            <w:r/>
            <w:r>
              <w:rPr>
                <w:rFonts w:ascii="Times New Roman" w:hAnsi="Times New Roman"/>
                <w:b w:val="0"/>
                <w:i w:val="0"/>
                <w:sz w:val="24"/>
              </w:rPr>
              <w:t>Contempt evidence requires discovery access</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Discovery failures cited as abuse of discretion</w:t>
            </w:r>
          </w:p>
        </w:tc>
      </w:tr>
      <w:tr>
        <w:tc>
          <w:tcPr>
            <w:tcW w:type="dxa" w:w="3120"/>
          </w:tcPr>
          <w:p>
            <w:pPr>
              <w:spacing w:line="240" w:lineRule="auto"/>
            </w:pPr>
            <w:r/>
            <w:r>
              <w:rPr>
                <w:rFonts w:ascii="Times New Roman" w:hAnsi="Times New Roman"/>
                <w:b w:val="0"/>
                <w:i w:val="0"/>
                <w:sz w:val="24"/>
              </w:rPr>
              <w:t>Formal Complaint Against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Court facilitated discovery asymmetry</w:t>
            </w:r>
          </w:p>
        </w:tc>
      </w:tr>
      <w:tr>
        <w:tc>
          <w:tcPr>
            <w:tcW w:type="dxa" w:w="3120"/>
          </w:tcPr>
          <w:p>
            <w:pPr>
              <w:spacing w:line="240" w:lineRule="auto"/>
            </w:pPr>
            <w:r/>
            <w:r>
              <w:rPr>
                <w:rFonts w:ascii="Times New Roman" w:hAnsi="Times New Roman"/>
                <w:b w:val="0"/>
                <w:i w:val="0"/>
                <w:sz w:val="24"/>
              </w:rPr>
              <w:t>Federal §1983 Complaint</w:t>
            </w:r>
          </w:p>
        </w:tc>
        <w:tc>
          <w:tcPr>
            <w:tcW w:type="dxa" w:w="3120"/>
          </w:tcPr>
          <w:p>
            <w:pPr>
              <w:spacing w:line="240" w:lineRule="auto"/>
            </w:pPr>
            <w:r/>
            <w:r>
              <w:rPr>
                <w:rFonts w:ascii="Times New Roman" w:hAnsi="Times New Roman"/>
                <w:b w:val="0"/>
                <w:i w:val="0"/>
                <w:sz w:val="24"/>
              </w:rPr>
              <w:t>USDC WD Mich</w:t>
            </w:r>
          </w:p>
        </w:tc>
        <w:tc>
          <w:tcPr>
            <w:tcW w:type="dxa" w:w="3120"/>
          </w:tcPr>
          <w:p>
            <w:pPr>
              <w:spacing w:line="240" w:lineRule="auto"/>
            </w:pPr>
            <w:r/>
            <w:r>
              <w:rPr>
                <w:rFonts w:ascii="Times New Roman" w:hAnsi="Times New Roman"/>
                <w:b w:val="0"/>
                <w:i w:val="0"/>
                <w:sz w:val="24"/>
              </w:rPr>
              <w:t>Discovery failures as denial of due process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