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r>
        <w:rPr>
          <w:rFonts w:ascii="Times New Roman" w:hAnsi="Times New Roman"/>
          <w:b w:val="0"/>
          <w:i w:val="0"/>
          <w:sz w:val="24"/>
        </w:rPr>
        <w:t>STATE OF MICHIGAN IN THE CIRCUIT COURT FOR THE COUNTY OF MUSKEGON</w:t>
      </w:r>
    </w:p>
    <w:p>
      <w:pPr>
        <w:spacing w:line="480" w:lineRule="auto" w:after="0" w:before="0"/>
      </w:pPr>
      <w:r>
        <w:rPr>
          <w:rFonts w:ascii="Times New Roman" w:hAnsi="Times New Roman"/>
          <w:b w:val="0"/>
          <w:i w:val="0"/>
          <w:sz w:val="24"/>
        </w:rPr>
        <w:t>ANDREW JAMES PIGORS, Plaintiff,</w:t>
      </w:r>
    </w:p>
    <w:p>
      <w:pPr>
        <w:spacing w:line="480" w:lineRule="auto" w:after="0" w:before="0"/>
      </w:pPr>
      <w:r>
        <w:rPr>
          <w:rFonts w:ascii="Times New Roman" w:hAnsi="Times New Roman"/>
          <w:b w:val="0"/>
          <w:i w:val="0"/>
          <w:sz w:val="24"/>
        </w:rPr>
        <w:t>v                                Case No. 2024-001507-DC</w:t>
      </w:r>
    </w:p>
    <w:p>
      <w:pPr>
        <w:spacing w:line="480" w:lineRule="auto" w:after="0" w:before="0"/>
      </w:pPr>
      <w:r>
        <w:rPr>
          <w:rFonts w:ascii="Times New Roman" w:hAnsi="Times New Roman"/>
          <w:b w:val="0"/>
          <w:i w:val="0"/>
          <w:sz w:val="24"/>
        </w:rPr>
        <w:t>TIFFANY WATSON (fka PIGORS), Defendant.</w:t>
      </w:r>
    </w:p>
    <w:p>
      <w:pPr>
        <w:spacing w:line="480" w:lineRule="auto" w:after="0" w:before="0"/>
      </w:pPr>
      <w:r>
        <w:rPr>
          <w:rFonts w:ascii="Times New Roman" w:hAnsi="Times New Roman"/>
          <w:b w:val="0"/>
          <w:i w:val="0"/>
          <w:sz w:val="24"/>
        </w:rPr>
        <w:t>Hon. Jenny L. McNeill</w:t>
      </w:r>
    </w:p>
    <w:p>
      <w:pPr>
        <w:spacing w:line="480" w:lineRule="auto" w:after="0" w:before="0"/>
      </w:pPr>
      <w:r>
        <w:rPr>
          <w:rFonts w:ascii="Times New Roman" w:hAnsi="Times New Roman"/>
          <w:b w:val="0"/>
          <w:i w:val="0"/>
          <w:sz w:val="24"/>
        </w:rPr>
        <w:t>Andrew James Pigors (P81671) 1977 Whitehall Rd, Lot 17 North Muskegon, MI 49445 andrewjpigors@gmail.com Plaintiff, In Propria Persona</w:t>
      </w:r>
    </w:p>
    <w:p>
      <w:pPr>
        <w:spacing w:line="480" w:lineRule="auto" w:after="0" w:before="0"/>
      </w:pPr>
      <w:r>
        <w:rPr>
          <w:rFonts w:ascii="Times New Roman" w:hAnsi="Times New Roman"/>
          <w:b w:val="0"/>
          <w:i w:val="0"/>
          <w:sz w:val="24"/>
        </w:rPr>
        <w:t>PLAINTIFF'S MOTION FOR DISQUALIFICATION OF JUDGE</w:t>
      </w:r>
    </w:p>
    <w:p>
      <w:pPr>
        <w:spacing w:line="480" w:lineRule="auto" w:after="0" w:before="0"/>
      </w:pPr>
      <w:r>
        <w:rPr>
          <w:rFonts w:ascii="Times New Roman" w:hAnsi="Times New Roman"/>
          <w:b w:val="0"/>
          <w:i w:val="0"/>
          <w:sz w:val="24"/>
        </w:rPr>
        <w:t>PURSUANT TO MCR 2.003(C)(1)(A) AND (C)(1)(B)</w:t>
      </w:r>
    </w:p>
    <w:p>
      <w:pPr>
        <w:spacing w:line="480" w:lineRule="auto" w:after="0" w:before="0"/>
      </w:pPr>
      <w:r>
        <w:rPr>
          <w:rFonts w:ascii="Times New Roman" w:hAnsi="Times New Roman"/>
          <w:b w:val="0"/>
          <w:i w:val="0"/>
          <w:sz w:val="24"/>
        </w:rPr>
        <w:t>NOW COMES Plaintiff Andrew James Pigors, appearing in propria persona, and respectfully moves this Honorable Court for the disqualification of the Honorable Jenny L. McNeill from all further proceedings in this matter. In support of this Motion, Plaintiff states as follows:</w:t>
      </w:r>
    </w:p>
    <w:p>
      <w:pPr>
        <w:spacing w:line="480" w:lineRule="auto" w:after="0" w:before="0"/>
      </w:pPr>
      <w:r>
        <w:rPr>
          <w:rFonts w:ascii="Times New Roman" w:hAnsi="Times New Roman"/>
          <w:b w:val="0"/>
          <w:i w:val="0"/>
          <w:sz w:val="24"/>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 is the father of the minor child, L.D.W. (DOB: November 9, 2022), and has appeared in propria persona throughout these proceedings. This case was initiated on or about April 1, 2024, as an original action for custody, parenting time, and child support under MCL 722.21 et seq.</w:t>
      </w:r>
    </w:p>
    <w:p>
      <w:pPr>
        <w:spacing w:line="480" w:lineRule="auto" w:after="0" w:before="0"/>
      </w:pPr>
      <w:r>
        <w:rPr>
          <w:rFonts w:ascii="Times New Roman" w:hAnsi="Times New Roman"/>
          <w:b/>
          <w:sz w:val="24"/>
        </w:rPr>
        <w:t xml:space="preserve">2. </w:t>
      </w:r>
      <w:r>
        <w:rPr>
          <w:rFonts w:ascii="Times New Roman" w:hAnsi="Times New Roman"/>
          <w:b w:val="0"/>
          <w:i w:val="0"/>
          <w:sz w:val="24"/>
        </w:rPr>
        <w:t>On August 23, 2024, this Court entered a Final Judgment granting sole legal and sole physical custody of the minor child to Defendant Tiffany Watson, without conducting an evidentiary hearing on the twelve best-interest factors enumerated in MCL 722.23(a)–(l).</w:t>
      </w:r>
    </w:p>
    <w:p>
      <w:pPr>
        <w:spacing w:line="480" w:lineRule="auto" w:after="0" w:before="0"/>
      </w:pPr>
      <w:r>
        <w:rPr>
          <w:rFonts w:ascii="Times New Roman" w:hAnsi="Times New Roman"/>
          <w:b/>
          <w:sz w:val="24"/>
        </w:rPr>
        <w:t xml:space="preserve">3. </w:t>
      </w:r>
      <w:r>
        <w:rPr>
          <w:rFonts w:ascii="Times New Roman" w:hAnsi="Times New Roman"/>
          <w:b w:val="0"/>
          <w:i w:val="0"/>
          <w:sz w:val="24"/>
        </w:rPr>
        <w:t>On or about August 6–8, 2025, this Court entered an ex parte order suspending all of Plaintiff's parenting time with his three-year-old son, without prior notice to Plaintiff and without the verified pleading or specific findings of immediate and irreparable injury required by MCR 3.207(B)(1) and (B)(5)–(6).</w:t>
      </w:r>
    </w:p>
    <w:p>
      <w:pPr>
        <w:spacing w:line="480" w:lineRule="auto" w:after="0" w:before="0"/>
      </w:pPr>
      <w:r>
        <w:rPr>
          <w:rFonts w:ascii="Times New Roman" w:hAnsi="Times New Roman"/>
          <w:b/>
          <w:sz w:val="24"/>
        </w:rPr>
        <w:t xml:space="preserve">4. </w:t>
      </w:r>
      <w:r>
        <w:rPr>
          <w:rFonts w:ascii="Times New Roman" w:hAnsi="Times New Roman"/>
          <w:b w:val="0"/>
          <w:i w:val="0"/>
          <w:sz w:val="24"/>
        </w:rPr>
        <w:t>As of the date of this filing, Plaintiff has been separated from his child for over 329 consecutive days. This extraordinary deprivation of the parent-child relationship, imposed without adequate procedural safeguards, forms the backdrop against which this Motion must be evaluated.</w:t>
      </w:r>
    </w:p>
    <w:p>
      <w:pPr>
        <w:spacing w:line="480" w:lineRule="auto" w:after="0" w:before="0"/>
      </w:pPr>
      <w:r>
        <w:rPr>
          <w:rFonts w:ascii="Times New Roman" w:hAnsi="Times New Roman"/>
          <w:b/>
          <w:sz w:val="24"/>
        </w:rPr>
        <w:t xml:space="preserve">5. </w:t>
      </w:r>
      <w:r>
        <w:rPr>
          <w:rFonts w:ascii="Times New Roman" w:hAnsi="Times New Roman"/>
          <w:b w:val="0"/>
          <w:i w:val="0"/>
          <w:sz w:val="24"/>
        </w:rPr>
        <w:t>Plaintiff brings this Motion pursuant to MCR 2.003(C)(1)(a) and MCR 2.003(C)(1)(b), on the grounds that Judge McNeill is biased and prejudiced against Plaintiff, and that objective and reasonable perceptions establish both a serious risk of actual bias impacting Plaintiff's due process rights and a failure to adhere to the appearance of impropriety standard set forth in Canon 2 of the Michigan Code of Judicial Conduct.</w:t>
      </w:r>
    </w:p>
    <w:p>
      <w:pPr>
        <w:spacing w:line="480" w:lineRule="auto" w:after="0" w:before="0"/>
      </w:pPr>
      <w:r>
        <w:rPr>
          <w:rFonts w:ascii="Times New Roman" w:hAnsi="Times New Roman"/>
          <w:b/>
          <w:sz w:val="24"/>
        </w:rPr>
        <w:t xml:space="preserve">6. </w:t>
      </w:r>
      <w:r>
        <w:rPr>
          <w:rFonts w:ascii="Times New Roman" w:hAnsi="Times New Roman"/>
          <w:b w:val="0"/>
          <w:i w:val="0"/>
          <w:sz w:val="24"/>
        </w:rPr>
        <w:t>This Motion is timely filed pursuant to MCR 2.003(D)(1)(a), within 14 days of the most recent discovery of grounds for disqualification, and before the next scheduled hearing date of March 15, 2026.</w:t>
      </w:r>
    </w:p>
    <w:p>
      <w:pPr>
        <w:spacing w:line="480" w:lineRule="auto" w:after="0" w:before="0"/>
      </w:pPr>
      <w:r>
        <w:rPr>
          <w:rFonts w:ascii="Times New Roman" w:hAnsi="Times New Roman"/>
          <w:b w:val="0"/>
          <w:i w:val="0"/>
          <w:sz w:val="24"/>
        </w:rPr>
        <w:t>II. LEGAL STANDARD — MCR 2.003(C)(1)</w:t>
      </w:r>
    </w:p>
    <w:p>
      <w:pPr>
        <w:spacing w:line="480" w:lineRule="auto" w:after="0" w:before="0"/>
      </w:pPr>
      <w:r>
        <w:rPr>
          <w:rFonts w:ascii="Times New Roman" w:hAnsi="Times New Roman"/>
          <w:b/>
          <w:sz w:val="24"/>
        </w:rPr>
        <w:t xml:space="preserve">7. </w:t>
      </w:r>
      <w:r>
        <w:rPr>
          <w:rFonts w:ascii="Times New Roman" w:hAnsi="Times New Roman"/>
          <w:b w:val="0"/>
          <w:i w:val="0"/>
          <w:sz w:val="24"/>
        </w:rPr>
        <w:t>MCR 2.003(C)(1) provides that "[d]isqualification of a judge is warranted for reasons that include, but are not limited to, the following:</w:t>
      </w:r>
    </w:p>
    <w:p>
      <w:pPr>
        <w:spacing w:line="480" w:lineRule="auto" w:after="0" w:before="0"/>
      </w:pPr>
      <w:r>
        <w:rPr>
          <w:rFonts w:ascii="Times New Roman" w:hAnsi="Times New Roman"/>
          <w:b w:val="0"/>
          <w:i w:val="0"/>
          <w:sz w:val="24"/>
        </w:rPr>
        <w:t>(a) The judge is biased or prejudiced for or against a party or attorney.</w:t>
      </w:r>
    </w:p>
    <w:p>
      <w:pPr>
        <w:spacing w:line="480" w:lineRule="auto" w:after="0" w:before="0"/>
      </w:pPr>
      <w:r>
        <w:rPr>
          <w:rFonts w:ascii="Times New Roman" w:hAnsi="Times New Roman"/>
          <w:b w:val="0"/>
          <w:i w:val="0"/>
          <w:sz w:val="24"/>
        </w:rPr>
        <w:t>(b) The judge, based on objective and reasonable perceptions, has either (i) a serious risk of actual bias impacting the due process rights of a party as enunciated in Caperton v Massey, 556 US 868; 129 S Ct 2252; 173 L Ed 2d 1208 (2009), or (ii) has failed to adhere to the appearance of impropriety standard set forth in Canon 2 of the Michigan Code of Judicial Conduct."</w:t>
      </w:r>
    </w:p>
    <w:p>
      <w:pPr>
        <w:spacing w:line="480" w:lineRule="auto" w:after="0" w:before="0"/>
      </w:pPr>
      <w:r>
        <w:rPr>
          <w:rFonts w:ascii="Times New Roman" w:hAnsi="Times New Roman"/>
          <w:b/>
          <w:sz w:val="24"/>
        </w:rPr>
        <w:t xml:space="preserve">8. </w:t>
      </w:r>
      <w:r>
        <w:rPr>
          <w:rFonts w:ascii="Times New Roman" w:hAnsi="Times New Roman"/>
          <w:b w:val="0"/>
          <w:i w:val="0"/>
          <w:sz w:val="24"/>
        </w:rPr>
        <w:t>The Michigan Supreme Court has held that the test for disqualification is an objective one: "whether a reasonable person, informed of the facts, would have a reasonable basis for doubting the judge's impartiality." Cain v Dep't of Corrections, 451 Mich 470, 497; 548 NW2d 210 (1996).</w:t>
      </w:r>
    </w:p>
    <w:p>
      <w:pPr>
        <w:spacing w:line="480" w:lineRule="auto" w:after="0" w:before="0"/>
      </w:pPr>
      <w:r>
        <w:rPr>
          <w:rFonts w:ascii="Times New Roman" w:hAnsi="Times New Roman"/>
          <w:b/>
          <w:sz w:val="24"/>
        </w:rPr>
        <w:t xml:space="preserve">9. </w:t>
      </w:r>
      <w:r>
        <w:rPr>
          <w:rFonts w:ascii="Times New Roman" w:hAnsi="Times New Roman"/>
          <w:b w:val="0"/>
          <w:i w:val="0"/>
          <w:sz w:val="24"/>
        </w:rPr>
        <w:t>In Armstrong v Ypsilanti Charter Twp, 248 Mich App 573, 597; 640 NW2d 321 (2001), the Court of Appeals emphasized that even the appearance of bias or prejudice is sufficient to warrant disqualification. The standard protects not only against actual bias, but against the reasonable perception of bias.</w:t>
      </w:r>
    </w:p>
    <w:p>
      <w:pPr>
        <w:spacing w:line="480" w:lineRule="auto" w:after="0" w:before="0"/>
      </w:pPr>
      <w:r>
        <w:rPr>
          <w:rFonts w:ascii="Times New Roman" w:hAnsi="Times New Roman"/>
          <w:b/>
          <w:sz w:val="24"/>
        </w:rPr>
        <w:t xml:space="preserve">10. </w:t>
      </w:r>
      <w:r>
        <w:rPr>
          <w:rFonts w:ascii="Times New Roman" w:hAnsi="Times New Roman"/>
          <w:b w:val="0"/>
          <w:i w:val="0"/>
          <w:sz w:val="24"/>
        </w:rPr>
        <w:t>The United States Supreme Court has confirmed that "[t]here is a serious risk of actual bias — based on objective and reasonable perceptions — when a person with a personal stake in a particular case had a significant and disproportionate influence" on the proceeding. Caperton v A.T. Massey Coal Co., 556 US 868, 884 (2009). Due process under the Fourteenth Amendment requires recusal in such circumstances.</w:t>
      </w:r>
    </w:p>
    <w:p>
      <w:pPr>
        <w:spacing w:line="480" w:lineRule="auto" w:after="0" w:before="0"/>
      </w:pPr>
      <w:r>
        <w:rPr>
          <w:rFonts w:ascii="Times New Roman" w:hAnsi="Times New Roman"/>
          <w:b/>
          <w:sz w:val="24"/>
        </w:rPr>
        <w:t xml:space="preserve">11. </w:t>
      </w:r>
      <w:r>
        <w:rPr>
          <w:rFonts w:ascii="Times New Roman" w:hAnsi="Times New Roman"/>
          <w:b w:val="0"/>
          <w:i w:val="0"/>
          <w:sz w:val="24"/>
        </w:rPr>
        <w:t>MCR 2.003(D)(2) requires that "the moving party must include all grounds for disqualification that are known at the time the motion is filed." This Motion comprehensively catalogs all known grounds. An affidavit is attached hereto as Exhibit A, as required by MCR 2.003(D)(2).</w:t>
      </w:r>
    </w:p>
    <w:p>
      <w:pPr>
        <w:spacing w:line="480" w:lineRule="auto" w:after="0" w:before="0"/>
      </w:pPr>
      <w:r>
        <w:rPr>
          <w:rFonts w:ascii="Times New Roman" w:hAnsi="Times New Roman"/>
          <w:b w:val="0"/>
          <w:i w:val="0"/>
          <w:sz w:val="24"/>
        </w:rPr>
        <w:t>III. FACTUAL BASIS FOR DISQUALIFICATION</w:t>
      </w:r>
    </w:p>
    <w:p>
      <w:pPr>
        <w:spacing w:line="480" w:lineRule="auto" w:after="0" w:before="0"/>
      </w:pPr>
      <w:r>
        <w:rPr>
          <w:rFonts w:ascii="Times New Roman" w:hAnsi="Times New Roman"/>
          <w:b w:val="0"/>
          <w:i w:val="0"/>
          <w:sz w:val="24"/>
        </w:rPr>
        <w:t>A. PATTERN OF EX PARTE ORDERS WITHOUT NOTICE OR HEARING</w:t>
      </w:r>
    </w:p>
    <w:p>
      <w:pPr>
        <w:spacing w:line="480" w:lineRule="auto" w:after="0" w:before="0"/>
      </w:pPr>
      <w:r>
        <w:rPr>
          <w:rFonts w:ascii="Times New Roman" w:hAnsi="Times New Roman"/>
          <w:b/>
          <w:sz w:val="24"/>
        </w:rPr>
        <w:t xml:space="preserve">12. </w:t>
      </w:r>
      <w:r>
        <w:rPr>
          <w:rFonts w:ascii="Times New Roman" w:hAnsi="Times New Roman"/>
          <w:b w:val="0"/>
          <w:i w:val="0"/>
          <w:sz w:val="24"/>
        </w:rPr>
        <w:t>Across the duration of this case, the record documents 267 instances of ex parte communications, orders, and procedural irregularities attributable to Judge McNeill's conduct. Of these, 178 are rated critical severity and 89 are rated high severity based on their impact on Plaintiff's rights and the integrity of the proceedings.</w:t>
      </w:r>
    </w:p>
    <w:p>
      <w:pPr>
        <w:spacing w:line="480" w:lineRule="auto" w:after="0" w:before="0"/>
      </w:pPr>
      <w:r>
        <w:rPr>
          <w:rFonts w:ascii="Times New Roman" w:hAnsi="Times New Roman"/>
          <w:b/>
          <w:sz w:val="24"/>
        </w:rPr>
        <w:t xml:space="preserve">13. </w:t>
      </w:r>
      <w:r>
        <w:rPr>
          <w:rFonts w:ascii="Times New Roman" w:hAnsi="Times New Roman"/>
          <w:b w:val="0"/>
          <w:i w:val="0"/>
          <w:sz w:val="24"/>
        </w:rPr>
        <w:t>The following specific ex parte orders were entered without proper notice to Plaintiff and without compliance with MCR 3.207(B)(1) and (B)(5)–(6):</w:t>
      </w:r>
    </w:p>
    <w:p>
      <w:pPr>
        <w:spacing w:line="480" w:lineRule="auto" w:after="0" w:before="0"/>
      </w:pPr>
      <w:r>
        <w:rPr>
          <w:rFonts w:ascii="Times New Roman" w:hAnsi="Times New Roman"/>
          <w:b w:val="0"/>
          <w:i w:val="0"/>
          <w:sz w:val="24"/>
        </w:rPr>
        <w:t>a. April 29, 2024 — Ex parte custody order entered. Plaintiff received no prior notice and no opportunity to be heard. MCR 3.207(B)(1) requires that ex parte custody orders be supported by "specific facts in a verified pleading or affidavit" demonstrating "immediate and irreparable injury" absent the order. No such findings appear on the record.</w:t>
      </w:r>
    </w:p>
    <w:p>
      <w:pPr>
        <w:spacing w:line="480" w:lineRule="auto" w:after="0" w:before="0"/>
      </w:pPr>
      <w:r>
        <w:rPr>
          <w:rFonts w:ascii="Times New Roman" w:hAnsi="Times New Roman"/>
          <w:b w:val="0"/>
          <w:i w:val="0"/>
          <w:sz w:val="24"/>
        </w:rPr>
        <w:t>b. July 1, 2024 — Ex parte custody order entered, further restricting Plaintiff's rights without hearing.</w:t>
      </w:r>
    </w:p>
    <w:p>
      <w:pPr>
        <w:spacing w:line="480" w:lineRule="auto" w:after="0" w:before="0"/>
      </w:pPr>
      <w:r>
        <w:rPr>
          <w:rFonts w:ascii="Times New Roman" w:hAnsi="Times New Roman"/>
          <w:b w:val="0"/>
          <w:i w:val="0"/>
          <w:sz w:val="24"/>
        </w:rPr>
        <w:t>c. August 6–8, 2025 — Ex parte order suspending all of Plaintiff's parenting time with his three-year-old son. Defendant's ex parte motion was filed on August 8, 2025. Plaintiff arrived at the scheduled parenting-time exchange expecting his regular parenting time, only to discover at the exchange location that his parenting time had been terminated by ex parte order. Plaintiff received no advance notice whatsoever.</w:t>
      </w:r>
    </w:p>
    <w:p>
      <w:pPr>
        <w:spacing w:line="480" w:lineRule="auto" w:after="0" w:before="0"/>
      </w:pPr>
      <w:r>
        <w:rPr>
          <w:rFonts w:ascii="Times New Roman" w:hAnsi="Times New Roman"/>
          <w:b w:val="0"/>
          <w:i w:val="0"/>
          <w:sz w:val="24"/>
        </w:rPr>
        <w:t>d. August 22, 2025 — Interim hearing on the ex parte order, but the suspension was continued rather than vacated. The Court did not make the findings required by MCR 3.207(B)(5)–(6) to justify continuation.</w:t>
      </w:r>
    </w:p>
    <w:p>
      <w:pPr>
        <w:spacing w:line="480" w:lineRule="auto" w:after="0" w:before="0"/>
      </w:pPr>
      <w:r>
        <w:rPr>
          <w:rFonts w:ascii="Times New Roman" w:hAnsi="Times New Roman"/>
          <w:b w:val="0"/>
          <w:i w:val="0"/>
          <w:sz w:val="24"/>
        </w:rPr>
        <w:t>e. November 26, 2025 — Hearing on Plaintiff's objection to the ex parte order. The Court again continued the ex parte suspension, extending the total separation to months beyond the 21-day hearing expectation reflected in MCR 3.207(B)(6).</w:t>
      </w:r>
    </w:p>
    <w:p>
      <w:pPr>
        <w:spacing w:line="480" w:lineRule="auto" w:after="0" w:before="0"/>
      </w:pPr>
      <w:r>
        <w:rPr>
          <w:rFonts w:ascii="Times New Roman" w:hAnsi="Times New Roman"/>
          <w:b/>
          <w:sz w:val="24"/>
        </w:rPr>
        <w:t xml:space="preserve">14. </w:t>
      </w:r>
      <w:r>
        <w:rPr>
          <w:rFonts w:ascii="Times New Roman" w:hAnsi="Times New Roman"/>
          <w:b w:val="0"/>
          <w:i w:val="0"/>
          <w:sz w:val="24"/>
        </w:rPr>
        <w:t>MCR 2.119(H) restricts ex parte orders to situations involving "immediate and irreparable injury, loss, or damage." MCR 3.207(B)(1) further requires that ex parte custody and parenting-time orders be supported by verified specific facts. The pattern of entering ex parte orders without these prerequisites — and then continuing them for months without required findings — demonstrates a systematic disregard for Plaintiff's procedural rights. This pattern constitutes bias against Plaintiff under MCR 2.003(C)(1)(a).</w:t>
      </w:r>
    </w:p>
    <w:p>
      <w:pPr>
        <w:spacing w:line="480" w:lineRule="auto" w:after="0" w:before="0"/>
      </w:pPr>
      <w:r>
        <w:rPr>
          <w:rFonts w:ascii="Times New Roman" w:hAnsi="Times New Roman"/>
          <w:b w:val="0"/>
          <w:i w:val="0"/>
          <w:sz w:val="24"/>
        </w:rPr>
        <w:t>B. $250 FILING BOND AS AN ACCESS-TO-COURT BARRIER</w:t>
      </w:r>
    </w:p>
    <w:p>
      <w:pPr>
        <w:spacing w:line="480" w:lineRule="auto" w:after="0" w:before="0"/>
      </w:pPr>
      <w:r>
        <w:rPr>
          <w:rFonts w:ascii="Times New Roman" w:hAnsi="Times New Roman"/>
          <w:b/>
          <w:sz w:val="24"/>
        </w:rPr>
        <w:t xml:space="preserve">15. </w:t>
      </w:r>
      <w:r>
        <w:rPr>
          <w:rFonts w:ascii="Times New Roman" w:hAnsi="Times New Roman"/>
          <w:b w:val="0"/>
          <w:i w:val="0"/>
          <w:sz w:val="24"/>
        </w:rPr>
        <w:t>On May 16, 2025, this Court entered an order imposing a $250.00 filing bond requirement on Plaintiff, requiring Plaintiff to pay $250.00 for each motion before he may file any further motion in this matter.</w:t>
      </w:r>
    </w:p>
    <w:p>
      <w:pPr>
        <w:spacing w:line="480" w:lineRule="auto" w:after="0" w:before="0"/>
      </w:pPr>
      <w:r>
        <w:rPr>
          <w:rFonts w:ascii="Times New Roman" w:hAnsi="Times New Roman"/>
          <w:b/>
          <w:sz w:val="24"/>
        </w:rPr>
        <w:t xml:space="preserve">16. </w:t>
      </w:r>
      <w:r>
        <w:rPr>
          <w:rFonts w:ascii="Times New Roman" w:hAnsi="Times New Roman"/>
          <w:b w:val="0"/>
          <w:i w:val="0"/>
          <w:sz w:val="24"/>
        </w:rPr>
        <w:t>This filing bond was imposed without any finding that Plaintiff's prior filings were frivolous, groundless, or filed for an improper purpose, as required by MCR 2.114(D)–(E) before sanctions may be imposed. MCR 2.114(D) permits sanctions only upon a specific finding that a party's claim or filing was "not well grounded in fact" or "not warranted by existing law or a good faith argument."</w:t>
      </w:r>
    </w:p>
    <w:p>
      <w:pPr>
        <w:spacing w:line="480" w:lineRule="auto" w:after="0" w:before="0"/>
      </w:pPr>
      <w:r>
        <w:rPr>
          <w:rFonts w:ascii="Times New Roman" w:hAnsi="Times New Roman"/>
          <w:b/>
          <w:sz w:val="24"/>
        </w:rPr>
        <w:t xml:space="preserve">17. </w:t>
      </w:r>
      <w:r>
        <w:rPr>
          <w:rFonts w:ascii="Times New Roman" w:hAnsi="Times New Roman"/>
          <w:b w:val="0"/>
          <w:i w:val="0"/>
          <w:sz w:val="24"/>
        </w:rPr>
        <w:t>The practical effect of this filing bond has been devastating. Following the imposition of the PPO proceedings and custody litigation, Plaintiff lost his employment. The $250.00 per-motion barrier has functioned as a complete financial gate preventing Plaintiff from bringing necessary motions regarding his child — including motions to restore parenting time, motions to compel compliance with court orders, and motions to modify custody.</w:t>
      </w:r>
    </w:p>
    <w:p>
      <w:pPr>
        <w:spacing w:line="480" w:lineRule="auto" w:after="0" w:before="0"/>
      </w:pPr>
      <w:r>
        <w:rPr>
          <w:rFonts w:ascii="Times New Roman" w:hAnsi="Times New Roman"/>
          <w:b/>
          <w:sz w:val="24"/>
        </w:rPr>
        <w:t xml:space="preserve">18. </w:t>
      </w:r>
      <w:r>
        <w:rPr>
          <w:rFonts w:ascii="Times New Roman" w:hAnsi="Times New Roman"/>
          <w:b w:val="0"/>
          <w:i w:val="0"/>
          <w:sz w:val="24"/>
        </w:rPr>
        <w:t>The United States Supreme Court has held that the right of access to the courts is a fundamental right. Boddie v Connecticut, 401 US 371, 379 (1971) (holding that due process prohibits states from denying access to courts based on inability to pay). A filing bond that effectively prevents a parent from seeking relief regarding his own child, imposed without a finding of frivolousness, constitutes a punitive barrier evidencing bias against Plaintiff.</w:t>
      </w:r>
    </w:p>
    <w:p>
      <w:pPr>
        <w:spacing w:line="480" w:lineRule="auto" w:after="0" w:before="0"/>
      </w:pPr>
      <w:r>
        <w:rPr>
          <w:rFonts w:ascii="Times New Roman" w:hAnsi="Times New Roman"/>
          <w:b/>
          <w:sz w:val="24"/>
        </w:rPr>
        <w:t xml:space="preserve">19. </w:t>
      </w:r>
      <w:r>
        <w:rPr>
          <w:rFonts w:ascii="Times New Roman" w:hAnsi="Times New Roman"/>
          <w:b w:val="0"/>
          <w:i w:val="0"/>
          <w:sz w:val="24"/>
        </w:rPr>
        <w:t>The disparity is stark: Defendant has filed freely throughout these proceedings, while Plaintiff is uniquely burdened with a per-motion financial toll. This asymmetric access to the Court — imposed only on the pro se father — creates both the reality and the appearance of bias. MCR 2.003(C)(1)(a); MCR 2.003(C)(1)(b)(ii).</w:t>
      </w:r>
    </w:p>
    <w:p>
      <w:pPr>
        <w:spacing w:line="480" w:lineRule="auto" w:after="0" w:before="0"/>
      </w:pPr>
      <w:r>
        <w:rPr>
          <w:rFonts w:ascii="Times New Roman" w:hAnsi="Times New Roman"/>
          <w:b w:val="0"/>
          <w:i w:val="0"/>
          <w:sz w:val="24"/>
        </w:rPr>
        <w:t>C. FAILURE TO CONDUCT REQUIRED BEST-INTEREST ANALYSIS</w:t>
      </w:r>
    </w:p>
    <w:p>
      <w:pPr>
        <w:spacing w:line="480" w:lineRule="auto" w:after="0" w:before="0"/>
      </w:pPr>
      <w:r>
        <w:rPr>
          <w:rFonts w:ascii="Times New Roman" w:hAnsi="Times New Roman"/>
          <w:b/>
          <w:sz w:val="24"/>
        </w:rPr>
        <w:t xml:space="preserve">20. </w:t>
      </w:r>
      <w:r>
        <w:rPr>
          <w:rFonts w:ascii="Times New Roman" w:hAnsi="Times New Roman"/>
          <w:b w:val="0"/>
          <w:i w:val="0"/>
          <w:sz w:val="24"/>
        </w:rPr>
        <w:t>MCL 722.23 enumerates twelve factors, (a) through (l), that the court "shall consider, evaluate, and determine" in resolving child custody disputes. MCL 722.27(1)(c) further provides that "[t]he court shall not modify or amend its previous judgments or orders or issue a new order so as to change the established custodial environment of a child unless there is presented clear and convincing evidence that it is in the best interest of the child."</w:t>
      </w:r>
    </w:p>
    <w:p>
      <w:pPr>
        <w:spacing w:line="480" w:lineRule="auto" w:after="0" w:before="0"/>
      </w:pPr>
      <w:r>
        <w:rPr>
          <w:rFonts w:ascii="Times New Roman" w:hAnsi="Times New Roman"/>
          <w:b/>
          <w:sz w:val="24"/>
        </w:rPr>
        <w:t xml:space="preserve">21. </w:t>
      </w:r>
      <w:r>
        <w:rPr>
          <w:rFonts w:ascii="Times New Roman" w:hAnsi="Times New Roman"/>
          <w:b w:val="0"/>
          <w:i w:val="0"/>
          <w:sz w:val="24"/>
        </w:rPr>
        <w:t>Despite these mandatory requirements, this Court entered the August 23, 2024 Final Judgment granting sole legal and sole physical custody to Defendant without:</w:t>
      </w:r>
    </w:p>
    <w:p>
      <w:pPr>
        <w:spacing w:line="480" w:lineRule="auto" w:after="0" w:before="0"/>
      </w:pPr>
      <w:r>
        <w:rPr>
          <w:rFonts w:ascii="Times New Roman" w:hAnsi="Times New Roman"/>
          <w:b w:val="0"/>
          <w:i w:val="0"/>
          <w:sz w:val="24"/>
        </w:rPr>
        <w:t>a. Conducting an evidentiary hearing on the MCL 722.23(a)–(l) factors;</w:t>
      </w:r>
    </w:p>
    <w:p>
      <w:pPr>
        <w:spacing w:line="480" w:lineRule="auto" w:after="0" w:before="0"/>
      </w:pPr>
      <w:r>
        <w:rPr>
          <w:rFonts w:ascii="Times New Roman" w:hAnsi="Times New Roman"/>
          <w:b w:val="0"/>
          <w:i w:val="0"/>
          <w:sz w:val="24"/>
        </w:rPr>
        <w:t>b. Making findings of fact on the record as to each statutory factor;</w:t>
      </w:r>
    </w:p>
    <w:p>
      <w:pPr>
        <w:spacing w:line="480" w:lineRule="auto" w:after="0" w:before="0"/>
      </w:pPr>
      <w:r>
        <w:rPr>
          <w:rFonts w:ascii="Times New Roman" w:hAnsi="Times New Roman"/>
          <w:b w:val="0"/>
          <w:i w:val="0"/>
          <w:sz w:val="24"/>
        </w:rPr>
        <w:t>c. Applying the clear-and-convincing-evidence standard required by MCL 722.27(1)(c) when modifying an established custodial environment.</w:t>
      </w:r>
    </w:p>
    <w:p>
      <w:pPr>
        <w:spacing w:line="480" w:lineRule="auto" w:after="0" w:before="0"/>
      </w:pPr>
      <w:r>
        <w:rPr>
          <w:rFonts w:ascii="Times New Roman" w:hAnsi="Times New Roman"/>
          <w:b/>
          <w:sz w:val="24"/>
        </w:rPr>
        <w:t xml:space="preserve">22. </w:t>
      </w:r>
      <w:r>
        <w:rPr>
          <w:rFonts w:ascii="Times New Roman" w:hAnsi="Times New Roman"/>
          <w:b w:val="0"/>
          <w:i w:val="0"/>
          <w:sz w:val="24"/>
        </w:rPr>
        <w:t>Similarly, the August 6–8, 2025 ex parte suspension of all parenting time was imposed without any analysis of the best-interest factors and without the required findings under MCR 3.207(B)(5)–(6) that "immediate and irreparable injury, loss, or damage will result" absent the ex parte order.</w:t>
      </w:r>
    </w:p>
    <w:p>
      <w:pPr>
        <w:spacing w:line="480" w:lineRule="auto" w:after="0" w:before="0"/>
      </w:pPr>
      <w:r>
        <w:rPr>
          <w:rFonts w:ascii="Times New Roman" w:hAnsi="Times New Roman"/>
          <w:b/>
          <w:sz w:val="24"/>
        </w:rPr>
        <w:t xml:space="preserve">23. </w:t>
      </w:r>
      <w:r>
        <w:rPr>
          <w:rFonts w:ascii="Times New Roman" w:hAnsi="Times New Roman"/>
          <w:b w:val="0"/>
          <w:i w:val="0"/>
          <w:sz w:val="24"/>
        </w:rPr>
        <w:t>The Michigan Court of Appeals has held that a trial court's failure to make specific findings on each best-interest factor constitutes reversible error. Vodvarka v Grasmeyer, 259 Mich App 1, 8; 672 NW2d 847 (2003) (requiring proper cause or change of circumstances and best-interest analysis before modifying custody). A pattern of entering custody-altering orders without the required statutory analysis evidences a predetermined outcome — a hallmark of judicial bias.</w:t>
      </w:r>
    </w:p>
    <w:p>
      <w:pPr>
        <w:spacing w:line="480" w:lineRule="auto" w:after="0" w:before="0"/>
      </w:pPr>
      <w:r>
        <w:rPr>
          <w:rFonts w:ascii="Times New Roman" w:hAnsi="Times New Roman"/>
          <w:b w:val="0"/>
          <w:i w:val="0"/>
          <w:sz w:val="24"/>
        </w:rPr>
        <w:t>D. PRO SE ACCOMMODATION FAILURES</w:t>
      </w:r>
    </w:p>
    <w:p>
      <w:pPr>
        <w:spacing w:line="480" w:lineRule="auto" w:after="0" w:before="0"/>
      </w:pPr>
      <w:r>
        <w:rPr>
          <w:rFonts w:ascii="Times New Roman" w:hAnsi="Times New Roman"/>
          <w:b/>
          <w:sz w:val="24"/>
        </w:rPr>
        <w:t xml:space="preserve">24. </w:t>
      </w:r>
      <w:r>
        <w:rPr>
          <w:rFonts w:ascii="Times New Roman" w:hAnsi="Times New Roman"/>
          <w:b w:val="0"/>
          <w:i w:val="0"/>
          <w:sz w:val="24"/>
        </w:rPr>
        <w:t>Canon 3(B)(5) of the Michigan Code of Judicial Conduct requires that a judge "shall perform judicial duties without bias or prejudice" and Canon 3(A)(4) requires a judge to "be patient, dignified, and courteous to litigants."</w:t>
      </w:r>
    </w:p>
    <w:p>
      <w:pPr>
        <w:spacing w:line="480" w:lineRule="auto" w:after="0" w:before="0"/>
      </w:pPr>
      <w:r>
        <w:rPr>
          <w:rFonts w:ascii="Times New Roman" w:hAnsi="Times New Roman"/>
          <w:b/>
          <w:sz w:val="24"/>
        </w:rPr>
        <w:t xml:space="preserve">25. </w:t>
      </w:r>
      <w:r>
        <w:rPr>
          <w:rFonts w:ascii="Times New Roman" w:hAnsi="Times New Roman"/>
          <w:b w:val="0"/>
          <w:i w:val="0"/>
          <w:sz w:val="24"/>
        </w:rPr>
        <w:t>MCR 3.206(A) provides that when a party appears "without the assistance of counsel, the friend of the court must provide [the party] with the form pleadings and written instructions and must schedule a hearing." This Court has failed to ensure compliance with this rule.</w:t>
      </w:r>
    </w:p>
    <w:p>
      <w:pPr>
        <w:spacing w:line="480" w:lineRule="auto" w:after="0" w:before="0"/>
      </w:pPr>
      <w:r>
        <w:rPr>
          <w:rFonts w:ascii="Times New Roman" w:hAnsi="Times New Roman"/>
          <w:b/>
          <w:sz w:val="24"/>
        </w:rPr>
        <w:t xml:space="preserve">26. </w:t>
      </w:r>
      <w:r>
        <w:rPr>
          <w:rFonts w:ascii="Times New Roman" w:hAnsi="Times New Roman"/>
          <w:b w:val="0"/>
          <w:i w:val="0"/>
          <w:sz w:val="24"/>
        </w:rPr>
        <w:t>Throughout these proceedings, Judge McNeill has exhibited a pattern of hostility and dismissiveness toward Plaintiff's pro se filings and oral presentations, including:</w:t>
      </w:r>
    </w:p>
    <w:p>
      <w:pPr>
        <w:spacing w:line="480" w:lineRule="auto" w:after="0" w:before="0"/>
      </w:pPr>
      <w:r>
        <w:rPr>
          <w:rFonts w:ascii="Times New Roman" w:hAnsi="Times New Roman"/>
          <w:b w:val="0"/>
          <w:i w:val="0"/>
          <w:sz w:val="24"/>
        </w:rPr>
        <w:t>a. Muting Plaintiff's microphone during hearings, cutting off Plaintiff mid-objection;</w:t>
      </w:r>
    </w:p>
    <w:p>
      <w:pPr>
        <w:spacing w:line="480" w:lineRule="auto" w:after="0" w:before="0"/>
      </w:pPr>
      <w:r>
        <w:rPr>
          <w:rFonts w:ascii="Times New Roman" w:hAnsi="Times New Roman"/>
          <w:b w:val="0"/>
          <w:i w:val="0"/>
          <w:sz w:val="24"/>
        </w:rPr>
        <w:t>b. Instructing Plaintiff not to file further materials and stating that the Court would not review them;</w:t>
      </w:r>
    </w:p>
    <w:p>
      <w:pPr>
        <w:spacing w:line="480" w:lineRule="auto" w:after="0" w:before="0"/>
      </w:pPr>
      <w:r>
        <w:rPr>
          <w:rFonts w:ascii="Times New Roman" w:hAnsi="Times New Roman"/>
          <w:b w:val="0"/>
          <w:i w:val="0"/>
          <w:sz w:val="24"/>
        </w:rPr>
        <w:t>c. Holding Plaintiff's pro se filings to a standard more exacting than that applied to Defendant's counsel, while simultaneously refusing to consider the substance of Plaintiff's submissions;</w:t>
      </w:r>
    </w:p>
    <w:p>
      <w:pPr>
        <w:spacing w:line="480" w:lineRule="auto" w:after="0" w:before="0"/>
      </w:pPr>
      <w:r>
        <w:rPr>
          <w:rFonts w:ascii="Times New Roman" w:hAnsi="Times New Roman"/>
          <w:b w:val="0"/>
          <w:i w:val="0"/>
          <w:sz w:val="24"/>
        </w:rPr>
        <w:t>d. Failing to make reasonable accommodations for Plaintiff's self-represented status, as required by Canon 3(A)(4) and Canon 3(B)(8) of the Michigan Code of Judicial Conduct.</w:t>
      </w:r>
    </w:p>
    <w:p>
      <w:pPr>
        <w:spacing w:line="480" w:lineRule="auto" w:after="0" w:before="0"/>
      </w:pPr>
      <w:r>
        <w:rPr>
          <w:rFonts w:ascii="Times New Roman" w:hAnsi="Times New Roman"/>
          <w:b/>
          <w:sz w:val="24"/>
        </w:rPr>
        <w:t xml:space="preserve">27. </w:t>
      </w:r>
      <w:r>
        <w:rPr>
          <w:rFonts w:ascii="Times New Roman" w:hAnsi="Times New Roman"/>
          <w:b w:val="0"/>
          <w:i w:val="0"/>
          <w:sz w:val="24"/>
        </w:rPr>
        <w:t>The combination of muting a pro se litigant, instructing him not to file, and then imposing a $250 filing bond creates a complete silencing — a procedural trap from which Plaintiff cannot escape. A reasonable person would question the impartiality of a judge who so systematically restricts one party's ability to be heard. MCR 2.003(C)(1)(b)(ii).</w:t>
      </w:r>
    </w:p>
    <w:p>
      <w:pPr>
        <w:spacing w:line="480" w:lineRule="auto" w:after="0" w:before="0"/>
      </w:pPr>
      <w:r>
        <w:rPr>
          <w:rFonts w:ascii="Times New Roman" w:hAnsi="Times New Roman"/>
          <w:b w:val="0"/>
          <w:i w:val="0"/>
          <w:sz w:val="24"/>
        </w:rPr>
        <w:t>E. OFF-RECORD EVIDENCE HANDLING</w:t>
      </w:r>
    </w:p>
    <w:p>
      <w:pPr>
        <w:spacing w:line="480" w:lineRule="auto" w:after="0" w:before="0"/>
      </w:pPr>
      <w:r>
        <w:rPr>
          <w:rFonts w:ascii="Times New Roman" w:hAnsi="Times New Roman"/>
          <w:b/>
          <w:sz w:val="24"/>
        </w:rPr>
        <w:t xml:space="preserve">28. </w:t>
      </w:r>
      <w:r>
        <w:rPr>
          <w:rFonts w:ascii="Times New Roman" w:hAnsi="Times New Roman"/>
          <w:b w:val="0"/>
          <w:i w:val="0"/>
          <w:sz w:val="24"/>
        </w:rPr>
        <w:t>During the course of these proceedings, the Court received and considered evidence off the record and ex parte, in violation of Canon 3(A)(5) of the Michigan Code of Judicial Conduct, which bars ex parte communications on the merits of pending matters.</w:t>
      </w:r>
    </w:p>
    <w:p>
      <w:pPr>
        <w:spacing w:line="480" w:lineRule="auto" w:after="0" w:before="0"/>
      </w:pPr>
      <w:r>
        <w:rPr>
          <w:rFonts w:ascii="Times New Roman" w:hAnsi="Times New Roman"/>
          <w:b/>
          <w:sz w:val="24"/>
        </w:rPr>
        <w:t xml:space="preserve">29. </w:t>
      </w:r>
      <w:r>
        <w:rPr>
          <w:rFonts w:ascii="Times New Roman" w:hAnsi="Times New Roman"/>
          <w:b w:val="0"/>
          <w:i w:val="0"/>
          <w:sz w:val="24"/>
        </w:rPr>
        <w:t>Specifically, a USB recording and mental-health evaluation materials were submitted and handled outside the normal evidentiary process. Plaintiff attempted to present exculpatory photographs from the July 29, 2025 parenting-time exchange showing the minor child's well-being, but the Court refused to review them while simultaneously relying on unsworn, hearsay materials submitted ex parte by Defendant.</w:t>
      </w:r>
    </w:p>
    <w:p>
      <w:pPr>
        <w:spacing w:line="480" w:lineRule="auto" w:after="0" w:before="0"/>
      </w:pPr>
      <w:r>
        <w:rPr>
          <w:rFonts w:ascii="Times New Roman" w:hAnsi="Times New Roman"/>
          <w:b/>
          <w:sz w:val="24"/>
        </w:rPr>
        <w:t xml:space="preserve">30. </w:t>
      </w:r>
      <w:r>
        <w:rPr>
          <w:rFonts w:ascii="Times New Roman" w:hAnsi="Times New Roman"/>
          <w:b w:val="0"/>
          <w:i w:val="0"/>
          <w:sz w:val="24"/>
        </w:rPr>
        <w:t>This asymmetric evidence handling — accepting Defendant's ex parte submissions while refusing Plaintiff's exculpatory evidence — is inconsistent with Canon 3 of the Michigan Code of Judicial Conduct and with the fundamental requirement that judicial decisions be based on the record. The combination of ex parte submissions, refusal to review exculpatory evidence, and willingness to rely on hearsay demonstrates actual bias. MCR 2.003(C)(1)(a).</w:t>
      </w:r>
    </w:p>
    <w:p>
      <w:pPr>
        <w:spacing w:line="480" w:lineRule="auto" w:after="0" w:before="0"/>
      </w:pPr>
      <w:r>
        <w:rPr>
          <w:rFonts w:ascii="Times New Roman" w:hAnsi="Times New Roman"/>
          <w:b w:val="0"/>
          <w:i w:val="0"/>
          <w:sz w:val="24"/>
        </w:rPr>
        <w:t>F. UNEQUAL TREATMENT AND PATTERN OF FAVORING DEFENDANT</w:t>
      </w:r>
    </w:p>
    <w:p>
      <w:pPr>
        <w:spacing w:line="480" w:lineRule="auto" w:after="0" w:before="0"/>
      </w:pPr>
      <w:r>
        <w:rPr>
          <w:rFonts w:ascii="Times New Roman" w:hAnsi="Times New Roman"/>
          <w:b/>
          <w:sz w:val="24"/>
        </w:rPr>
        <w:t xml:space="preserve">31. </w:t>
      </w:r>
      <w:r>
        <w:rPr>
          <w:rFonts w:ascii="Times New Roman" w:hAnsi="Times New Roman"/>
          <w:b w:val="0"/>
          <w:i w:val="0"/>
          <w:sz w:val="24"/>
        </w:rPr>
        <w:t>The cumulative pattern of this Court's rulings reveals systematic favoritism toward Defendant and hostility toward Plaintiff:</w:t>
      </w:r>
    </w:p>
    <w:p>
      <w:pPr>
        <w:spacing w:line="480" w:lineRule="auto" w:after="0" w:before="0"/>
      </w:pPr>
      <w:r>
        <w:rPr>
          <w:rFonts w:ascii="Times New Roman" w:hAnsi="Times New Roman"/>
          <w:b w:val="0"/>
          <w:i w:val="0"/>
          <w:sz w:val="24"/>
        </w:rPr>
        <w:t>a. Every contested custody determination has been resolved in Defendant's favor, culminating in sole legal and sole physical custody without an evidentiary hearing;</w:t>
      </w:r>
    </w:p>
    <w:p>
      <w:pPr>
        <w:spacing w:line="480" w:lineRule="auto" w:after="0" w:before="0"/>
      </w:pPr>
      <w:r>
        <w:rPr>
          <w:rFonts w:ascii="Times New Roman" w:hAnsi="Times New Roman"/>
          <w:b w:val="0"/>
          <w:i w:val="0"/>
          <w:sz w:val="24"/>
        </w:rPr>
        <w:t>b. Every ex parte request by Defendant has been granted, while Plaintiff's filings have been met with hostility, sanctions, and a filing bond;</w:t>
      </w:r>
    </w:p>
    <w:p>
      <w:pPr>
        <w:spacing w:line="480" w:lineRule="auto" w:after="0" w:before="0"/>
      </w:pPr>
      <w:r>
        <w:rPr>
          <w:rFonts w:ascii="Times New Roman" w:hAnsi="Times New Roman"/>
          <w:b w:val="0"/>
          <w:i w:val="0"/>
          <w:sz w:val="24"/>
        </w:rPr>
        <w:t>c. Parenting time has been progressively restricted from the initial arrangement to complete suspension, without the statutory analysis required by MCL 722.23 and MCL 722.27a(3);</w:t>
      </w:r>
    </w:p>
    <w:p>
      <w:pPr>
        <w:spacing w:line="480" w:lineRule="auto" w:after="0" w:before="0"/>
      </w:pPr>
      <w:r>
        <w:rPr>
          <w:rFonts w:ascii="Times New Roman" w:hAnsi="Times New Roman"/>
          <w:b w:val="0"/>
          <w:i w:val="0"/>
          <w:sz w:val="24"/>
        </w:rPr>
        <w:t>d. Plaintiff's parenting time was withheld for 37 consecutive days (March 26–May 2, 2024) without court intervention; additional withholding periods followed, including from October 20 to November 12, 2024, with no enforcement by the Court;</w:t>
      </w:r>
    </w:p>
    <w:p>
      <w:pPr>
        <w:spacing w:line="480" w:lineRule="auto" w:after="0" w:before="0"/>
      </w:pPr>
      <w:r>
        <w:rPr>
          <w:rFonts w:ascii="Times New Roman" w:hAnsi="Times New Roman"/>
          <w:b w:val="0"/>
          <w:i w:val="0"/>
          <w:sz w:val="24"/>
        </w:rPr>
        <w:t>e. Plaintiff was ordered to undergo a mental health assessment at Health West on September 22, 2025, as a condition of regaining parenting time, while no parallel requirement was imposed on Defendant — despite Defendant's documented pattern of alienating behavior under MCL 722.23(j);</w:t>
      </w:r>
    </w:p>
    <w:p>
      <w:pPr>
        <w:spacing w:line="480" w:lineRule="auto" w:after="0" w:before="0"/>
      </w:pPr>
      <w:r>
        <w:rPr>
          <w:rFonts w:ascii="Times New Roman" w:hAnsi="Times New Roman"/>
          <w:b w:val="0"/>
          <w:i w:val="0"/>
          <w:sz w:val="24"/>
        </w:rPr>
        <w:t>f. The Court failed to enforce its own orders when Defendant refused to facilitate parenting time (including Easter 2025 and make-up days), declined to facilitate video chats, and obstructed medical information sharing — all in violation of parenting-time provisions. See MCL 722.27a(3) (court "shall not modify or amend" parenting time absent proper cause).</w:t>
      </w:r>
    </w:p>
    <w:p>
      <w:pPr>
        <w:spacing w:line="480" w:lineRule="auto" w:after="0" w:before="0"/>
      </w:pPr>
      <w:r>
        <w:rPr>
          <w:rFonts w:ascii="Times New Roman" w:hAnsi="Times New Roman"/>
          <w:b/>
          <w:sz w:val="24"/>
        </w:rPr>
        <w:t xml:space="preserve">32. </w:t>
      </w:r>
      <w:r>
        <w:rPr>
          <w:rFonts w:ascii="Times New Roman" w:hAnsi="Times New Roman"/>
          <w:b w:val="0"/>
          <w:i w:val="0"/>
          <w:sz w:val="24"/>
        </w:rPr>
        <w:t>Michigan courts have recognized that a pattern of one-sided rulings, combined with procedural irregularities, can establish the appearance of bias sufficient to warrant disqualification. Armstrong v Ypsilanti Charter Twp, 248 Mich App 573, 597 (2001). The pattern here is not one of isolated error but of sustained, directional prejudice against a single party.</w:t>
      </w:r>
    </w:p>
    <w:p>
      <w:pPr>
        <w:spacing w:line="480" w:lineRule="auto" w:after="0" w:before="0"/>
      </w:pPr>
      <w:r>
        <w:rPr>
          <w:rFonts w:ascii="Times New Roman" w:hAnsi="Times New Roman"/>
          <w:b w:val="0"/>
          <w:i w:val="0"/>
          <w:sz w:val="24"/>
        </w:rPr>
        <w:t>IV. THE VIOLATION CENSUS</w:t>
      </w:r>
    </w:p>
    <w:p>
      <w:pPr>
        <w:spacing w:line="480" w:lineRule="auto" w:after="0" w:before="0"/>
      </w:pPr>
      <w:r>
        <w:rPr>
          <w:rFonts w:ascii="Times New Roman" w:hAnsi="Times New Roman"/>
          <w:b/>
          <w:sz w:val="24"/>
        </w:rPr>
        <w:t xml:space="preserve">33. </w:t>
      </w:r>
      <w:r>
        <w:rPr>
          <w:rFonts w:ascii="Times New Roman" w:hAnsi="Times New Roman"/>
          <w:b w:val="0"/>
          <w:i w:val="0"/>
          <w:sz w:val="24"/>
        </w:rPr>
        <w:t>Plaintiff has conducted a comprehensive review of the record in this matter, documenting and categorizing every identifiable instance of judicial conduct that deviates from the requirements of the Michigan Court Rules, the Michigan Code of Judicial Conduct, the Michigan Compiled Laws, and applicable constitutional standards. The results are summarized below.</w:t>
      </w:r>
    </w:p>
    <w:p>
      <w:pPr>
        <w:spacing w:line="480" w:lineRule="auto" w:after="0" w:before="0"/>
      </w:pPr>
      <w:r>
        <w:rPr>
          <w:rFonts w:ascii="Times New Roman" w:hAnsi="Times New Roman"/>
          <w:b w:val="0"/>
          <w:i w:val="0"/>
          <w:sz w:val="24"/>
        </w:rPr>
        <w:t>TABLE 1: JUDICIAL VIOLATION CENSUS -- SUMMARY BY CATEGORY</w:t>
      </w:r>
    </w:p>
    <w:p>
      <w:pPr>
        <w:spacing w:line="480" w:lineRule="auto" w:after="0" w:before="0"/>
      </w:pPr>
      <w:r>
        <w:rPr>
          <w:rFonts w:ascii="Times New Roman" w:hAnsi="Times New Roman"/>
          <w:b w:val="0"/>
          <w:i w:val="0"/>
          <w:sz w:val="24"/>
        </w:rPr>
        <w:t>Category                            Total    Critical  High  Medium/Low Ex Parte Communications/Orders       267       178      89       -- Custody/Parenting Time Violations    246       116      48       82 Hearing Denial/Procedural Defects    142        68      13       61 Evidentiary/Factual Deficiencies     117        51      28       38 Bias/Prejudice Indicators             46        22      24       -- Due Process Violations                40        25      15       -- Sanctions/Access Barriers             12         6       3        3 Pro Se Accommodation Failures          3         1      --        2 TOTAL                              1,127       377     243     484+</w:t>
      </w:r>
    </w:p>
    <w:p>
      <w:pPr>
        <w:spacing w:line="480" w:lineRule="auto" w:after="0" w:before="0"/>
      </w:pPr>
      <w:r>
        <w:rPr>
          <w:rFonts w:ascii="Times New Roman" w:hAnsi="Times New Roman"/>
          <w:b/>
          <w:sz w:val="24"/>
        </w:rPr>
        <w:t xml:space="preserve">34. </w:t>
      </w:r>
      <w:r>
        <w:rPr>
          <w:rFonts w:ascii="Times New Roman" w:hAnsi="Times New Roman"/>
          <w:b w:val="0"/>
          <w:i w:val="0"/>
          <w:sz w:val="24"/>
        </w:rPr>
        <w:t>In addition to the 1,127 documented judicial violations, the record reveals 504 separate benchbook violations, cataloged by the governing authority violated:</w:t>
      </w:r>
    </w:p>
    <w:p>
      <w:pPr>
        <w:spacing w:line="480" w:lineRule="auto" w:after="0" w:before="0"/>
      </w:pPr>
      <w:r>
        <w:rPr>
          <w:rFonts w:ascii="Times New Roman" w:hAnsi="Times New Roman"/>
          <w:b w:val="0"/>
          <w:i w:val="0"/>
          <w:sz w:val="24"/>
        </w:rPr>
        <w:t>TABLE 2: BENCHBOOK VIOLATIONS -- TOP CATEGORIES</w:t>
      </w:r>
    </w:p>
    <w:p>
      <w:pPr>
        <w:spacing w:line="480" w:lineRule="auto" w:after="0" w:before="0"/>
      </w:pPr>
      <w:r>
        <w:rPr>
          <w:rFonts w:ascii="Times New Roman" w:hAnsi="Times New Roman"/>
          <w:b w:val="0"/>
          <w:i w:val="0"/>
          <w:sz w:val="24"/>
        </w:rPr>
        <w:t>Authority Violated                                    Violation Count Canon 2(B) -- Appearance of Impropriety                    150 MCL 552.511b -- Friend of the Court Duties                  99 MCR 3.207(B) -- Ex Parte Custody/PT Orders                  96 MCR 3.210(C) -- Hearing Requirements                        87 Canon 3(A)(4) -- Judicial Conduct in Proceedings             72 TOTAL BENCHBOOK VIOLATIONS                                  504</w:t>
      </w:r>
    </w:p>
    <w:p>
      <w:pPr>
        <w:spacing w:line="480" w:lineRule="auto" w:after="0" w:before="0"/>
      </w:pPr>
      <w:r>
        <w:rPr>
          <w:rFonts w:ascii="Times New Roman" w:hAnsi="Times New Roman"/>
          <w:b/>
          <w:sz w:val="24"/>
        </w:rPr>
        <w:t xml:space="preserve">35. </w:t>
      </w:r>
      <w:r>
        <w:rPr>
          <w:rFonts w:ascii="Times New Roman" w:hAnsi="Times New Roman"/>
          <w:b w:val="0"/>
          <w:i w:val="0"/>
          <w:sz w:val="24"/>
        </w:rPr>
        <w:t>The sheer volume of these violations — 1,127 judicial violations including 377 at critical severity, plus 504 benchbook violations — distinguishes this case from the ordinary judicial error. This is not a matter of occasional mistakes or reasonable differences of legal opinion. A pattern of 267 ex parte violations (all at critical or high severity), 150 violations of Canon 2(B)'s appearance-of-impropriety standard, and 96 violations of MCR 3.207(B)'s ex parte order requirements establishes, by overwhelming weight of the record, that disqualification is not merely warranted — it is compelled.</w:t>
      </w:r>
    </w:p>
    <w:p>
      <w:pPr>
        <w:spacing w:line="480" w:lineRule="auto" w:after="0" w:before="0"/>
      </w:pPr>
      <w:r>
        <w:rPr>
          <w:rFonts w:ascii="Times New Roman" w:hAnsi="Times New Roman"/>
          <w:b/>
          <w:sz w:val="24"/>
        </w:rPr>
        <w:t xml:space="preserve">36. </w:t>
      </w:r>
      <w:r>
        <w:rPr>
          <w:rFonts w:ascii="Times New Roman" w:hAnsi="Times New Roman"/>
          <w:b w:val="0"/>
          <w:i w:val="0"/>
          <w:sz w:val="24"/>
        </w:rPr>
        <w:t>The Michigan Supreme Court has recognized that patterns of judicial misconduct, even when individual instances might be explained in isolation, can collectively establish grounds for removal or disqualification. See In re Hocking, 451 Mich 1; 546 NW2d 234 (1996) (pattern of judicial conduct relevant to determining fitness). The documented pattern here far exceeds any reasonable threshold.</w:t>
      </w:r>
    </w:p>
    <w:p>
      <w:pPr>
        <w:spacing w:line="480" w:lineRule="auto" w:after="0" w:before="0"/>
      </w:pPr>
      <w:r>
        <w:rPr>
          <w:rFonts w:ascii="Times New Roman" w:hAnsi="Times New Roman"/>
          <w:b w:val="0"/>
          <w:i w:val="0"/>
          <w:sz w:val="24"/>
        </w:rPr>
        <w:t>V. CONSTITUTIONAL DIMENSIONS</w:t>
      </w:r>
    </w:p>
    <w:p>
      <w:pPr>
        <w:spacing w:line="480" w:lineRule="auto" w:after="0" w:before="0"/>
      </w:pPr>
      <w:r>
        <w:rPr>
          <w:rFonts w:ascii="Times New Roman" w:hAnsi="Times New Roman"/>
          <w:b/>
          <w:sz w:val="24"/>
        </w:rPr>
        <w:t xml:space="preserve">37. </w:t>
      </w:r>
      <w:r>
        <w:rPr>
          <w:rFonts w:ascii="Times New Roman" w:hAnsi="Times New Roman"/>
          <w:b w:val="0"/>
          <w:i w:val="0"/>
          <w:sz w:val="24"/>
        </w:rPr>
        <w:t>The fundamental right of parents to the care, custody, and control of their children is "perhaps the oldest of the fundamental liberty interests recognized by this Court." Troxel v Granville, 530 US 57, 65 (2000). This right is protected by the Due Process Clause of the Fourteenth Amendment.</w:t>
      </w:r>
    </w:p>
    <w:p>
      <w:pPr>
        <w:spacing w:line="480" w:lineRule="auto" w:after="0" w:before="0"/>
      </w:pPr>
      <w:r>
        <w:rPr>
          <w:rFonts w:ascii="Times New Roman" w:hAnsi="Times New Roman"/>
          <w:b/>
          <w:sz w:val="24"/>
        </w:rPr>
        <w:t xml:space="preserve">38. </w:t>
      </w:r>
      <w:r>
        <w:rPr>
          <w:rFonts w:ascii="Times New Roman" w:hAnsi="Times New Roman"/>
          <w:b w:val="0"/>
          <w:i w:val="0"/>
          <w:sz w:val="24"/>
        </w:rPr>
        <w:t>The deprivation of Plaintiff's parenting time for over 329 days — imposed initially by ex parte order, continued without required findings, and effectively made permanent by the $250 filing bond that prevents Plaintiff from seeking relief — implicates Plaintiff's fundamental constitutional rights. A biased judge who presides over the termination of these rights denies Plaintiff the "fair trial in a fair tribunal" guaranteed by the Due Process Clause. Caperton, 556 US at 876.</w:t>
      </w:r>
    </w:p>
    <w:p>
      <w:pPr>
        <w:spacing w:line="480" w:lineRule="auto" w:after="0" w:before="0"/>
      </w:pPr>
      <w:r>
        <w:rPr>
          <w:rFonts w:ascii="Times New Roman" w:hAnsi="Times New Roman"/>
          <w:b/>
          <w:sz w:val="24"/>
        </w:rPr>
        <w:t xml:space="preserve">39. </w:t>
      </w:r>
      <w:r>
        <w:rPr>
          <w:rFonts w:ascii="Times New Roman" w:hAnsi="Times New Roman"/>
          <w:b w:val="0"/>
          <w:i w:val="0"/>
          <w:sz w:val="24"/>
        </w:rPr>
        <w:t>Where a judge's pattern of conduct creates an "unconstitutional potential for bias," disqualification is constitutionally required regardless of whether actual bias is proven. Caperton, 556 US at 881. The record in this case — 1,127 violations, 267 ex parte irregularities, complete suppression of parenting time without required findings, asymmetric access to the court — far surpasses the threshold for constitutionally compelled disqualification.</w:t>
      </w:r>
    </w:p>
    <w:p>
      <w:pPr>
        <w:spacing w:line="480" w:lineRule="auto" w:after="0" w:before="0"/>
      </w:pPr>
      <w:r>
        <w:rPr>
          <w:rFonts w:ascii="Times New Roman" w:hAnsi="Times New Roman"/>
          <w:b w:val="0"/>
          <w:i w:val="0"/>
          <w:sz w:val="24"/>
        </w:rPr>
        <w:t>VI. TIMELINESS</w:t>
      </w:r>
    </w:p>
    <w:p>
      <w:pPr>
        <w:spacing w:line="480" w:lineRule="auto" w:after="0" w:before="0"/>
      </w:pPr>
      <w:r>
        <w:rPr>
          <w:rFonts w:ascii="Times New Roman" w:hAnsi="Times New Roman"/>
          <w:b/>
          <w:sz w:val="24"/>
        </w:rPr>
        <w:t xml:space="preserve">40. </w:t>
      </w:r>
      <w:r>
        <w:rPr>
          <w:rFonts w:ascii="Times New Roman" w:hAnsi="Times New Roman"/>
          <w:b w:val="0"/>
          <w:i w:val="0"/>
          <w:sz w:val="24"/>
        </w:rPr>
        <w:t>This Motion is filed within 14 days of Plaintiff's most recent discovery of additional grounds for disqualification, and is filed before the next scheduled hearing date, in compliance with MCR 2.003(D)(1)(a).</w:t>
      </w:r>
    </w:p>
    <w:p>
      <w:pPr>
        <w:spacing w:line="480" w:lineRule="auto" w:after="0" w:before="0"/>
      </w:pPr>
      <w:r>
        <w:rPr>
          <w:rFonts w:ascii="Times New Roman" w:hAnsi="Times New Roman"/>
          <w:b/>
          <w:sz w:val="24"/>
        </w:rPr>
        <w:t xml:space="preserve">41. </w:t>
      </w:r>
      <w:r>
        <w:rPr>
          <w:rFonts w:ascii="Times New Roman" w:hAnsi="Times New Roman"/>
          <w:b w:val="0"/>
          <w:i w:val="0"/>
          <w:sz w:val="24"/>
        </w:rPr>
        <w:t>While many of the facts described herein occurred over the course of the proceedings, the full scope of the pattern — including the cumulative effect of 1,127 documented violations and 504 benchbook violations — has only recently been compiled and analyzed. The continuing nature of the violations constitutes ongoing grounds for disqualification. Each new ex parte order, each new hearing in which Plaintiff's rights are restricted without findings, constitutes a fresh discovery of bias.</w:t>
      </w:r>
    </w:p>
    <w:p>
      <w:pPr>
        <w:spacing w:line="480" w:lineRule="auto" w:after="0" w:before="0"/>
      </w:pPr>
      <w:r>
        <w:rPr>
          <w:rFonts w:ascii="Times New Roman" w:hAnsi="Times New Roman"/>
          <w:b/>
          <w:sz w:val="24"/>
        </w:rPr>
        <w:t xml:space="preserve">42. </w:t>
      </w:r>
      <w:r>
        <w:rPr>
          <w:rFonts w:ascii="Times New Roman" w:hAnsi="Times New Roman"/>
          <w:b w:val="0"/>
          <w:i w:val="0"/>
          <w:sz w:val="24"/>
        </w:rPr>
        <w:t>MCR 2.003(D)(2) requires that all known grounds be included in the motion. This Motion comprehensively catalogs all known grounds.</w:t>
      </w:r>
    </w:p>
    <w:p>
      <w:pPr>
        <w:spacing w:line="480" w:lineRule="auto" w:after="0" w:before="0"/>
      </w:pPr>
      <w:r>
        <w:rPr>
          <w:rFonts w:ascii="Times New Roman" w:hAnsi="Times New Roman"/>
          <w:b w:val="0"/>
          <w:i w:val="0"/>
          <w:sz w:val="24"/>
        </w:rPr>
        <w:t>VII. RELIEF REQUESTED</w:t>
      </w:r>
    </w:p>
    <w:p>
      <w:pPr>
        <w:spacing w:line="480" w:lineRule="auto" w:after="0" w:before="0"/>
      </w:pPr>
      <w:r>
        <w:rPr>
          <w:rFonts w:ascii="Times New Roman" w:hAnsi="Times New Roman"/>
          <w:b w:val="0"/>
          <w:i w:val="0"/>
          <w:sz w:val="24"/>
        </w:rPr>
        <w:t>WHEREFORE, Plaintiff Andrew James Pigors respectfully requests that this Honorable Court enter an order:</w:t>
      </w:r>
    </w:p>
    <w:p>
      <w:pPr>
        <w:spacing w:line="480" w:lineRule="auto" w:after="0" w:before="0"/>
      </w:pPr>
      <w:r>
        <w:rPr>
          <w:rFonts w:ascii="Times New Roman" w:hAnsi="Times New Roman"/>
          <w:b/>
          <w:sz w:val="24"/>
        </w:rPr>
        <w:t xml:space="preserve">1. </w:t>
      </w:r>
      <w:r>
        <w:rPr>
          <w:rFonts w:ascii="Times New Roman" w:hAnsi="Times New Roman"/>
          <w:b w:val="0"/>
          <w:i w:val="0"/>
          <w:sz w:val="24"/>
        </w:rPr>
        <w:t>Disqualifying the Honorable Jenny L. McNeill from presiding over Case No. 2024-001507-DC and all related proceedings (including Case No. 2023-5907-PP), pursuant to MCR 2.003(C)(1)(a) and (C)(1)(b);</w:t>
      </w:r>
    </w:p>
    <w:p>
      <w:pPr>
        <w:spacing w:line="480" w:lineRule="auto" w:after="0" w:before="0"/>
      </w:pPr>
      <w:r>
        <w:rPr>
          <w:rFonts w:ascii="Times New Roman" w:hAnsi="Times New Roman"/>
          <w:b/>
          <w:sz w:val="24"/>
        </w:rPr>
        <w:t xml:space="preserve">2. </w:t>
      </w:r>
      <w:r>
        <w:rPr>
          <w:rFonts w:ascii="Times New Roman" w:hAnsi="Times New Roman"/>
          <w:b w:val="0"/>
          <w:i w:val="0"/>
          <w:sz w:val="24"/>
        </w:rPr>
        <w:t>Reassigning this case to another judge of the 14th Circuit Court, or, if no other judge is available, directing the State Court Administrator to assign another judge, pursuant to MCR 2.003(D)(4)(a);</w:t>
      </w:r>
    </w:p>
    <w:p>
      <w:pPr>
        <w:spacing w:line="480" w:lineRule="auto" w:after="0" w:before="0"/>
      </w:pPr>
      <w:r>
        <w:rPr>
          <w:rFonts w:ascii="Times New Roman" w:hAnsi="Times New Roman"/>
          <w:b/>
          <w:sz w:val="24"/>
        </w:rPr>
        <w:t xml:space="preserve">3. </w:t>
      </w:r>
      <w:r>
        <w:rPr>
          <w:rFonts w:ascii="Times New Roman" w:hAnsi="Times New Roman"/>
          <w:b w:val="0"/>
          <w:i w:val="0"/>
          <w:sz w:val="24"/>
        </w:rPr>
        <w:t>Vacating all ex parte orders entered without compliance with MCR 3.207(B)(1) and (B)(5)–(6), including but not limited to the ex parte orders of April 29, 2024, July 1, 2024, and August 6–8, 2025;</w:t>
      </w:r>
    </w:p>
    <w:p>
      <w:pPr>
        <w:spacing w:line="480" w:lineRule="auto" w:after="0" w:before="0"/>
      </w:pPr>
      <w:r>
        <w:rPr>
          <w:rFonts w:ascii="Times New Roman" w:hAnsi="Times New Roman"/>
          <w:b/>
          <w:sz w:val="24"/>
        </w:rPr>
        <w:t xml:space="preserve">4. </w:t>
      </w:r>
      <w:r>
        <w:rPr>
          <w:rFonts w:ascii="Times New Roman" w:hAnsi="Times New Roman"/>
          <w:b w:val="0"/>
          <w:i w:val="0"/>
          <w:sz w:val="24"/>
        </w:rPr>
        <w:t>Lifting the $250.00 filing bond imposed on May 16, 2025, which was entered without findings required by MCR 2.114(D)–(E) and which operates as an unconstitutional barrier to Plaintiff's access to the courts;</w:t>
      </w:r>
    </w:p>
    <w:p>
      <w:pPr>
        <w:spacing w:line="480" w:lineRule="auto" w:after="0" w:before="0"/>
      </w:pPr>
      <w:r>
        <w:rPr>
          <w:rFonts w:ascii="Times New Roman" w:hAnsi="Times New Roman"/>
          <w:b/>
          <w:sz w:val="24"/>
        </w:rPr>
        <w:t xml:space="preserve">5. </w:t>
      </w:r>
      <w:r>
        <w:rPr>
          <w:rFonts w:ascii="Times New Roman" w:hAnsi="Times New Roman"/>
          <w:b w:val="0"/>
          <w:i w:val="0"/>
          <w:sz w:val="24"/>
        </w:rPr>
        <w:t>Referring this Motion to the Chief Judge for de novo review in the event the challenged judge denies it, pursuant to MCR 2.003(D)(3)(a)(i);</w:t>
      </w:r>
    </w:p>
    <w:p>
      <w:pPr>
        <w:spacing w:line="480" w:lineRule="auto" w:after="0" w:before="0"/>
      </w:pPr>
      <w:r>
        <w:rPr>
          <w:rFonts w:ascii="Times New Roman" w:hAnsi="Times New Roman"/>
          <w:b/>
          <w:sz w:val="24"/>
        </w:rPr>
        <w:t xml:space="preserve">6. </w:t>
      </w:r>
      <w:r>
        <w:rPr>
          <w:rFonts w:ascii="Times New Roman" w:hAnsi="Times New Roman"/>
          <w:b w:val="0"/>
          <w:i w:val="0"/>
          <w:sz w:val="24"/>
        </w:rPr>
        <w:t>Granting any other relief this Court deems just and equitable under the circumstances.</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James Pigors Pro Se Plaintiff 1977 Whitehall Rd, Lot 17 North Muskegon, MI 49445 andrewjpigors@gmail.com</w:t>
      </w:r>
    </w:p>
    <w:p>
      <w:pPr>
        <w:spacing w:line="480" w:lineRule="auto" w:after="0" w:before="0"/>
      </w:pPr>
      <w:r>
        <w:rPr>
          <w:rFonts w:ascii="Times New Roman" w:hAnsi="Times New Roman"/>
          <w:b w:val="0"/>
          <w:i w:val="0"/>
          <w:sz w:val="24"/>
        </w:rPr>
        <w:t>Dated: February 27, 2026</w:t>
      </w:r>
    </w:p>
    <w:p>
      <w:pPr>
        <w:spacing w:line="480" w:lineRule="auto" w:after="0" w:before="0"/>
      </w:pPr>
      <w:r>
        <w:rPr>
          <w:rFonts w:ascii="Times New Roman" w:hAnsi="Times New Roman"/>
          <w:b w:val="0"/>
          <w:i w:val="0"/>
          <w:sz w:val="24"/>
        </w:rPr>
        <w:t>VERIFICATION / AFFIDAVIT</w:t>
      </w:r>
    </w:p>
    <w:p>
      <w:pPr>
        <w:spacing w:line="480" w:lineRule="auto" w:after="0" w:before="0"/>
      </w:pPr>
      <w:r>
        <w:rPr>
          <w:rFonts w:ascii="Times New Roman" w:hAnsi="Times New Roman"/>
          <w:b w:val="0"/>
          <w:i w:val="0"/>
          <w:sz w:val="24"/>
        </w:rPr>
        <w:t>EXHIBIT A — AFFIDAVIT IN SUPPORT OF MOTION FOR DISQUALIFICATION</w:t>
      </w:r>
    </w:p>
    <w:p>
      <w:pPr>
        <w:spacing w:line="480" w:lineRule="auto" w:after="0" w:before="0"/>
      </w:pPr>
      <w:r>
        <w:rPr>
          <w:rFonts w:ascii="Times New Roman" w:hAnsi="Times New Roman"/>
          <w:b w:val="0"/>
          <w:i w:val="0"/>
          <w:sz w:val="24"/>
        </w:rPr>
        <w:t>STATE OF MICHIGAN     ) ) ss. COUNTY OF MUSKEGON )</w:t>
      </w:r>
    </w:p>
    <w:p>
      <w:pPr>
        <w:spacing w:line="480" w:lineRule="auto" w:after="0" w:before="0"/>
      </w:pPr>
      <w:r>
        <w:rPr>
          <w:rFonts w:ascii="Times New Roman" w:hAnsi="Times New Roman"/>
          <w:b w:val="0"/>
          <w:i w:val="0"/>
          <w:sz w:val="24"/>
        </w:rPr>
        <w:t>I, Andrew James Pigors, being first duly sworn, depose and state:</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Plaintiff in the above-captioned matter. I make this affidavit in support of my Motion for Disqualification of Judge pursuant to MCR 2.003(C)(1) and MCR 2.003(D)(2).</w:t>
      </w:r>
    </w:p>
    <w:p>
      <w:pPr>
        <w:spacing w:line="480" w:lineRule="auto" w:after="0" w:before="0"/>
      </w:pPr>
      <w:r>
        <w:rPr>
          <w:rFonts w:ascii="Times New Roman" w:hAnsi="Times New Roman"/>
          <w:b/>
          <w:sz w:val="24"/>
        </w:rPr>
        <w:t xml:space="preserve">2. </w:t>
      </w:r>
      <w:r>
        <w:rPr>
          <w:rFonts w:ascii="Times New Roman" w:hAnsi="Times New Roman"/>
          <w:b w:val="0"/>
          <w:i w:val="0"/>
          <w:sz w:val="24"/>
        </w:rPr>
        <w:t>I have personal knowledge of the facts stated in the foregoing Motion. The facts set forth therein are true and correct to the best of my knowledge, information, and belief.</w:t>
      </w:r>
    </w:p>
    <w:p>
      <w:pPr>
        <w:spacing w:line="480" w:lineRule="auto" w:after="0" w:before="0"/>
      </w:pPr>
      <w:r>
        <w:rPr>
          <w:rFonts w:ascii="Times New Roman" w:hAnsi="Times New Roman"/>
          <w:b/>
          <w:sz w:val="24"/>
        </w:rPr>
        <w:t xml:space="preserve">3. </w:t>
      </w:r>
      <w:r>
        <w:rPr>
          <w:rFonts w:ascii="Times New Roman" w:hAnsi="Times New Roman"/>
          <w:b w:val="0"/>
          <w:i w:val="0"/>
          <w:sz w:val="24"/>
        </w:rPr>
        <w:t>On or about August 8, 2025, I arrived at the scheduled parenting-time exchange expecting my regular parenting time with my son, L.D.W. Only upon arrival did I discover that an ex parte order had been entered suspending all of my parenting time. I received no prior notice of the ex parte motion or order.</w:t>
      </w:r>
    </w:p>
    <w:p>
      <w:pPr>
        <w:spacing w:line="480" w:lineRule="auto" w:after="0" w:before="0"/>
      </w:pPr>
      <w:r>
        <w:rPr>
          <w:rFonts w:ascii="Times New Roman" w:hAnsi="Times New Roman"/>
          <w:b/>
          <w:sz w:val="24"/>
        </w:rPr>
        <w:t xml:space="preserve">4. </w:t>
      </w:r>
      <w:r>
        <w:rPr>
          <w:rFonts w:ascii="Times New Roman" w:hAnsi="Times New Roman"/>
          <w:b w:val="0"/>
          <w:i w:val="0"/>
          <w:sz w:val="24"/>
        </w:rPr>
        <w:t>As of the date of this affidavit, I have not had parenting time with my son for over 329 consecutive days. My son is now three years old, and this prolonged separation is causing irreparable harm to our parent-child bond.</w:t>
      </w:r>
    </w:p>
    <w:p>
      <w:pPr>
        <w:spacing w:line="480" w:lineRule="auto" w:after="0" w:before="0"/>
      </w:pPr>
      <w:r>
        <w:rPr>
          <w:rFonts w:ascii="Times New Roman" w:hAnsi="Times New Roman"/>
          <w:b/>
          <w:sz w:val="24"/>
        </w:rPr>
        <w:t xml:space="preserve">5. </w:t>
      </w:r>
      <w:r>
        <w:rPr>
          <w:rFonts w:ascii="Times New Roman" w:hAnsi="Times New Roman"/>
          <w:b w:val="0"/>
          <w:i w:val="0"/>
          <w:sz w:val="24"/>
        </w:rPr>
        <w:t>On May 16, 2025, the Court imposed a $250.00 per-motion filing bond on me. Due to loss of employment arising in part from these proceedings, I have been unable to pay this bond, which has prevented me from filing necessary motions regarding my child.</w:t>
      </w:r>
    </w:p>
    <w:p>
      <w:pPr>
        <w:spacing w:line="480" w:lineRule="auto" w:after="0" w:before="0"/>
      </w:pPr>
      <w:r>
        <w:rPr>
          <w:rFonts w:ascii="Times New Roman" w:hAnsi="Times New Roman"/>
          <w:b/>
          <w:sz w:val="24"/>
        </w:rPr>
        <w:t xml:space="preserve">6. </w:t>
      </w:r>
      <w:r>
        <w:rPr>
          <w:rFonts w:ascii="Times New Roman" w:hAnsi="Times New Roman"/>
          <w:b w:val="0"/>
          <w:i w:val="0"/>
          <w:sz w:val="24"/>
        </w:rPr>
        <w:t>Throughout these proceedings, I have been muted during hearings, instructed not to file additional materials, and had my pro se filings treated with hostility, while Defendant's filings — including unsworn ex parte submissions — have been accepted and acted upon.</w:t>
      </w:r>
    </w:p>
    <w:p>
      <w:pPr>
        <w:spacing w:line="480" w:lineRule="auto" w:after="0" w:before="0"/>
      </w:pPr>
      <w:r>
        <w:rPr>
          <w:rFonts w:ascii="Times New Roman" w:hAnsi="Times New Roman"/>
          <w:b/>
          <w:sz w:val="24"/>
        </w:rPr>
        <w:t xml:space="preserve">7. </w:t>
      </w:r>
      <w:r>
        <w:rPr>
          <w:rFonts w:ascii="Times New Roman" w:hAnsi="Times New Roman"/>
          <w:b w:val="0"/>
          <w:i w:val="0"/>
          <w:sz w:val="24"/>
        </w:rPr>
        <w:t>I have compiled a comprehensive record of 1,127 documented judicial violations and 504 benchbook violations, the details of which are set forth in the Motion and are available for the Court's review.</w:t>
      </w:r>
    </w:p>
    <w:p>
      <w:pPr>
        <w:spacing w:line="480" w:lineRule="auto" w:after="0" w:before="0"/>
      </w:pPr>
      <w:r>
        <w:rPr>
          <w:rFonts w:ascii="Times New Roman" w:hAnsi="Times New Roman"/>
          <w:b/>
          <w:sz w:val="24"/>
        </w:rPr>
        <w:t xml:space="preserve">8. </w:t>
      </w:r>
      <w:r>
        <w:rPr>
          <w:rFonts w:ascii="Times New Roman" w:hAnsi="Times New Roman"/>
          <w:b w:val="0"/>
          <w:i w:val="0"/>
          <w:sz w:val="24"/>
        </w:rPr>
        <w:t>I believe that Judge McNeill is biased against me and that a reasonable person, aware of the facts described in this Motion, would have a reasonable basis for doubting Judge McNeill's impartiality.</w:t>
      </w:r>
    </w:p>
    <w:p>
      <w:pPr>
        <w:spacing w:line="480" w:lineRule="auto" w:after="0" w:before="0"/>
      </w:pPr>
      <w:r>
        <w:rPr>
          <w:rFonts w:ascii="Times New Roman" w:hAnsi="Times New Roman"/>
          <w:b w:val="0"/>
          <w:i w:val="0"/>
          <w:sz w:val="24"/>
        </w:rPr>
        <w:t>Further Affiant sayeth not.</w:t>
      </w:r>
    </w:p>
    <w:p>
      <w:r>
        <w:br w:type="page"/>
      </w:r>
    </w:p>
    <w:p>
      <w:pPr>
        <w:spacing w:line="480" w:lineRule="auto" w:after="0" w:before="0"/>
      </w:pPr>
      <w:r>
        <w:rPr>
          <w:rFonts w:ascii="Times New Roman" w:hAnsi="Times New Roman"/>
          <w:b w:val="0"/>
          <w:i w:val="0"/>
          <w:sz w:val="24"/>
        </w:rPr>
        <w:t>Andrew James Pigors Pro Se Plaintiff</w:t>
      </w:r>
    </w:p>
    <w:p>
      <w:pPr>
        <w:spacing w:line="480" w:lineRule="auto" w:after="0" w:before="0"/>
      </w:pPr>
      <w:r>
        <w:rPr>
          <w:rFonts w:ascii="Times New Roman" w:hAnsi="Times New Roman"/>
          <w:b w:val="0"/>
          <w:i w:val="0"/>
          <w:sz w:val="24"/>
        </w:rPr>
        <w:t>Subscribed and sworn to before me this ____ day of ____________, 2026.</w:t>
      </w:r>
    </w:p>
    <w:p>
      <w:r>
        <w:br w:type="page"/>
      </w:r>
    </w:p>
    <w:p>
      <w:pPr>
        <w:spacing w:line="480" w:lineRule="auto" w:after="0" w:before="0"/>
      </w:pPr>
      <w:r>
        <w:rPr>
          <w:rFonts w:ascii="Times New Roman" w:hAnsi="Times New Roman"/>
          <w:b w:val="0"/>
          <w:i w:val="0"/>
          <w:sz w:val="24"/>
        </w:rPr>
        <w:t>Notary Public, State of Michigan County of Muskegon My Commission Expires: _______________</w:t>
      </w:r>
    </w:p>
    <w:p>
      <w:pPr>
        <w:spacing w:line="480" w:lineRule="auto" w:after="0" w:before="0"/>
      </w:pPr>
      <w:r>
        <w:rPr>
          <w:rFonts w:ascii="Times New Roman" w:hAnsi="Times New Roman"/>
          <w:b w:val="0"/>
          <w:i w:val="0"/>
          <w:sz w:val="24"/>
        </w:rPr>
        <w:t>CERTIFICATE OF SERVICE</w:t>
      </w:r>
    </w:p>
    <w:p>
      <w:pPr>
        <w:spacing w:line="480" w:lineRule="auto" w:after="0" w:before="0"/>
      </w:pPr>
      <w:r>
        <w:rPr>
          <w:rFonts w:ascii="Times New Roman" w:hAnsi="Times New Roman"/>
          <w:b w:val="0"/>
          <w:i w:val="0"/>
          <w:sz w:val="24"/>
        </w:rPr>
        <w:t>I hereby certify that on February 27, 2026, I served a true and correct copy of the foregoing PLAINTIFF'S MOTION FOR DISQUALIFICATION OF JUDGE and the attached AFFIDAVIT IN SUPPORT upon all parties of record by the method(s) indicated:</w:t>
      </w:r>
    </w:p>
    <w:p>
      <w:pPr>
        <w:spacing w:line="480" w:lineRule="auto" w:after="0" w:before="0"/>
      </w:pPr>
      <w:r>
        <w:rPr>
          <w:rFonts w:ascii="Times New Roman" w:hAnsi="Times New Roman"/>
          <w:b w:val="0"/>
          <w:i w:val="0"/>
          <w:sz w:val="24"/>
        </w:rPr>
        <w:t>Tiffany Watson (fka Pigors) c/o Counsel of Record (or address on file) 2160 Garland Drive Norton Shores, MI 49441</w:t>
      </w:r>
    </w:p>
    <w:p>
      <w:pPr>
        <w:spacing w:line="480" w:lineRule="auto" w:after="0" w:before="0"/>
      </w:pPr>
      <w:r>
        <w:rPr>
          <w:rFonts w:ascii="Times New Roman" w:hAnsi="Times New Roman"/>
          <w:b w:val="0"/>
          <w:i w:val="0"/>
          <w:sz w:val="24"/>
        </w:rPr>
        <w:t>[ ] First-class U.S. Mail, postage prepaid [ ] Personal service [ ] Electronic service via email</w:t>
      </w:r>
    </w:p>
    <w:p>
      <w:pPr>
        <w:spacing w:line="480" w:lineRule="auto" w:after="0" w:before="0"/>
      </w:pPr>
      <w:r>
        <w:rPr>
          <w:rFonts w:ascii="Times New Roman" w:hAnsi="Times New Roman"/>
          <w:b w:val="0"/>
          <w:i w:val="0"/>
          <w:sz w:val="24"/>
        </w:rPr>
        <w:t>14th Circuit Court -- Clerk's Office Hall of Justice 990 Terrace Street, 3rd Floor Muskegon, MI 49442</w:t>
      </w:r>
    </w:p>
    <w:p>
      <w:pPr>
        <w:spacing w:line="480" w:lineRule="auto" w:after="0" w:before="0"/>
      </w:pPr>
      <w:r>
        <w:rPr>
          <w:rFonts w:ascii="Times New Roman" w:hAnsi="Times New Roman"/>
          <w:b w:val="0"/>
          <w:i w:val="0"/>
          <w:sz w:val="24"/>
        </w:rPr>
        <w:t>[ ] Filed in person [ ] Filed electronically</w:t>
      </w:r>
    </w:p>
    <w:p>
      <w:r>
        <w:br w:type="page"/>
      </w:r>
    </w:p>
    <w:p>
      <w:pPr>
        <w:spacing w:line="480" w:lineRule="auto" w:after="0" w:before="0"/>
      </w:pPr>
      <w:r>
        <w:rPr>
          <w:rFonts w:ascii="Times New Roman" w:hAnsi="Times New Roman"/>
          <w:b w:val="0"/>
          <w:i w:val="0"/>
          <w:sz w:val="24"/>
        </w:rPr>
        <w:t>Andrew James Pigors Pro Se Plaintiff</w:t>
      </w:r>
    </w:p>
    <w:p>
      <w:pPr>
        <w:spacing w:line="480" w:lineRule="auto" w:after="0" w:before="0"/>
      </w:pPr>
      <w:r>
        <w:rPr>
          <w:rFonts w:ascii="Times New Roman" w:hAnsi="Times New Roman"/>
          <w:b w:val="0"/>
          <w:i w:val="0"/>
          <w:sz w:val="24"/>
        </w:rPr>
        <w:t>TABLE OF AUTHORITIES</w:t>
      </w:r>
    </w:p>
    <w:p>
      <w:pPr>
        <w:spacing w:line="480" w:lineRule="auto" w:after="0" w:before="0"/>
      </w:pPr>
      <w:r>
        <w:rPr>
          <w:rFonts w:ascii="Times New Roman" w:hAnsi="Times New Roman"/>
          <w:b w:val="0"/>
          <w:i w:val="0"/>
          <w:sz w:val="24"/>
        </w:rPr>
        <w:t>MICHIGAN COURT RULES MCR 2.003(C)(1)(a) -- Disqualification: bias or prejudice MCR 2.003(C)(1)(b) -- Disqualification: serious risk of actual bias / appearance of impropriety MCR 2.003(D)(1)(a) -- Timing: 14 days from discovery of grounds MCR 2.003(D)(2) -- All grounds to be included; affidavit required MCR 2.003(D)(3)(a)(i) -- Referral to Chief Judge on denial MCR 2.003(D)(4)(a) -- Reassignment upon disqualification MCR 2.114(D)-(E) -- Sanctions for frivolous filings (prerequisites) MCR 2.119(H) -- Ex parte orders limited to true emergencies MCR 3.206(A) -- Pro se party accommodations MCR 3.207(B)(1) -- Ex parte custody/PT orders: verified pleading required MCR 3.207(B)(5)-(6) -- Ex parte orders: findings of immediate and irreparable injury; 21-day hearing requirement</w:t>
      </w:r>
    </w:p>
    <w:p>
      <w:pPr>
        <w:spacing w:line="480" w:lineRule="auto" w:after="0" w:before="0"/>
      </w:pPr>
      <w:r>
        <w:rPr>
          <w:rFonts w:ascii="Times New Roman" w:hAnsi="Times New Roman"/>
          <w:b w:val="0"/>
          <w:i w:val="0"/>
          <w:sz w:val="24"/>
        </w:rPr>
        <w:t>MICHIGAN COMPILED LAWS MCL 722.23(a)-(l) -- Best interest of the child factors MCL 722.27(1)(c) -- Established custodial environment; clear and convincing evidence MCL 722.27a(3) -- Parenting time; modification standards</w:t>
      </w:r>
    </w:p>
    <w:p>
      <w:pPr>
        <w:spacing w:line="480" w:lineRule="auto" w:after="0" w:before="0"/>
      </w:pPr>
      <w:r>
        <w:rPr>
          <w:rFonts w:ascii="Times New Roman" w:hAnsi="Times New Roman"/>
          <w:b w:val="0"/>
          <w:i w:val="0"/>
          <w:sz w:val="24"/>
        </w:rPr>
        <w:t>MICHIGAN CODE OF JUDICIAL CONDUCT Canon 2(B) -- Appearance of impropriety Canon 3(A)(4) -- Patient, dignified, courteous treatment of litigants Canon 3(A)(5) -- Prohibition on ex parte communications Canon 3(B)(5) -- Performance of duties without bias or prejudice Canon 3(B)(8) -- Reasonable accommodation of self-represented litigants</w:t>
      </w:r>
    </w:p>
    <w:p>
      <w:pPr>
        <w:spacing w:line="480" w:lineRule="auto" w:after="0" w:before="0"/>
      </w:pPr>
      <w:r>
        <w:rPr>
          <w:rFonts w:ascii="Times New Roman" w:hAnsi="Times New Roman"/>
          <w:b w:val="0"/>
          <w:i w:val="0"/>
          <w:sz w:val="24"/>
        </w:rPr>
        <w:t>CASE LAW Boddie v Connecticut, 401 US 371 (1971) Cain v Dep't of Corrections, 451 Mich 470; 548 NW2d 210 (1996) Caperton v A.T. Massey Coal Co., 556 US 868; 129 S Ct 2252; 173 L Ed 2d 1208 (2009) Armstrong v Ypsilanti Charter Twp, 248 Mich App 573; 640 NW2d 321 (2001) In re Hocking, 451 Mich 1; 546 NW2d 234 (1996) Troxel v Granville, 530 US 57 (2000) Vodvarka v Grasmeyer, 259 Mich App 1; 672 NW2d 847 (2003)</w:t>
      </w:r>
    </w:p>
    <w:p>
      <w:pPr>
        <w:spacing w:line="480" w:lineRule="auto" w:after="0" w:before="0"/>
      </w:pPr>
      <w:r>
        <w:rPr>
          <w:rFonts w:ascii="Times New Roman" w:hAnsi="Times New Roman"/>
          <w:b w:val="0"/>
          <w:i w:val="0"/>
          <w:sz w:val="24"/>
        </w:rPr>
        <w:t>-- END OF MOTION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