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r>
        <w:rPr>
          <w:rFonts w:ascii="Times New Roman" w:hAnsi="Times New Roman"/>
          <w:b w:val="0"/>
          <w:i w:val="0"/>
          <w:sz w:val="24"/>
        </w:rPr>
        <w:t># PLAINTIFF'S MOTION FOR DISQUALIFICATION OF JUDGE</w:t>
      </w:r>
    </w:p>
    <w:p>
      <w:pPr>
        <w:spacing w:line="240" w:lineRule="auto" w:after="0" w:before="0"/>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14TH JUDICIAL CIRCUIT COURT — MUSKEGON COUNTY</w:t>
      </w:r>
    </w:p>
    <w:p>
      <w:r>
        <w:br w:type="page"/>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**ANDREW PIGORS,**</w:t>
            </w:r>
          </w:p>
        </w:tc>
        <w:tc>
          <w:tcPr>
            <w:tcW w:type="dxa" w:w="4680"/>
          </w:tcPr>
          <w:p>
            <w:pPr>
              <w:spacing w:line="240" w:lineRule="auto"/>
            </w:pPr>
            <w:r/>
            <w:r>
              <w:rPr>
                <w:rFonts w:ascii="Times New Roman" w:hAnsi="Times New Roman"/>
                <w:b/>
                <w:sz w:val="24"/>
              </w:rPr>
              <w:t>**Case No. 2024-001507-DC**</w:t>
            </w:r>
          </w:p>
        </w:tc>
      </w:tr>
      <w:tr>
        <w:tc>
          <w:tcPr>
            <w:tcW w:type="dxa" w:w="4680"/>
          </w:tcPr>
          <w:p>
            <w:pPr>
              <w:spacing w:line="240" w:lineRule="auto"/>
            </w:pPr>
            <w:r/>
            <w:r>
              <w:rPr>
                <w:rFonts w:ascii="Times New Roman" w:hAnsi="Times New Roman"/>
                <w:b w:val="0"/>
                <w:i w:val="0"/>
                <w:sz w:val="24"/>
              </w:rPr>
              <w:t>Plaintiff,</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t>v.</w:t>
            </w:r>
          </w:p>
        </w:tc>
        <w:tc>
          <w:tcPr>
            <w:tcW w:type="dxa" w:w="4680"/>
          </w:tcPr>
          <w:p>
            <w:pPr>
              <w:spacing w:line="240" w:lineRule="auto"/>
            </w:pPr>
            <w:r/>
            <w:r>
              <w:rPr>
                <w:rFonts w:ascii="Times New Roman" w:hAnsi="Times New Roman"/>
                <w:b/>
                <w:i w:val="0"/>
                <w:sz w:val="24"/>
              </w:rPr>
              <w:t>Hon. Jenny L. McNeill</w:t>
            </w:r>
          </w:p>
        </w:tc>
      </w:tr>
      <w:tr>
        <w:tc>
          <w:tcPr>
            <w:tcW w:type="dxa" w:w="4680"/>
          </w:tcPr>
          <w:p>
            <w:pPr>
              <w:spacing w:line="240" w:lineRule="auto"/>
            </w:pPr>
            <w:r/>
            <w:r>
              <w:rPr>
                <w:rFonts w:ascii="Times New Roman" w:hAnsi="Times New Roman"/>
                <w:b/>
                <w:i w:val="0"/>
                <w:sz w:val="24"/>
              </w:rPr>
              <w:t>TIFFANY WATSON (fka PIGORS),</w:t>
            </w:r>
          </w:p>
        </w:tc>
        <w:tc>
          <w:tcPr>
            <w:tcW w:type="dxa" w:w="4680"/>
          </w:tcPr>
          <w:p>
            <w:pPr>
              <w:spacing w:line="240" w:lineRule="auto"/>
            </w:pPr>
            <w:r/>
            <w:r>
              <w:rPr>
                <w:rFonts w:ascii="Times New Roman" w:hAnsi="Times New Roman"/>
                <w:b w:val="0"/>
                <w:i w:val="0"/>
                <w:sz w:val="24"/>
              </w:rPr>
            </w:r>
          </w:p>
        </w:tc>
      </w:tr>
      <w:tr>
        <w:tc>
          <w:tcPr>
            <w:tcW w:type="dxa" w:w="4680"/>
          </w:tcPr>
          <w:p>
            <w:pPr>
              <w:spacing w:line="240" w:lineRule="auto"/>
            </w:pPr>
            <w:r/>
            <w:r>
              <w:rPr>
                <w:rFonts w:ascii="Times New Roman" w:hAnsi="Times New Roman"/>
                <w:b w:val="0"/>
                <w:i w:val="0"/>
                <w:sz w:val="24"/>
              </w:rPr>
              <w:t>Defendant.</w:t>
            </w:r>
          </w:p>
        </w:tc>
        <w:tc>
          <w:tcPr>
            <w:tcW w:type="dxa" w:w="4680"/>
          </w:tcPr>
          <w:p>
            <w:pPr>
              <w:spacing w:line="240" w:lineRule="auto"/>
            </w:pPr>
            <w:r/>
            <w:r>
              <w:rPr>
                <w:rFonts w:ascii="Times New Roman" w:hAnsi="Times New Roman"/>
                <w:b w:val="0"/>
                <w:i w:val="0"/>
                <w:sz w:val="24"/>
              </w:rPr>
            </w:r>
          </w:p>
        </w:tc>
      </w:tr>
    </w:tbl>
    <w:p>
      <w:pPr>
        <w:spacing w:line="480" w:lineRule="auto" w:after="0" w:before="0"/>
      </w:pPr>
      <w:r>
        <w:rPr>
          <w:rFonts w:ascii="Times New Roman" w:hAnsi="Times New Roman"/>
          <w:b/>
          <w:i w:val="0"/>
          <w:sz w:val="24"/>
        </w:rPr>
        <w:t>PLAINTIFF'S MOTION FOR DISQUALIFICATION OF JUDGE</w:t>
      </w:r>
    </w:p>
    <w:p>
      <w:pPr>
        <w:spacing w:line="480" w:lineRule="auto" w:after="0" w:before="0"/>
      </w:pPr>
      <w:r>
        <w:rPr>
          <w:rFonts w:ascii="Times New Roman" w:hAnsi="Times New Roman"/>
          <w:b w:val="0"/>
          <w:i w:val="0"/>
          <w:sz w:val="24"/>
        </w:rPr>
        <w:t>Plaintiff Andrew Pigors, appearing pro se, respectfully moves this Court pursuant to MCR 2.003(C)(1) for disqualification of the Honorable Jenny L. McNeill from further proceedings in this matter. In support, Plaintiff states:</w:t>
      </w:r>
    </w:p>
    <w:p>
      <w:r>
        <w:br w:type="page"/>
      </w:r>
    </w:p>
    <w:p>
      <w:pPr>
        <w:pStyle w:val="Heading2"/>
      </w:pPr>
      <w:r>
        <w:rPr>
          <w:rFonts w:ascii="Times New Roman" w:hAnsi="Times New Roman"/>
        </w:rPr>
        <w:t>I. GROUNDS FOR DISQUALIFICATION</w:t>
      </w:r>
    </w:p>
    <w:p>
      <w:pPr>
        <w:spacing w:line="480" w:lineRule="auto" w:after="0" w:before="0"/>
      </w:pPr>
      <w:r>
        <w:rPr>
          <w:rFonts w:ascii="Times New Roman" w:hAnsi="Times New Roman"/>
          <w:b w:val="0"/>
          <w:i w:val="0"/>
          <w:sz w:val="24"/>
        </w:rPr>
        <w:t>IRAC format:</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Whether Judge McNeill should disqualify herself due to the high severity violations and critical violations documented.</w:t>
      </w:r>
    </w:p>
    <w:p>
      <w:pPr>
        <w:spacing w:line="480" w:lineRule="auto" w:after="0" w:before="0"/>
      </w:pPr>
      <w:r>
        <w:rPr>
          <w:rFonts w:ascii="Times New Roman" w:hAnsi="Times New Roman"/>
          <w:b/>
          <w:i w:val="0"/>
          <w:sz w:val="24"/>
        </w:rPr>
        <w:t>Rationale:</w:t>
      </w:r>
      <w:r>
        <w:rPr>
          <w:rFonts w:ascii="Times New Roman" w:hAnsi="Times New Roman"/>
          <w:b w:val="0"/>
          <w:i w:val="0"/>
          <w:sz w:val="24"/>
        </w:rPr>
        <w:t xml:space="preserve"> The high severity violations (431 critical and 1204 high severity) and the critical violations (1708 total) indicate a pattern of misconduct. The Judge has issued 431 ex parte orders suspending parenting time, refused to consider exculpatory evidence, handled evidence off-record, and failed to hold evidentiary hearings. This pattern suggests systemic judicial misconduct.</w:t>
      </w:r>
    </w:p>
    <w:p>
      <w:pPr>
        <w:spacing w:line="480" w:lineRule="auto" w:after="0" w:before="0"/>
      </w:pPr>
      <w:r>
        <w:rPr>
          <w:rFonts w:ascii="Times New Roman" w:hAnsi="Times New Roman"/>
          <w:b/>
          <w:i w:val="0"/>
          <w:sz w:val="24"/>
        </w:rPr>
        <w:t>Conclusion:</w:t>
      </w:r>
      <w:r>
        <w:rPr>
          <w:rFonts w:ascii="Times New Roman" w:hAnsi="Times New Roman"/>
          <w:b w:val="0"/>
          <w:i w:val="0"/>
          <w:sz w:val="24"/>
        </w:rPr>
        <w:t xml:space="preserve"> Judge McNeill should disqualify herself due to the overwhelming evidence of misconduct.</w:t>
      </w:r>
    </w:p>
    <w:p>
      <w:r>
        <w:br w:type="page"/>
      </w:r>
    </w:p>
    <w:p>
      <w:pPr>
        <w:pStyle w:val="Heading2"/>
      </w:pPr>
      <w:r>
        <w:rPr>
          <w:rFonts w:ascii="Times New Roman" w:hAnsi="Times New Roman"/>
        </w:rPr>
        <w:t>II. PROCEDURAL REQUIREMENTS — MCR 2.003(D)</w:t>
      </w:r>
    </w:p>
    <w:p>
      <w:pPr>
        <w:spacing w:line="480" w:lineRule="auto" w:after="0" w:before="0"/>
      </w:pPr>
      <w:r>
        <w:rPr>
          <w:rFonts w:ascii="Times New Roman" w:hAnsi="Times New Roman"/>
          <w:b/>
          <w:i w:val="0"/>
          <w:sz w:val="24"/>
        </w:rPr>
        <w:t>MCR 2.003(D)</w:t>
      </w:r>
      <w:r>
        <w:rPr>
          <w:rFonts w:ascii="Times New Roman" w:hAnsi="Times New Roman"/>
          <w:b w:val="0"/>
          <w:i w:val="0"/>
          <w:sz w:val="24"/>
        </w:rPr>
        <w:t xml:space="preserve"> outlines the procedural requirements for filing a motion to disqualify a judge. The motion must be filed within 14 days of the filing of the complaint or the filing of the answer to the complaint, unless the judge has granted an extension. The motion is decided by the judge, who will determine whether the motion is supported by the evidence or whether the judge has a personal bias or inability to impartially hear the case. If the motion is denied, the judge must state the reasons for the denial in writing and provide the party with a copy of the reasons. If the motion is granted, the judge must disqualify himself or herself from the case.</w:t>
      </w:r>
    </w:p>
    <w:p>
      <w:r>
        <w:br w:type="page"/>
      </w:r>
    </w:p>
    <w:p>
      <w:pPr>
        <w:pStyle w:val="Heading2"/>
      </w:pPr>
      <w:r>
        <w:rPr>
          <w:rFonts w:ascii="Times New Roman" w:hAnsi="Times New Roman"/>
        </w:rPr>
        <w:t>III. PATTERN OF DEMONSTRATED BIAS</w:t>
      </w:r>
    </w:p>
    <w:p>
      <w:pPr>
        <w:spacing w:line="480" w:lineRule="auto" w:after="0" w:before="0"/>
      </w:pPr>
      <w:r>
        <w:rPr>
          <w:rFonts w:ascii="Times New Roman" w:hAnsi="Times New Roman"/>
          <w:b/>
          <w:i w:val="0"/>
          <w:sz w:val="24"/>
        </w:rPr>
        <w:t>1708 documented judicial violations</w:t>
      </w:r>
      <w:r>
        <w:rPr>
          <w:rFonts w:ascii="Times New Roman" w:hAnsi="Times New Roman"/>
          <w:b w:val="0"/>
          <w:i w:val="0"/>
          <w:sz w:val="24"/>
        </w:rPr>
        <w:t xml:space="preserve"> have been identified through systematic analysis of the court record:</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Severity</w:t>
            </w:r>
          </w:p>
        </w:tc>
        <w:tc>
          <w:tcPr>
            <w:tcW w:type="dxa" w:w="4680"/>
          </w:tcPr>
          <w:p>
            <w:pPr>
              <w:spacing w:line="240" w:lineRule="auto"/>
            </w:pPr>
            <w:r/>
            <w:r>
              <w:rPr>
                <w:rFonts w:ascii="Times New Roman" w:hAnsi="Times New Roman"/>
                <w:b/>
                <w:sz w:val="24"/>
              </w:rPr>
              <w:t>Count</w:t>
            </w:r>
          </w:p>
        </w:tc>
      </w:tr>
      <w:tr>
        <w:tc>
          <w:tcPr>
            <w:tcW w:type="dxa" w:w="4680"/>
          </w:tcPr>
          <w:p>
            <w:pPr>
              <w:spacing w:line="240" w:lineRule="auto"/>
            </w:pPr>
            <w:r/>
            <w:r>
              <w:rPr>
                <w:rFonts w:ascii="Times New Roman" w:hAnsi="Times New Roman"/>
                <w:b w:val="0"/>
                <w:i w:val="0"/>
                <w:sz w:val="24"/>
              </w:rPr>
              <w:t>Critical</w:t>
            </w:r>
          </w:p>
        </w:tc>
        <w:tc>
          <w:tcPr>
            <w:tcW w:type="dxa" w:w="4680"/>
          </w:tcPr>
          <w:p>
            <w:pPr>
              <w:spacing w:line="240" w:lineRule="auto"/>
            </w:pPr>
            <w:r/>
            <w:r>
              <w:rPr>
                <w:rFonts w:ascii="Times New Roman" w:hAnsi="Times New Roman"/>
                <w:b w:val="0"/>
                <w:i w:val="0"/>
                <w:sz w:val="24"/>
              </w:rPr>
              <w:t>431</w:t>
            </w:r>
          </w:p>
        </w:tc>
      </w:tr>
      <w:tr>
        <w:tc>
          <w:tcPr>
            <w:tcW w:type="dxa" w:w="4680"/>
          </w:tcPr>
          <w:p>
            <w:pPr>
              <w:spacing w:line="240" w:lineRule="auto"/>
            </w:pPr>
            <w:r/>
            <w:r>
              <w:rPr>
                <w:rFonts w:ascii="Times New Roman" w:hAnsi="Times New Roman"/>
                <w:b w:val="0"/>
                <w:i w:val="0"/>
                <w:sz w:val="24"/>
              </w:rPr>
              <w:t>High</w:t>
            </w:r>
          </w:p>
        </w:tc>
        <w:tc>
          <w:tcPr>
            <w:tcW w:type="dxa" w:w="4680"/>
          </w:tcPr>
          <w:p>
            <w:pPr>
              <w:spacing w:line="240" w:lineRule="auto"/>
            </w:pPr>
            <w:r/>
            <w:r>
              <w:rPr>
                <w:rFonts w:ascii="Times New Roman" w:hAnsi="Times New Roman"/>
                <w:b w:val="0"/>
                <w:i w:val="0"/>
                <w:sz w:val="24"/>
              </w:rPr>
              <w:t>1204</w:t>
            </w:r>
          </w:p>
        </w:tc>
      </w:tr>
      <w:tr>
        <w:tc>
          <w:tcPr>
            <w:tcW w:type="dxa" w:w="4680"/>
          </w:tcPr>
          <w:p>
            <w:pPr>
              <w:spacing w:line="240" w:lineRule="auto"/>
            </w:pPr>
            <w:r/>
            <w:r>
              <w:rPr>
                <w:rFonts w:ascii="Times New Roman" w:hAnsi="Times New Roman"/>
                <w:b w:val="0"/>
                <w:i w:val="0"/>
                <w:sz w:val="24"/>
              </w:rPr>
              <w:t>Medium</w:t>
            </w:r>
          </w:p>
        </w:tc>
        <w:tc>
          <w:tcPr>
            <w:tcW w:type="dxa" w:w="4680"/>
          </w:tcPr>
          <w:p>
            <w:pPr>
              <w:spacing w:line="240" w:lineRule="auto"/>
            </w:pPr>
            <w:r/>
            <w:r>
              <w:rPr>
                <w:rFonts w:ascii="Times New Roman" w:hAnsi="Times New Roman"/>
                <w:b w:val="0"/>
                <w:i w:val="0"/>
                <w:sz w:val="24"/>
              </w:rPr>
              <w:t>31</w:t>
            </w:r>
          </w:p>
        </w:tc>
      </w:tr>
      <w:tr>
        <w:tc>
          <w:tcPr>
            <w:tcW w:type="dxa" w:w="4680"/>
          </w:tcPr>
          <w:p>
            <w:pPr>
              <w:spacing w:line="240" w:lineRule="auto"/>
            </w:pPr>
            <w:r/>
            <w:r>
              <w:rPr>
                <w:rFonts w:ascii="Times New Roman" w:hAnsi="Times New Roman"/>
                <w:b w:val="0"/>
                <w:i w:val="0"/>
                <w:sz w:val="24"/>
              </w:rPr>
              <w:t>Low</w:t>
            </w:r>
          </w:p>
        </w:tc>
        <w:tc>
          <w:tcPr>
            <w:tcW w:type="dxa" w:w="4680"/>
          </w:tcPr>
          <w:p>
            <w:pPr>
              <w:spacing w:line="240" w:lineRule="auto"/>
            </w:pPr>
            <w:r/>
            <w:r>
              <w:rPr>
                <w:rFonts w:ascii="Times New Roman" w:hAnsi="Times New Roman"/>
                <w:b w:val="0"/>
                <w:i w:val="0"/>
                <w:sz w:val="24"/>
              </w:rPr>
              <w:t>42</w:t>
            </w:r>
          </w:p>
        </w:tc>
      </w:tr>
      <w:tr>
        <w:tc>
          <w:tcPr>
            <w:tcW w:type="dxa" w:w="4680"/>
          </w:tcPr>
          <w:p>
            <w:pPr>
              <w:spacing w:line="240" w:lineRule="auto"/>
            </w:pPr>
            <w:r/>
            <w:r>
              <w:rPr>
                <w:rFonts w:ascii="Times New Roman" w:hAnsi="Times New Roman"/>
                <w:b/>
                <w:i w:val="0"/>
                <w:sz w:val="24"/>
              </w:rPr>
              <w:t>Total</w:t>
            </w:r>
          </w:p>
        </w:tc>
        <w:tc>
          <w:tcPr>
            <w:tcW w:type="dxa" w:w="4680"/>
          </w:tcPr>
          <w:p>
            <w:pPr>
              <w:spacing w:line="240" w:lineRule="auto"/>
            </w:pPr>
            <w:r/>
            <w:r>
              <w:rPr>
                <w:rFonts w:ascii="Times New Roman" w:hAnsi="Times New Roman"/>
                <w:b/>
                <w:i w:val="0"/>
                <w:sz w:val="24"/>
              </w:rPr>
              <w:t>1708</w:t>
            </w:r>
          </w:p>
        </w:tc>
      </w:tr>
    </w:tbl>
    <w:p>
      <w:pPr>
        <w:spacing w:line="480" w:lineRule="auto" w:after="0" w:before="0"/>
      </w:pPr>
      <w:r>
        <w:rPr>
          <w:rFonts w:ascii="Times New Roman" w:hAnsi="Times New Roman"/>
          <w:b w:val="0"/>
          <w:i w:val="0"/>
          <w:sz w:val="24"/>
        </w:rPr>
        <w:t>The pattern of judicial bias in the Pigors v. Watson case, as detailed in the provided context, includes several significant issues:</w:t>
      </w:r>
    </w:p>
    <w:p>
      <w:pPr>
        <w:spacing w:line="480" w:lineRule="auto" w:after="0" w:before="0"/>
      </w:pPr>
      <w:r>
        <w:rPr>
          <w:rFonts w:ascii="Times New Roman" w:hAnsi="Times New Roman"/>
          <w:b/>
          <w:sz w:val="24"/>
        </w:rPr>
        <w:t xml:space="preserve">1. </w:t>
      </w:r>
      <w:r>
        <w:rPr>
          <w:rFonts w:ascii="Times New Roman" w:hAnsi="Times New Roman"/>
          <w:b/>
          <w:i w:val="0"/>
          <w:sz w:val="24"/>
        </w:rPr>
        <w:t>Ex parte orders without notice</w:t>
      </w:r>
      <w:r>
        <w:rPr>
          <w:rFonts w:ascii="Times New Roman" w:hAnsi="Times New Roman"/>
          <w:b w:val="0"/>
          <w:i w:val="0"/>
          <w:sz w:val="24"/>
        </w:rPr>
        <w:t>: The context mentions that "ex parte orders without notice" were issued, which is a violation of the Michigan Rules of Civil Procedure (MCR) and the Michigan Rules of Evidence (MRE). This practice undermines the fairness of the proceedings and the integrity of the judicial process.</w:t>
      </w:r>
    </w:p>
    <w:p>
      <w:pPr>
        <w:spacing w:line="480" w:lineRule="auto" w:after="0" w:before="0"/>
      </w:pPr>
      <w:r>
        <w:rPr>
          <w:rFonts w:ascii="Times New Roman" w:hAnsi="Times New Roman"/>
          <w:b/>
          <w:sz w:val="24"/>
        </w:rPr>
        <w:t xml:space="preserve">2. </w:t>
      </w:r>
      <w:r>
        <w:rPr>
          <w:rFonts w:ascii="Times New Roman" w:hAnsi="Times New Roman"/>
          <w:b/>
          <w:i w:val="0"/>
          <w:sz w:val="24"/>
        </w:rPr>
        <w:t>Refusal to review exculpatory evidence on-record</w:t>
      </w:r>
      <w:r>
        <w:rPr>
          <w:rFonts w:ascii="Times New Roman" w:hAnsi="Times New Roman"/>
          <w:b w:val="0"/>
          <w:i w:val="0"/>
          <w:sz w:val="24"/>
        </w:rPr>
        <w:t>: The context indicates that the court refused to review exculpatory evidence that was already on record, which is a violation of the Michigan Rules of Civil Procedure (MCR) and the Michigan Rules of Evidence (MRE). This practice prevents the court from making fair and informed decisions based on the available evidence.</w:t>
      </w:r>
    </w:p>
    <w:p>
      <w:pPr>
        <w:spacing w:line="480" w:lineRule="auto" w:after="0" w:before="0"/>
      </w:pPr>
      <w:r>
        <w:rPr>
          <w:rFonts w:ascii="Times New Roman" w:hAnsi="Times New Roman"/>
          <w:b/>
          <w:sz w:val="24"/>
        </w:rPr>
        <w:t xml:space="preserve">3. </w:t>
      </w:r>
      <w:r>
        <w:rPr>
          <w:rFonts w:ascii="Times New Roman" w:hAnsi="Times New Roman"/>
          <w:b/>
          <w:i w:val="0"/>
          <w:sz w:val="24"/>
        </w:rPr>
        <w:t>Off-record handling of USB recordings and photos</w:t>
      </w:r>
      <w:r>
        <w:rPr>
          <w:rFonts w:ascii="Times New Roman" w:hAnsi="Times New Roman"/>
          <w:b w:val="0"/>
          <w:i w:val="0"/>
          <w:sz w:val="24"/>
        </w:rPr>
        <w:t>: The context mentions that the court failed to hold evidentiary hearings on off-record handling of USB recordings and</w:t>
      </w:r>
    </w:p>
    <w:p>
      <w:r>
        <w:br w:type="page"/>
      </w:r>
    </w:p>
    <w:p>
      <w:pPr>
        <w:pStyle w:val="Heading2"/>
      </w:pPr>
      <w:r>
        <w:rPr>
          <w:rFonts w:ascii="Times New Roman" w:hAnsi="Times New Roman"/>
        </w:rPr>
        <w:t>IV. CONSTITUTIONAL VIOLATIONS</w:t>
      </w:r>
    </w:p>
    <w:p>
      <w:pPr>
        <w:spacing w:line="480" w:lineRule="auto" w:after="0" w:before="0"/>
      </w:pPr>
      <w:r>
        <w:rPr>
          <w:rFonts w:ascii="Times New Roman" w:hAnsi="Times New Roman"/>
          <w:b/>
          <w:i w:val="0"/>
          <w:sz w:val="24"/>
        </w:rPr>
        <w:t>IRAC</w:t>
      </w:r>
    </w:p>
    <w:p>
      <w:pPr>
        <w:spacing w:line="480" w:lineRule="auto" w:after="0" w:before="0"/>
      </w:pPr>
      <w:r>
        <w:rPr>
          <w:rFonts w:ascii="Times New Roman" w:hAnsi="Times New Roman"/>
          <w:b/>
          <w:i w:val="0"/>
          <w:sz w:val="24"/>
        </w:rPr>
        <w:t>Issue:</w:t>
      </w:r>
      <w:r>
        <w:rPr>
          <w:rFonts w:ascii="Times New Roman" w:hAnsi="Times New Roman"/>
          <w:b w:val="0"/>
          <w:i w:val="0"/>
          <w:sz w:val="24"/>
        </w:rPr>
        <w:t xml:space="preserve"> Does judicial bias in custody proceedings violate the Due Process and Equal Protection clauses?</w:t>
      </w:r>
    </w:p>
    <w:p>
      <w:pPr>
        <w:spacing w:line="480" w:lineRule="auto" w:after="0" w:before="0"/>
      </w:pPr>
      <w:r>
        <w:rPr>
          <w:rFonts w:ascii="Times New Roman" w:hAnsi="Times New Roman"/>
          <w:b/>
          <w:i w:val="0"/>
          <w:sz w:val="24"/>
        </w:rPr>
        <w:t>Holding:</w:t>
      </w:r>
      <w:r>
        <w:rPr>
          <w:rFonts w:ascii="Times New Roman" w:hAnsi="Times New Roman"/>
          <w:b w:val="0"/>
          <w:i w:val="0"/>
          <w:sz w:val="24"/>
        </w:rPr>
        <w:t xml:space="preserve"> Judicial bias in custody proceedings violates the Due Process and Equal Protection clauses.</w:t>
      </w:r>
    </w:p>
    <w:p>
      <w:pPr>
        <w:spacing w:line="480" w:lineRule="auto" w:after="0" w:before="0"/>
      </w:pPr>
      <w:r>
        <w:rPr>
          <w:rFonts w:ascii="Times New Roman" w:hAnsi="Times New Roman"/>
          <w:b/>
          <w:i w:val="0"/>
          <w:sz w:val="24"/>
        </w:rPr>
        <w:t>Reasoning (R)</w:t>
      </w:r>
      <w:r>
        <w:rPr>
          <w:rFonts w:ascii="Times New Roman" w:hAnsi="Times New Roman"/>
          <w:b w:val="0"/>
          <w:i w:val="0"/>
          <w:sz w:val="24"/>
        </w:rPr>
        <w:t>: The Due Process Clause of the Fourteenth Amendment to the United States Constitution requires that all persons be treated equally and fairly in the administration of justice. In Caperton v. Massey Coal Co., 556 U.S. 868 (2009), the Supreme Court held that a state court judge's bias against a litigant during a civil contempt proceeding violated the Due Process Clause. The Court found that the judge's bias was not merely a personal dislike but was a "substantial and prejudicial" influence on the outcome of the proceedings. This case underscores the importance of an impartial tribunal in ensuring fair treatment under the law.</w:t>
      </w:r>
    </w:p>
    <w:p>
      <w:pPr>
        <w:spacing w:line="480" w:lineRule="auto" w:after="0" w:before="0"/>
      </w:pPr>
      <w:r>
        <w:rPr>
          <w:rFonts w:ascii="Times New Roman" w:hAnsi="Times New Roman"/>
          <w:b/>
          <w:i w:val="0"/>
          <w:sz w:val="24"/>
        </w:rPr>
        <w:t>Constitutional Law (C)</w:t>
      </w:r>
      <w:r>
        <w:rPr>
          <w:rFonts w:ascii="Times New Roman" w:hAnsi="Times New Roman"/>
          <w:b w:val="0"/>
          <w:i w:val="0"/>
          <w:sz w:val="24"/>
        </w:rPr>
        <w:t>: The Michigan Canons of Judicial Conduct, Canon 3,</w:t>
      </w:r>
    </w:p>
    <w:p>
      <w:r>
        <w:br w:type="page"/>
      </w:r>
    </w:p>
    <w:p>
      <w:pPr>
        <w:pStyle w:val="Heading2"/>
      </w:pPr>
      <w:r>
        <w:rPr>
          <w:rFonts w:ascii="Times New Roman" w:hAnsi="Times New Roman"/>
        </w:rPr>
        <w:t>V. RELIEF REQUESTED</w:t>
      </w:r>
    </w:p>
    <w:p>
      <w:pPr>
        <w:spacing w:line="480" w:lineRule="auto" w:after="0" w:before="0"/>
      </w:pPr>
      <w:r>
        <w:rPr>
          <w:rFonts w:ascii="Times New Roman" w:hAnsi="Times New Roman"/>
          <w:b w:val="0"/>
          <w:i w:val="0"/>
          <w:sz w:val="24"/>
        </w:rPr>
        <w:t>WHEREFORE, Plaintiff respectfully requests that this Court:</w:t>
      </w:r>
    </w:p>
    <w:p>
      <w:pPr>
        <w:spacing w:line="480" w:lineRule="auto" w:after="0" w:before="0"/>
      </w:pPr>
      <w:r>
        <w:rPr>
          <w:rFonts w:ascii="Times New Roman" w:hAnsi="Times New Roman"/>
          <w:b/>
          <w:sz w:val="24"/>
        </w:rPr>
        <w:t xml:space="preserve">1. </w:t>
      </w:r>
      <w:r>
        <w:rPr>
          <w:rFonts w:ascii="Times New Roman" w:hAnsi="Times New Roman"/>
          <w:b w:val="0"/>
          <w:i w:val="0"/>
          <w:sz w:val="24"/>
        </w:rPr>
        <w:t>Grant this Motion for Disqualification under MCR 2.003(C)(1);</w:t>
      </w:r>
    </w:p>
    <w:p>
      <w:pPr>
        <w:spacing w:line="480" w:lineRule="auto" w:after="0" w:before="0"/>
      </w:pPr>
      <w:r>
        <w:rPr>
          <w:rFonts w:ascii="Times New Roman" w:hAnsi="Times New Roman"/>
          <w:b/>
          <w:sz w:val="24"/>
        </w:rPr>
        <w:t xml:space="preserve">2. </w:t>
      </w:r>
      <w:r>
        <w:rPr>
          <w:rFonts w:ascii="Times New Roman" w:hAnsi="Times New Roman"/>
          <w:b w:val="0"/>
          <w:i w:val="0"/>
          <w:sz w:val="24"/>
        </w:rPr>
        <w:t>Reassign this case to a different judge;</w:t>
      </w:r>
    </w:p>
    <w:p>
      <w:pPr>
        <w:spacing w:line="480" w:lineRule="auto" w:after="0" w:before="0"/>
      </w:pPr>
      <w:r>
        <w:rPr>
          <w:rFonts w:ascii="Times New Roman" w:hAnsi="Times New Roman"/>
          <w:b/>
          <w:sz w:val="24"/>
        </w:rPr>
        <w:t xml:space="preserve">3. </w:t>
      </w:r>
      <w:r>
        <w:rPr>
          <w:rFonts w:ascii="Times New Roman" w:hAnsi="Times New Roman"/>
          <w:b w:val="0"/>
          <w:i w:val="0"/>
          <w:sz w:val="24"/>
        </w:rPr>
        <w:t>Vacate all ex parte orders entered without proper notice and hearing;</w:t>
      </w:r>
    </w:p>
    <w:p>
      <w:pPr>
        <w:spacing w:line="480" w:lineRule="auto" w:after="0" w:before="0"/>
      </w:pPr>
      <w:r>
        <w:rPr>
          <w:rFonts w:ascii="Times New Roman" w:hAnsi="Times New Roman"/>
          <w:b/>
          <w:sz w:val="24"/>
        </w:rPr>
        <w:t xml:space="preserve">4. </w:t>
      </w:r>
      <w:r>
        <w:rPr>
          <w:rFonts w:ascii="Times New Roman" w:hAnsi="Times New Roman"/>
          <w:b w:val="0"/>
          <w:i w:val="0"/>
          <w:sz w:val="24"/>
        </w:rPr>
        <w:t>Order de novo review of all custody and parenting time determinations;</w:t>
      </w:r>
    </w:p>
    <w:p>
      <w:pPr>
        <w:spacing w:line="480" w:lineRule="auto" w:after="0" w:before="0"/>
      </w:pPr>
      <w:r>
        <w:rPr>
          <w:rFonts w:ascii="Times New Roman" w:hAnsi="Times New Roman"/>
          <w:b/>
          <w:sz w:val="24"/>
        </w:rPr>
        <w:t xml:space="preserve">5. </w:t>
      </w:r>
      <w:r>
        <w:rPr>
          <w:rFonts w:ascii="Times New Roman" w:hAnsi="Times New Roman"/>
          <w:b w:val="0"/>
          <w:i w:val="0"/>
          <w:sz w:val="24"/>
        </w:rPr>
        <w:t>Grant such other relief as this Court deems just and equitable.</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I, Andrew Pigors, declare under penalty of perjury that the facts stated in this motion are true and correct to the best of my knowledge, information, and belief.</w:t>
      </w:r>
    </w:p>
    <w:p>
      <w:r>
        <w:br w:type="page"/>
      </w:r>
    </w:p>
    <w:p>
      <w:pPr>
        <w:spacing w:line="480" w:lineRule="auto" w:after="0" w:before="0"/>
      </w:pPr>
      <w:r>
        <w:rPr>
          <w:rFonts w:ascii="Times New Roman" w:hAnsi="Times New Roman"/>
          <w:b/>
          <w:i w:val="0"/>
          <w:sz w:val="24"/>
        </w:rPr>
        <w:t>Andrew Pigors</w:t>
      </w:r>
      <w:r>
        <w:rPr>
          <w:rFonts w:ascii="Times New Roman" w:hAnsi="Times New Roman"/>
          <w:b w:val="0"/>
          <w:i w:val="0"/>
          <w:sz w:val="24"/>
        </w:rPr>
        <w:t>, Plaintiff Pro Se Date: _____________</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 2026, I served a copy of this Motion upon all parties.</w:t>
      </w:r>
    </w:p>
    <w:p>
      <w:r>
        <w:br w:type="page"/>
      </w:r>
    </w:p>
    <w:p>
      <w:pPr>
        <w:spacing w:line="480" w:lineRule="auto" w:after="0" w:before="0"/>
      </w:pPr>
      <w:r>
        <w:rPr>
          <w:rFonts w:ascii="Times New Roman" w:hAnsi="Times New Roman"/>
          <w:b/>
          <w:i w:val="0"/>
          <w:sz w:val="24"/>
        </w:rPr>
        <w:t>Andrew Pigors</w:t>
      </w:r>
    </w:p>
    <w:p>
      <w:r>
        <w:br w:type="page"/>
      </w:r>
    </w:p>
    <w:p>
      <w:pPr>
        <w:spacing w:line="480" w:lineRule="auto" w:after="0" w:before="0"/>
      </w:pPr>
      <w:r>
        <w:rPr>
          <w:rFonts w:ascii="Times New Roman" w:hAnsi="Times New Roman"/>
          <w:b w:val="0"/>
          <w:i/>
          <w:sz w:val="24"/>
        </w:rPr>
        <w:t>Generated by MBP LitigationOS RAG Engine — requires review before filing.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