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MOTION TO CONSOLIDATE CASES PURSUANT TO MCR 2.505</w:t>
      </w:r>
    </w:p>
    <w:p>
      <w:r>
        <w:br w:type="page"/>
      </w:r>
    </w:p>
    <w:p>
      <w:pPr>
        <w:spacing w:line="240" w:lineRule="auto" w:after="0" w:before="0"/>
        <w:jc w:val="center"/>
      </w:pPr>
      <w:r>
        <w:rPr>
          <w:rFonts w:ascii="Times New Roman" w:hAnsi="Times New Roman"/>
          <w:b/>
          <w:i w:val="0"/>
          <w:sz w:val="24"/>
        </w:rPr>
        <w:t>## IN THE 14TH CIRCUIT COURT FOR THE COUNTY OF MUSKEGON</w:t>
      </w:r>
    </w:p>
    <w:p>
      <w:pPr>
        <w:spacing w:line="240" w:lineRule="auto" w:after="0" w:before="0"/>
      </w:pPr>
      <w:r>
        <w:rPr>
          <w:rFonts w:ascii="Times New Roman" w:hAnsi="Times New Roman"/>
          <w:b w:val="0"/>
          <w:i w:val="0"/>
          <w:sz w:val="24"/>
        </w:rPr>
        <w:t>### STATE OF MICHIGAN</w:t>
      </w:r>
    </w:p>
    <w:p>
      <w:pPr>
        <w:spacing w:line="240" w:lineRule="auto" w:after="0" w:before="0"/>
      </w:pPr>
      <w:r>
        <w:rPr>
          <w:rFonts w:ascii="Times New Roman" w:hAnsi="Times New Roman"/>
          <w:b w:val="0"/>
          <w:i w:val="0"/>
          <w:sz w:val="24"/>
        </w:rPr>
        <w:t>### FAMILY DIVISION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Plaintiff/Father,</w:t>
      </w:r>
    </w:p>
    <w:p>
      <w:pPr>
        <w:spacing w:line="480" w:lineRule="auto" w:after="0" w:before="0"/>
      </w:pPr>
      <w:r>
        <w:rPr>
          <w:rFonts w:ascii="Times New Roman" w:hAnsi="Times New Roman"/>
          <w:b w:val="0"/>
          <w:i w:val="0"/>
          <w:sz w:val="24"/>
        </w:rPr>
        <w:t xml:space="preserve">v.                                                    Case No. 2024-001507-DC Hon. Jenny L. McNeill </w:t>
      </w:r>
      <w:r>
        <w:rPr>
          <w:rFonts w:ascii="Times New Roman" w:hAnsi="Times New Roman"/>
          <w:b/>
          <w:i w:val="0"/>
          <w:sz w:val="24"/>
        </w:rPr>
        <w:t>EMILY A. WATSON (a/k/a EMILY JOY WATKINS),</w:t>
      </w:r>
      <w:r>
        <w:rPr>
          <w:rFonts w:ascii="Times New Roman" w:hAnsi="Times New Roman"/>
          <w:b w:val="0"/>
          <w:i w:val="0"/>
          <w:sz w:val="24"/>
        </w:rPr>
        <w:t xml:space="preserve"> Defendant/Mother.</w:t>
      </w:r>
    </w:p>
    <w:p>
      <w:r>
        <w:br w:type="page"/>
      </w:r>
    </w:p>
    <w:p>
      <w:pPr>
        <w:spacing w:line="480" w:lineRule="auto" w:after="0" w:before="0"/>
      </w:pPr>
      <w:r>
        <w:rPr>
          <w:rFonts w:ascii="Times New Roman" w:hAnsi="Times New Roman"/>
          <w:b w:val="0"/>
          <w:i w:val="0"/>
          <w:sz w:val="24"/>
        </w:rPr>
        <w:t>AND:</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Petitioner,</w:t>
      </w:r>
    </w:p>
    <w:p>
      <w:pPr>
        <w:spacing w:line="480" w:lineRule="auto" w:after="0" w:before="0"/>
      </w:pPr>
      <w:r>
        <w:rPr>
          <w:rFonts w:ascii="Times New Roman" w:hAnsi="Times New Roman"/>
          <w:b w:val="0"/>
          <w:i w:val="0"/>
          <w:sz w:val="24"/>
        </w:rPr>
        <w:t xml:space="preserve">v.                                                    Case No. 2023-5907-PP Hon. Jenny L. McNeill </w:t>
      </w:r>
      <w:r>
        <w:rPr>
          <w:rFonts w:ascii="Times New Roman" w:hAnsi="Times New Roman"/>
          <w:b/>
          <w:i w:val="0"/>
          <w:sz w:val="24"/>
        </w:rPr>
        <w:t>ANDREW J. PIGORS,</w:t>
      </w:r>
      <w:r>
        <w:rPr>
          <w:rFonts w:ascii="Times New Roman" w:hAnsi="Times New Roman"/>
          <w:b w:val="0"/>
          <w:i w:val="0"/>
          <w:sz w:val="24"/>
        </w:rPr>
        <w:t xml:space="preserve"> Respondent.</w:t>
      </w:r>
    </w:p>
    <w:p>
      <w:r>
        <w:br w:type="page"/>
      </w:r>
    </w:p>
    <w:p>
      <w:pPr>
        <w:pStyle w:val="Heading2"/>
      </w:pPr>
      <w:r>
        <w:rPr>
          <w:rFonts w:ascii="Times New Roman" w:hAnsi="Times New Roman"/>
        </w:rPr>
        <w:t>MOTION TO CONSOLIDATE CASES FOR ALL PURPOSES</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[TO BE COMPLETED UPON SCHEDULING]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Andrew J. Pigors, Plaintiff in Case No. 2024-001507-DC and Respondent in Case No. 2023-5907-PP, appearing </w:t>
      </w:r>
      <w:r>
        <w:rPr>
          <w:rFonts w:ascii="Times New Roman" w:hAnsi="Times New Roman"/>
          <w:b w:val="0"/>
          <w:i/>
          <w:sz w:val="24"/>
        </w:rPr>
        <w:t>pro se</w:t>
      </w:r>
      <w:r>
        <w:rPr>
          <w:rFonts w:ascii="Times New Roman" w:hAnsi="Times New Roman"/>
          <w:b w:val="0"/>
          <w:i w:val="0"/>
          <w:sz w:val="24"/>
        </w:rPr>
        <w:t>, and respectfully moves this Honorable Court, pursuant to MCR 2.505 (Consolidation; Separate Trials), for an Order consolidating the above-captioned cases for all purposes, and in support thereof states as follows:</w:t>
      </w:r>
    </w:p>
    <w:p>
      <w:r>
        <w:br w:type="page"/>
      </w:r>
    </w:p>
    <w:p>
      <w:pPr>
        <w:pStyle w:val="Heading3"/>
      </w:pPr>
      <w:r>
        <w:rPr>
          <w:rFonts w:ascii="Times New Roman" w:hAnsi="Times New Roman"/>
        </w:rPr>
        <w:t>I. INTRODUCTION</w:t>
      </w:r>
    </w:p>
    <w:p>
      <w:pPr>
        <w:spacing w:line="480" w:lineRule="auto" w:after="0" w:before="0"/>
      </w:pPr>
      <w:r>
        <w:rPr>
          <w:rFonts w:ascii="Times New Roman" w:hAnsi="Times New Roman"/>
          <w:b/>
          <w:sz w:val="24"/>
        </w:rPr>
        <w:t xml:space="preserve">1. </w:t>
      </w:r>
      <w:r>
        <w:rPr>
          <w:rFonts w:ascii="Times New Roman" w:hAnsi="Times New Roman"/>
          <w:b w:val="0"/>
          <w:i w:val="0"/>
          <w:sz w:val="24"/>
        </w:rPr>
        <w:t>This Motion requests that the Court consolidate Case No. 2024-001507-DC (custody/parenting time proceeding) and Case No. 2023-5907-PP (Personal Protection Order proceeding) for all purposes, including discovery, motions practice, evidentiary hearings, and trial.</w:t>
      </w:r>
    </w:p>
    <w:p>
      <w:pPr>
        <w:spacing w:line="480" w:lineRule="auto" w:after="0" w:before="0"/>
      </w:pPr>
      <w:r>
        <w:rPr>
          <w:rFonts w:ascii="Times New Roman" w:hAnsi="Times New Roman"/>
          <w:b/>
          <w:sz w:val="24"/>
        </w:rPr>
        <w:t xml:space="preserve">2. </w:t>
      </w:r>
      <w:r>
        <w:rPr>
          <w:rFonts w:ascii="Times New Roman" w:hAnsi="Times New Roman"/>
          <w:b w:val="0"/>
          <w:i w:val="0"/>
          <w:sz w:val="24"/>
        </w:rPr>
        <w:t>These two cases involve the same parties, arise from the same nucleus of operative facts, present overlapping legal and factual issues, and are already assigned to the same presiding judge. Consolidation is warranted by judicial economy, avoidance of inconsistent results, and the fundamental reality that these cases cannot be fairly adjudicated in isolation.</w:t>
      </w:r>
    </w:p>
    <w:p>
      <w:pPr>
        <w:spacing w:line="480" w:lineRule="auto" w:after="0" w:before="0"/>
      </w:pPr>
      <w:r>
        <w:rPr>
          <w:rFonts w:ascii="Times New Roman" w:hAnsi="Times New Roman"/>
          <w:b/>
          <w:sz w:val="24"/>
        </w:rPr>
        <w:t xml:space="preserve">3. </w:t>
      </w:r>
      <w:r>
        <w:rPr>
          <w:rFonts w:ascii="Times New Roman" w:hAnsi="Times New Roman"/>
          <w:b w:val="0"/>
          <w:i w:val="0"/>
          <w:sz w:val="24"/>
        </w:rPr>
        <w:t>The PPO proceeding is being weaponized as a tactical tool in the custody litigation. Consolidation is the only procedural mechanism to prevent continued abuse of the PPO process.</w:t>
      </w:r>
    </w:p>
    <w:p>
      <w:r>
        <w:br w:type="page"/>
      </w:r>
    </w:p>
    <w:p>
      <w:pPr>
        <w:pStyle w:val="Heading3"/>
      </w:pPr>
      <w:r>
        <w:rPr>
          <w:rFonts w:ascii="Times New Roman" w:hAnsi="Times New Roman"/>
        </w:rPr>
        <w:t>II. LEGAL STANDARD</w:t>
      </w:r>
    </w:p>
    <w:p>
      <w:pPr>
        <w:spacing w:line="480" w:lineRule="auto" w:after="0" w:before="0"/>
      </w:pPr>
      <w:r>
        <w:rPr>
          <w:rFonts w:ascii="Times New Roman" w:hAnsi="Times New Roman"/>
          <w:b/>
          <w:sz w:val="24"/>
        </w:rPr>
        <w:t xml:space="preserve">4. </w:t>
      </w:r>
      <w:r>
        <w:rPr>
          <w:rFonts w:ascii="Times New Roman" w:hAnsi="Times New Roman"/>
          <w:b w:val="0"/>
          <w:i w:val="0"/>
          <w:sz w:val="24"/>
        </w:rPr>
        <w:t>MCR 2.505(A) provides: "When actions involving a substantial and common question of law or fact are pending before the court, it may order a joint hearing or trial of any or all the matters in issue in the actions; it may order all the actions consolidated; and it may make orders concerning proceedings therein as may tend to avoid unnecessary costs or delay."</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The decision to consolidate is within the sound discretion of the trial court, guided by whether consolidation promotes judicial economy and avoids prejudice. The predominant question is whether the cases share common questions of law or fact. </w:t>
      </w:r>
      <w:r>
        <w:rPr>
          <w:rFonts w:ascii="Times New Roman" w:hAnsi="Times New Roman"/>
          <w:b w:val="0"/>
          <w:i/>
          <w:sz w:val="24"/>
        </w:rPr>
        <w:t>See Decker Mfg. Corp. v Mitsubishi Heavy Industries</w:t>
      </w:r>
      <w:r>
        <w:rPr>
          <w:rFonts w:ascii="Times New Roman" w:hAnsi="Times New Roman"/>
          <w:b w:val="0"/>
          <w:i w:val="0"/>
          <w:sz w:val="24"/>
        </w:rPr>
        <w:t>, 168 Mich App 22; 423 NW2d 577 (1988).</w:t>
      </w:r>
    </w:p>
    <w:p>
      <w:pPr>
        <w:spacing w:line="480" w:lineRule="auto" w:after="0" w:before="0"/>
      </w:pPr>
      <w:r>
        <w:rPr>
          <w:rFonts w:ascii="Times New Roman" w:hAnsi="Times New Roman"/>
          <w:b/>
          <w:sz w:val="24"/>
        </w:rPr>
        <w:t xml:space="preserve">6. </w:t>
      </w:r>
      <w:r>
        <w:rPr>
          <w:rFonts w:ascii="Times New Roman" w:hAnsi="Times New Roman"/>
          <w:b w:val="0"/>
          <w:i w:val="0"/>
          <w:sz w:val="24"/>
        </w:rPr>
        <w:t>Michigan courts have recognized that consolidation is particularly appropriate in family division cases where multiple proceedings between the same parties involve overlapping factual determinations. MCR 3.205 (Jurisdiction in Domestic Relations) and MCR 3.221 (Parenting Time Enforcement) contemplate coordinated proceedings.</w:t>
      </w:r>
    </w:p>
    <w:p>
      <w:r>
        <w:br w:type="page"/>
      </w:r>
    </w:p>
    <w:p>
      <w:pPr>
        <w:pStyle w:val="Heading3"/>
      </w:pPr>
      <w:r>
        <w:rPr>
          <w:rFonts w:ascii="Times New Roman" w:hAnsi="Times New Roman"/>
        </w:rPr>
        <w:t>III. THE CASES SHARE COMMON PARTIES, FACTS, AND ISSUES</w:t>
      </w:r>
    </w:p>
    <w:p>
      <w:pPr>
        <w:keepNext/>
        <w:spacing w:line="480" w:lineRule="auto" w:after="0" w:before="0"/>
      </w:pPr>
      <w:r>
        <w:rPr>
          <w:rFonts w:ascii="Times New Roman" w:hAnsi="Times New Roman"/>
          <w:b/>
          <w:i w:val="0"/>
          <w:sz w:val="24"/>
        </w:rPr>
        <w:t>A. Identical Parties</w:t>
      </w:r>
    </w:p>
    <w:p>
      <w:pPr>
        <w:spacing w:line="480" w:lineRule="auto" w:after="0" w:before="0"/>
      </w:pPr>
      <w:r>
        <w:rPr>
          <w:rFonts w:ascii="Times New Roman" w:hAnsi="Times New Roman"/>
          <w:b/>
          <w:sz w:val="24"/>
        </w:rPr>
        <w:t xml:space="preserve">7. </w:t>
      </w:r>
      <w:r>
        <w:rPr>
          <w:rFonts w:ascii="Times New Roman" w:hAnsi="Times New Roman"/>
          <w:b w:val="0"/>
          <w:i w:val="0"/>
          <w:sz w:val="24"/>
        </w:rPr>
        <w:t>Both cases involve the same two parties:</w:t>
      </w:r>
    </w:p>
    <w:p>
      <w:pPr>
        <w:spacing w:line="480" w:lineRule="auto" w:after="0" w:before="0"/>
      </w:pPr>
      <w:r>
        <w:rPr>
          <w:rFonts w:ascii="Times New Roman" w:hAnsi="Times New Roman"/>
          <w:b w:val="0"/>
          <w:i w:val="0"/>
          <w:sz w:val="24"/>
        </w:rPr>
        <w:t>- Andrew J. Pigors (Plaintiff/Father in custody; Respondent in PPO) - Emily A. Watson (Defendant/Mother in custody; Petitioner in PPO)</w:t>
      </w:r>
    </w:p>
    <w:p>
      <w:pPr>
        <w:spacing w:line="480" w:lineRule="auto" w:after="0" w:before="0"/>
      </w:pPr>
      <w:r>
        <w:rPr>
          <w:rFonts w:ascii="Times New Roman" w:hAnsi="Times New Roman"/>
          <w:b/>
          <w:sz w:val="24"/>
        </w:rPr>
        <w:t xml:space="preserve">8. </w:t>
      </w:r>
      <w:r>
        <w:rPr>
          <w:rFonts w:ascii="Times New Roman" w:hAnsi="Times New Roman"/>
          <w:b w:val="0"/>
          <w:i w:val="0"/>
          <w:sz w:val="24"/>
        </w:rPr>
        <w:t>There are no additional parties in either proceeding. The cases are perfectly coextensive as to parties.</w:t>
      </w:r>
    </w:p>
    <w:p>
      <w:pPr>
        <w:keepNext/>
        <w:spacing w:line="480" w:lineRule="auto" w:after="0" w:before="0"/>
      </w:pPr>
      <w:r>
        <w:rPr>
          <w:rFonts w:ascii="Times New Roman" w:hAnsi="Times New Roman"/>
          <w:b/>
          <w:i w:val="0"/>
          <w:sz w:val="24"/>
        </w:rPr>
        <w:t>B. Common Nucleus of Operative Facts</w:t>
      </w:r>
    </w:p>
    <w:p>
      <w:pPr>
        <w:spacing w:line="480" w:lineRule="auto" w:after="0" w:before="0"/>
      </w:pPr>
      <w:r>
        <w:rPr>
          <w:rFonts w:ascii="Times New Roman" w:hAnsi="Times New Roman"/>
          <w:b/>
          <w:sz w:val="24"/>
        </w:rPr>
        <w:t xml:space="preserve">9. </w:t>
      </w:r>
      <w:r>
        <w:rPr>
          <w:rFonts w:ascii="Times New Roman" w:hAnsi="Times New Roman"/>
          <w:b w:val="0"/>
          <w:i w:val="0"/>
          <w:sz w:val="24"/>
        </w:rPr>
        <w:t>Both cases arise from the same domestic relationship between the parties and concern the same alleged conduct by the same individuals during the same time period.</w:t>
      </w:r>
    </w:p>
    <w:p>
      <w:pPr>
        <w:spacing w:line="480" w:lineRule="auto" w:after="0" w:before="0"/>
      </w:pPr>
      <w:r>
        <w:rPr>
          <w:rFonts w:ascii="Times New Roman" w:hAnsi="Times New Roman"/>
          <w:b/>
          <w:sz w:val="24"/>
        </w:rPr>
        <w:t xml:space="preserve">10. </w:t>
      </w:r>
      <w:r>
        <w:rPr>
          <w:rFonts w:ascii="Times New Roman" w:hAnsi="Times New Roman"/>
          <w:b w:val="0"/>
          <w:i w:val="0"/>
          <w:sz w:val="24"/>
        </w:rPr>
        <w:t>The factual allegations in the PPO proceeding are identical to, or a subset of, the factual allegations in the custody proceeding. Specifically:</w:t>
      </w:r>
    </w:p>
    <w:p>
      <w:pPr>
        <w:spacing w:line="480" w:lineRule="auto" w:after="0" w:before="0"/>
      </w:pPr>
      <w:r>
        <w:rPr>
          <w:rFonts w:ascii="Times New Roman" w:hAnsi="Times New Roman"/>
          <w:b w:val="0"/>
          <w:i w:val="0"/>
          <w:sz w:val="24"/>
        </w:rPr>
        <w:t>- Allegations of threatening or violent behavior (raised in both PPO and custody); - Allegations regarding the minor child Lincoln's safety (raised in both PPO and custody); - The Norton Shores Police Department investigations (relevant to both); - The USB recording (used as evidence in both proceedings); - The mental health evaluations (referenced in both proceedings).</w:t>
      </w:r>
    </w:p>
    <w:p>
      <w:pPr>
        <w:spacing w:line="480" w:lineRule="auto" w:after="0" w:before="0"/>
      </w:pPr>
      <w:r>
        <w:rPr>
          <w:rFonts w:ascii="Times New Roman" w:hAnsi="Times New Roman"/>
          <w:b/>
          <w:sz w:val="24"/>
        </w:rPr>
        <w:t xml:space="preserve">11. </w:t>
      </w:r>
      <w:r>
        <w:rPr>
          <w:rFonts w:ascii="Times New Roman" w:hAnsi="Times New Roman"/>
          <w:b w:val="0"/>
          <w:i w:val="0"/>
          <w:sz w:val="24"/>
        </w:rPr>
        <w:t>Both cases reference the same police reports (NSPD-2023-081, NSPD-2023-08121, NSPD-2023-08179, and others), the same witnesses (Officers Fulton, Ritchie, Chatman, and Hintz), and the same documentary evidence.</w:t>
      </w:r>
    </w:p>
    <w:p>
      <w:pPr>
        <w:keepNext/>
        <w:spacing w:line="480" w:lineRule="auto" w:after="0" w:before="0"/>
      </w:pPr>
      <w:r>
        <w:rPr>
          <w:rFonts w:ascii="Times New Roman" w:hAnsi="Times New Roman"/>
          <w:b/>
          <w:i w:val="0"/>
          <w:sz w:val="24"/>
        </w:rPr>
        <w:t>C. Same Presiding Judge</w:t>
      </w:r>
    </w:p>
    <w:p>
      <w:pPr>
        <w:spacing w:line="480" w:lineRule="auto" w:after="0" w:before="0"/>
      </w:pPr>
      <w:r>
        <w:rPr>
          <w:rFonts w:ascii="Times New Roman" w:hAnsi="Times New Roman"/>
          <w:b/>
          <w:sz w:val="24"/>
        </w:rPr>
        <w:t xml:space="preserve">12. </w:t>
      </w:r>
      <w:r>
        <w:rPr>
          <w:rFonts w:ascii="Times New Roman" w:hAnsi="Times New Roman"/>
          <w:b w:val="0"/>
          <w:i w:val="0"/>
          <w:sz w:val="24"/>
        </w:rPr>
        <w:t>Both cases are currently assigned to the Honorable Jenny McNeill. Consolidation would not require any change in judicial assignment and would, in fact, formalize what is already the practical reality.</w:t>
      </w:r>
    </w:p>
    <w:p>
      <w:pPr>
        <w:keepNext/>
        <w:spacing w:line="480" w:lineRule="auto" w:after="0" w:before="0"/>
      </w:pPr>
      <w:r>
        <w:rPr>
          <w:rFonts w:ascii="Times New Roman" w:hAnsi="Times New Roman"/>
          <w:b/>
          <w:i w:val="0"/>
          <w:sz w:val="24"/>
        </w:rPr>
        <w:t>D. Overlapping Legal Issues</w:t>
      </w:r>
    </w:p>
    <w:p>
      <w:pPr>
        <w:spacing w:line="480" w:lineRule="auto" w:after="0" w:before="0"/>
      </w:pPr>
      <w:r>
        <w:rPr>
          <w:rFonts w:ascii="Times New Roman" w:hAnsi="Times New Roman"/>
          <w:b/>
          <w:sz w:val="24"/>
        </w:rPr>
        <w:t xml:space="preserve">13. </w:t>
      </w:r>
      <w:r>
        <w:rPr>
          <w:rFonts w:ascii="Times New Roman" w:hAnsi="Times New Roman"/>
          <w:b w:val="0"/>
          <w:i w:val="0"/>
          <w:sz w:val="24"/>
        </w:rPr>
        <w:t>Both cases require the Court to make factual determinations regarding:</w:t>
      </w:r>
    </w:p>
    <w:p>
      <w:pPr>
        <w:spacing w:line="480" w:lineRule="auto" w:after="0" w:before="0"/>
      </w:pPr>
      <w:r>
        <w:rPr>
          <w:rFonts w:ascii="Times New Roman" w:hAnsi="Times New Roman"/>
          <w:b w:val="0"/>
          <w:i w:val="0"/>
          <w:sz w:val="24"/>
        </w:rPr>
        <w:t>- Whether Father's conduct constitutes a threat to Mother or the child; - The credibility of the parties' respective allegations; - The weight and admissibility of the police investigation findings; - The admissibility and authentication of the USB recording; - The best interests of the minor child.</w:t>
      </w:r>
    </w:p>
    <w:p>
      <w:pPr>
        <w:spacing w:line="480" w:lineRule="auto" w:after="0" w:before="0"/>
      </w:pPr>
      <w:r>
        <w:rPr>
          <w:rFonts w:ascii="Times New Roman" w:hAnsi="Times New Roman"/>
          <w:b/>
          <w:sz w:val="24"/>
        </w:rPr>
        <w:t xml:space="preserve">14. </w:t>
      </w:r>
      <w:r>
        <w:rPr>
          <w:rFonts w:ascii="Times New Roman" w:hAnsi="Times New Roman"/>
          <w:b w:val="0"/>
          <w:i w:val="0"/>
          <w:sz w:val="24"/>
        </w:rPr>
        <w:t>These factual determinations are identical in both proceedings. Adjudicating them separately creates an unacceptable risk of inconsistent findings and duplicative proceedings.</w:t>
      </w:r>
    </w:p>
    <w:p>
      <w:r>
        <w:br w:type="page"/>
      </w:r>
    </w:p>
    <w:p>
      <w:pPr>
        <w:pStyle w:val="Heading3"/>
      </w:pPr>
      <w:r>
        <w:rPr>
          <w:rFonts w:ascii="Times New Roman" w:hAnsi="Times New Roman"/>
        </w:rPr>
        <w:t>IV. THE PPO IS BEING WEAPONIZED IN CUSTODY PROCEEDINGS</w:t>
      </w:r>
    </w:p>
    <w:p>
      <w:pPr>
        <w:spacing w:line="480" w:lineRule="auto" w:after="0" w:before="0"/>
      </w:pPr>
      <w:r>
        <w:rPr>
          <w:rFonts w:ascii="Times New Roman" w:hAnsi="Times New Roman"/>
          <w:b/>
          <w:sz w:val="24"/>
        </w:rPr>
        <w:t xml:space="preserve">15. </w:t>
      </w:r>
      <w:r>
        <w:rPr>
          <w:rFonts w:ascii="Times New Roman" w:hAnsi="Times New Roman"/>
          <w:b w:val="0"/>
          <w:i w:val="0"/>
          <w:sz w:val="24"/>
        </w:rPr>
        <w:t>The PPO proceeding is not being pursued in good faith for personal protection. It is being systematically deployed as a litigation weapon to gain tactical advantage in the custody case.</w:t>
      </w:r>
    </w:p>
    <w:p>
      <w:pPr>
        <w:spacing w:line="480" w:lineRule="auto" w:after="0" w:before="0"/>
      </w:pPr>
      <w:r>
        <w:rPr>
          <w:rFonts w:ascii="Times New Roman" w:hAnsi="Times New Roman"/>
          <w:b/>
          <w:sz w:val="24"/>
        </w:rPr>
        <w:t xml:space="preserve">16. </w:t>
      </w:r>
      <w:r>
        <w:rPr>
          <w:rFonts w:ascii="Times New Roman" w:hAnsi="Times New Roman"/>
          <w:b/>
          <w:i w:val="0"/>
          <w:sz w:val="24"/>
        </w:rPr>
        <w:t>The timing proves the pattern.</w:t>
      </w:r>
      <w:r>
        <w:rPr>
          <w:rFonts w:ascii="Times New Roman" w:hAnsi="Times New Roman"/>
          <w:b w:val="0"/>
          <w:i w:val="0"/>
          <w:sz w:val="24"/>
        </w:rPr>
        <w:t xml:space="preserve"> Show Cause Motion #7 in the PPO case was filed on or about </w:t>
      </w:r>
      <w:r>
        <w:rPr>
          <w:rFonts w:ascii="Times New Roman" w:hAnsi="Times New Roman"/>
          <w:b/>
          <w:i w:val="0"/>
          <w:sz w:val="24"/>
        </w:rPr>
        <w:t>October 27, 2025</w:t>
      </w:r>
      <w:r>
        <w:rPr>
          <w:rFonts w:ascii="Times New Roman" w:hAnsi="Times New Roman"/>
          <w:b w:val="0"/>
          <w:i w:val="0"/>
          <w:sz w:val="24"/>
        </w:rPr>
        <w:t xml:space="preserve"> — exactly </w:t>
      </w:r>
      <w:r>
        <w:rPr>
          <w:rFonts w:ascii="Times New Roman" w:hAnsi="Times New Roman"/>
          <w:b/>
          <w:i w:val="0"/>
          <w:sz w:val="24"/>
        </w:rPr>
        <w:t>two (2) days</w:t>
      </w:r>
      <w:r>
        <w:rPr>
          <w:rFonts w:ascii="Times New Roman" w:hAnsi="Times New Roman"/>
          <w:b w:val="0"/>
          <w:i w:val="0"/>
          <w:sz w:val="24"/>
        </w:rPr>
        <w:t xml:space="preserve"> before the scheduled </w:t>
      </w:r>
      <w:r>
        <w:rPr>
          <w:rFonts w:ascii="Times New Roman" w:hAnsi="Times New Roman"/>
          <w:b/>
          <w:i w:val="0"/>
          <w:sz w:val="24"/>
        </w:rPr>
        <w:t>October 29, 2025 custody hearing</w:t>
      </w:r>
      <w:r>
        <w:rPr>
          <w:rFonts w:ascii="Times New Roman" w:hAnsi="Times New Roman"/>
          <w:b w:val="0"/>
          <w:i w:val="0"/>
          <w:sz w:val="24"/>
        </w:rPr>
        <w:t xml:space="preserve"> in Case No. 2024-001507-DC. This timing is not coincidental.</w:t>
      </w:r>
    </w:p>
    <w:p>
      <w:pPr>
        <w:spacing w:line="480" w:lineRule="auto" w:after="0" w:before="0"/>
      </w:pPr>
      <w:r>
        <w:rPr>
          <w:rFonts w:ascii="Times New Roman" w:hAnsi="Times New Roman"/>
          <w:b/>
          <w:sz w:val="24"/>
        </w:rPr>
        <w:t xml:space="preserve">17. </w:t>
      </w:r>
      <w:r>
        <w:rPr>
          <w:rFonts w:ascii="Times New Roman" w:hAnsi="Times New Roman"/>
          <w:b w:val="0"/>
          <w:i w:val="0"/>
          <w:sz w:val="24"/>
        </w:rPr>
        <w:t>This is not an isolated incident. Throughout these proceedings, PPO filings have been timed to coincide with or immediately precede critical custody events:</w:t>
      </w:r>
    </w:p>
    <w:p>
      <w:pPr>
        <w:spacing w:line="480" w:lineRule="auto" w:after="0" w:before="0"/>
      </w:pPr>
      <w:r>
        <w:rPr>
          <w:rFonts w:ascii="Times New Roman" w:hAnsi="Times New Roman"/>
          <w:b w:val="0"/>
          <w:i w:val="0"/>
          <w:sz w:val="24"/>
        </w:rPr>
        <w:t>- Show-cause motions filed days before custody hearings; - PPO modification requests timed to custody motion deadlines; - Allegations in PPO filings recycled verbatim into custody pleadings.</w:t>
      </w:r>
    </w:p>
    <w:p>
      <w:pPr>
        <w:spacing w:line="480" w:lineRule="auto" w:after="0" w:before="0"/>
      </w:pPr>
      <w:r>
        <w:rPr>
          <w:rFonts w:ascii="Times New Roman" w:hAnsi="Times New Roman"/>
          <w:b/>
          <w:sz w:val="24"/>
        </w:rPr>
        <w:t xml:space="preserve">18. </w:t>
      </w:r>
      <w:r>
        <w:rPr>
          <w:rFonts w:ascii="Times New Roman" w:hAnsi="Times New Roman"/>
          <w:b w:val="0"/>
          <w:i w:val="0"/>
          <w:sz w:val="24"/>
        </w:rPr>
        <w:t>The effect of this weaponization has been devastating to Father's parental rights: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50/50 parenting time</w:t>
      </w:r>
      <w:r>
        <w:rPr>
          <w:rFonts w:ascii="Times New Roman" w:hAnsi="Times New Roman"/>
          <w:b w:val="0"/>
          <w:i w:val="0"/>
          <w:sz w:val="24"/>
        </w:rPr>
        <w:t xml:space="preserve"> → </w:t>
      </w:r>
      <w:r>
        <w:rPr>
          <w:rFonts w:ascii="Times New Roman" w:hAnsi="Times New Roman"/>
          <w:b/>
          <w:i w:val="0"/>
          <w:sz w:val="24"/>
        </w:rPr>
        <w:t>79 overnights/year</w:t>
      </w:r>
      <w:r>
        <w:rPr>
          <w:rFonts w:ascii="Times New Roman" w:hAnsi="Times New Roman"/>
          <w:b w:val="0"/>
          <w:i w:val="0"/>
          <w:sz w:val="24"/>
        </w:rPr>
        <w:t xml:space="preserve"> (July 2024) → </w:t>
      </w:r>
      <w:r>
        <w:rPr>
          <w:rFonts w:ascii="Times New Roman" w:hAnsi="Times New Roman"/>
          <w:b/>
          <w:i w:val="0"/>
          <w:sz w:val="24"/>
        </w:rPr>
        <w:t>ZERO overnights</w:t>
      </w:r>
      <w:r>
        <w:rPr>
          <w:rFonts w:ascii="Times New Roman" w:hAnsi="Times New Roman"/>
          <w:b w:val="0"/>
          <w:i w:val="0"/>
          <w:sz w:val="24"/>
        </w:rPr>
        <w:t xml:space="preserve"> (August 2025); - Father has been denied ALL parenting time for </w:t>
      </w:r>
      <w:r>
        <w:rPr>
          <w:rFonts w:ascii="Times New Roman" w:hAnsi="Times New Roman"/>
          <w:b/>
          <w:i w:val="0"/>
          <w:sz w:val="24"/>
        </w:rPr>
        <w:t>329+ consecutive days</w:t>
      </w:r>
      <w:r>
        <w:rPr>
          <w:rFonts w:ascii="Times New Roman" w:hAnsi="Times New Roman"/>
          <w:b w:val="0"/>
          <w:i w:val="0"/>
          <w:sz w:val="24"/>
        </w:rPr>
        <w:t xml:space="preserve">; - Mother has been awarded </w:t>
      </w:r>
      <w:r>
        <w:rPr>
          <w:rFonts w:ascii="Times New Roman" w:hAnsi="Times New Roman"/>
          <w:b/>
          <w:i w:val="0"/>
          <w:sz w:val="24"/>
        </w:rPr>
        <w:t>sole physical AND sole legal custody</w:t>
      </w:r>
      <w:r>
        <w:rPr>
          <w:rFonts w:ascii="Times New Roman" w:hAnsi="Times New Roman"/>
          <w:b w:val="0"/>
          <w:i w:val="0"/>
          <w:sz w:val="24"/>
        </w:rPr>
        <w:t>; - The PPO has been cited as justification for each reduction in Father's parenting time.</w:t>
      </w:r>
    </w:p>
    <w:p>
      <w:pPr>
        <w:spacing w:line="480" w:lineRule="auto" w:after="0" w:before="0"/>
      </w:pPr>
      <w:r>
        <w:rPr>
          <w:rFonts w:ascii="Times New Roman" w:hAnsi="Times New Roman"/>
          <w:b/>
          <w:sz w:val="24"/>
        </w:rPr>
        <w:t xml:space="preserve">19. </w:t>
      </w:r>
      <w:r>
        <w:rPr>
          <w:rFonts w:ascii="Times New Roman" w:hAnsi="Times New Roman"/>
          <w:b w:val="0"/>
          <w:i w:val="0"/>
          <w:sz w:val="24"/>
        </w:rPr>
        <w:t xml:space="preserve">Emily Watson herself characterized the PPO as </w:t>
      </w:r>
      <w:r>
        <w:rPr>
          <w:rFonts w:ascii="Times New Roman" w:hAnsi="Times New Roman"/>
          <w:b/>
          <w:i w:val="0"/>
          <w:sz w:val="24"/>
        </w:rPr>
        <w:t>"the only thing keeping [her] safe"</w:t>
      </w:r>
      <w:r>
        <w:rPr>
          <w:rFonts w:ascii="Times New Roman" w:hAnsi="Times New Roman"/>
          <w:b w:val="0"/>
          <w:i w:val="0"/>
          <w:sz w:val="24"/>
        </w:rPr>
        <w:t xml:space="preserve"> in Show Cause #7. Yet the Norton Shores Police Department has investigated </w:t>
      </w:r>
      <w:r>
        <w:rPr>
          <w:rFonts w:ascii="Times New Roman" w:hAnsi="Times New Roman"/>
          <w:b/>
          <w:i w:val="0"/>
          <w:sz w:val="24"/>
        </w:rPr>
        <w:t>seven or more (7+)</w:t>
      </w:r>
      <w:r>
        <w:rPr>
          <w:rFonts w:ascii="Times New Roman" w:hAnsi="Times New Roman"/>
          <w:b w:val="0"/>
          <w:i w:val="0"/>
          <w:sz w:val="24"/>
        </w:rPr>
        <w:t xml:space="preserve"> allegations and found NO violations and NO criminal conduct in every instance. The PPO is not protecting anyone — it is being used as a sword, not a shield.</w:t>
      </w:r>
    </w:p>
    <w:p>
      <w:pPr>
        <w:spacing w:line="480" w:lineRule="auto" w:after="0" w:before="0"/>
      </w:pPr>
      <w:r>
        <w:rPr>
          <w:rFonts w:ascii="Times New Roman" w:hAnsi="Times New Roman"/>
          <w:b/>
          <w:sz w:val="24"/>
        </w:rPr>
        <w:t xml:space="preserve">20. </w:t>
      </w:r>
      <w:r>
        <w:rPr>
          <w:rFonts w:ascii="Times New Roman" w:hAnsi="Times New Roman"/>
          <w:b w:val="0"/>
          <w:i w:val="0"/>
          <w:sz w:val="24"/>
        </w:rPr>
        <w:t xml:space="preserve">The clearest evidence of weaponization is the August 7, 2025 smoking-gun admission by Albert Watson (Defendant's father) to Norton Shores police: </w:t>
      </w:r>
      <w:r>
        <w:rPr>
          <w:rFonts w:ascii="Times New Roman" w:hAnsi="Times New Roman"/>
          <w:b/>
          <w:i w:val="0"/>
          <w:sz w:val="24"/>
        </w:rPr>
        <w:t>"they want this incident documented so Emily can go tomorrow to get an Ex Parte order for full custody of her son."</w:t>
      </w:r>
      <w:r>
        <w:rPr>
          <w:rFonts w:ascii="Times New Roman" w:hAnsi="Times New Roman"/>
          <w:b w:val="0"/>
          <w:i w:val="0"/>
          <w:sz w:val="24"/>
        </w:rPr>
        <w:t xml:space="preserve"> The following morning, August 8, 2025, five ex parte orders were entered suspending ALL parenting time — exactly as pre-planned by the Watson family. This proves the PPO process was coordinated as a tactical weapon in custody litigation, not used for genuine protection.</w:t>
      </w:r>
    </w:p>
    <w:p>
      <w:r>
        <w:br w:type="page"/>
      </w:r>
    </w:p>
    <w:p>
      <w:pPr>
        <w:pStyle w:val="Heading3"/>
      </w:pPr>
      <w:r>
        <w:rPr>
          <w:rFonts w:ascii="Times New Roman" w:hAnsi="Times New Roman"/>
        </w:rPr>
        <w:t>V. JUDICIAL ECONOMY REQUIRES CONSOLIDATION</w:t>
      </w:r>
    </w:p>
    <w:p>
      <w:pPr>
        <w:spacing w:line="480" w:lineRule="auto" w:after="0" w:before="0"/>
      </w:pPr>
      <w:r>
        <w:rPr>
          <w:rFonts w:ascii="Times New Roman" w:hAnsi="Times New Roman"/>
          <w:b/>
          <w:sz w:val="24"/>
        </w:rPr>
        <w:t xml:space="preserve">20. </w:t>
      </w:r>
      <w:r>
        <w:rPr>
          <w:rFonts w:ascii="Times New Roman" w:hAnsi="Times New Roman"/>
          <w:b w:val="0"/>
          <w:i w:val="0"/>
          <w:sz w:val="24"/>
        </w:rPr>
        <w:t>Separate proceedings impose unnecessary costs and burdens on:</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The Court</w:t>
      </w:r>
      <w:r>
        <w:rPr>
          <w:rFonts w:ascii="Times New Roman" w:hAnsi="Times New Roman"/>
          <w:b w:val="0"/>
          <w:i w:val="0"/>
          <w:sz w:val="24"/>
        </w:rPr>
        <w:t xml:space="preserve">: Duplicate hearings on identical facts, duplicate review of identical evidence, risk of inconsistent findings; - </w:t>
      </w:r>
      <w:r>
        <w:rPr>
          <w:rFonts w:ascii="Times New Roman" w:hAnsi="Times New Roman"/>
          <w:b/>
          <w:i w:val="0"/>
          <w:sz w:val="24"/>
        </w:rPr>
        <w:t>The parties</w:t>
      </w:r>
      <w:r>
        <w:rPr>
          <w:rFonts w:ascii="Times New Roman" w:hAnsi="Times New Roman"/>
          <w:b w:val="0"/>
          <w:i w:val="0"/>
          <w:sz w:val="24"/>
        </w:rPr>
        <w:t xml:space="preserve">: Duplicate filing fees, duplicate discovery, duplicate hearing preparation, duplicate service costs; - </w:t>
      </w:r>
      <w:r>
        <w:rPr>
          <w:rFonts w:ascii="Times New Roman" w:hAnsi="Times New Roman"/>
          <w:b/>
          <w:i w:val="0"/>
          <w:sz w:val="24"/>
        </w:rPr>
        <w:t>The minor child</w:t>
      </w:r>
      <w:r>
        <w:rPr>
          <w:rFonts w:ascii="Times New Roman" w:hAnsi="Times New Roman"/>
          <w:b w:val="0"/>
          <w:i w:val="0"/>
          <w:sz w:val="24"/>
        </w:rPr>
        <w:t>: Prolonged litigation creating continued instability; each separate hearing is a separate source of conflict and delay.</w:t>
      </w:r>
    </w:p>
    <w:p>
      <w:pPr>
        <w:spacing w:line="480" w:lineRule="auto" w:after="0" w:before="0"/>
      </w:pPr>
      <w:r>
        <w:rPr>
          <w:rFonts w:ascii="Times New Roman" w:hAnsi="Times New Roman"/>
          <w:b/>
          <w:sz w:val="24"/>
        </w:rPr>
        <w:t xml:space="preserve">21. </w:t>
      </w:r>
      <w:r>
        <w:rPr>
          <w:rFonts w:ascii="Times New Roman" w:hAnsi="Times New Roman"/>
          <w:b w:val="0"/>
          <w:i w:val="0"/>
          <w:sz w:val="24"/>
        </w:rPr>
        <w:t xml:space="preserve">The evidence database for these combined proceedings contains </w:t>
      </w:r>
      <w:r>
        <w:rPr>
          <w:rFonts w:ascii="Times New Roman" w:hAnsi="Times New Roman"/>
          <w:b/>
          <w:i w:val="0"/>
          <w:sz w:val="24"/>
        </w:rPr>
        <w:t>32,536 evidence atoms</w:t>
      </w:r>
      <w:r>
        <w:rPr>
          <w:rFonts w:ascii="Times New Roman" w:hAnsi="Times New Roman"/>
          <w:b w:val="0"/>
          <w:i w:val="0"/>
          <w:sz w:val="24"/>
        </w:rPr>
        <w:t xml:space="preserve"> across </w:t>
      </w:r>
      <w:r>
        <w:rPr>
          <w:rFonts w:ascii="Times New Roman" w:hAnsi="Times New Roman"/>
          <w:b/>
          <w:i w:val="0"/>
          <w:sz w:val="24"/>
        </w:rPr>
        <w:t>1,085 indexed documents</w:t>
      </w:r>
      <w:r>
        <w:rPr>
          <w:rFonts w:ascii="Times New Roman" w:hAnsi="Times New Roman"/>
          <w:b w:val="0"/>
          <w:i w:val="0"/>
          <w:sz w:val="24"/>
        </w:rPr>
        <w:t>. Having two separate courts (even if both are Judge McNeill) independently evaluate overlapping subsets of this evidence is inefficient and creates unnecessary risk of inconsistent findings.</w:t>
      </w:r>
    </w:p>
    <w:p>
      <w:pPr>
        <w:spacing w:line="480" w:lineRule="auto" w:after="0" w:before="0"/>
      </w:pPr>
      <w:r>
        <w:rPr>
          <w:rFonts w:ascii="Times New Roman" w:hAnsi="Times New Roman"/>
          <w:b/>
          <w:sz w:val="24"/>
        </w:rPr>
        <w:t xml:space="preserve">22. </w:t>
      </w:r>
      <w:r>
        <w:rPr>
          <w:rFonts w:ascii="Times New Roman" w:hAnsi="Times New Roman"/>
          <w:b w:val="0"/>
          <w:i w:val="0"/>
          <w:sz w:val="24"/>
        </w:rPr>
        <w:t>Consolidation is particularly appropriate here because the PPO findings directly impact custody determinations. Under current separate proceedings, a PPO finding could be used as a basis for custody modification without the custody court conducting its own independent evidentiary review. Consolidation ensures that all evidence is evaluated holistically.</w:t>
      </w:r>
    </w:p>
    <w:p>
      <w:r>
        <w:br w:type="page"/>
      </w:r>
    </w:p>
    <w:p>
      <w:pPr>
        <w:pStyle w:val="Heading3"/>
      </w:pPr>
      <w:r>
        <w:rPr>
          <w:rFonts w:ascii="Times New Roman" w:hAnsi="Times New Roman"/>
        </w:rPr>
        <w:t>VI. NO PREJUDICE FROM CONSOLIDATION</w:t>
      </w:r>
    </w:p>
    <w:p>
      <w:pPr>
        <w:spacing w:line="480" w:lineRule="auto" w:after="0" w:before="0"/>
      </w:pPr>
      <w:r>
        <w:rPr>
          <w:rFonts w:ascii="Times New Roman" w:hAnsi="Times New Roman"/>
          <w:b/>
          <w:sz w:val="24"/>
        </w:rPr>
        <w:t xml:space="preserve">23. </w:t>
      </w:r>
      <w:r>
        <w:rPr>
          <w:rFonts w:ascii="Times New Roman" w:hAnsi="Times New Roman"/>
          <w:b w:val="0"/>
          <w:i w:val="0"/>
          <w:sz w:val="24"/>
        </w:rPr>
        <w:t>No party will be prejudiced by consolidation because:</w:t>
      </w:r>
    </w:p>
    <w:p>
      <w:pPr>
        <w:spacing w:line="480" w:lineRule="auto" w:after="0" w:before="0"/>
      </w:pPr>
      <w:r>
        <w:rPr>
          <w:rFonts w:ascii="Times New Roman" w:hAnsi="Times New Roman"/>
          <w:b w:val="0"/>
          <w:i w:val="0"/>
          <w:sz w:val="24"/>
        </w:rPr>
        <w:t>- Both cases are already before the same judge; - Both cases involve the same parties; - Both cases involve the same core evidence; - Consolidation does not deprive either party of any procedural right; - The Court retains discretion to conduct separate hearings on discrete issues if warranted.</w:t>
      </w:r>
    </w:p>
    <w:p>
      <w:pPr>
        <w:spacing w:line="480" w:lineRule="auto" w:after="0" w:before="0"/>
      </w:pPr>
      <w:r>
        <w:rPr>
          <w:rFonts w:ascii="Times New Roman" w:hAnsi="Times New Roman"/>
          <w:b/>
          <w:sz w:val="24"/>
        </w:rPr>
        <w:t xml:space="preserve">24. </w:t>
      </w:r>
      <w:r>
        <w:rPr>
          <w:rFonts w:ascii="Times New Roman" w:hAnsi="Times New Roman"/>
          <w:b w:val="0"/>
          <w:i w:val="0"/>
          <w:sz w:val="24"/>
        </w:rPr>
        <w:t>To the extent Defendant objects that PPO proceedings are "separate" from custody, this argument is defeated by her own practice of filing PPO show-cause motions timed to custody hearings and citing PPO allegations in custody pleadings. Defendant cannot simultaneously treat the cases as connected (for tactical purposes) and separate (to avoid consolidated review).</w:t>
      </w:r>
    </w:p>
    <w:p>
      <w:r>
        <w:br w:type="page"/>
      </w:r>
    </w:p>
    <w:p>
      <w:pPr>
        <w:pStyle w:val="Heading3"/>
      </w:pPr>
      <w:r>
        <w:rPr>
          <w:rFonts w:ascii="Times New Roman" w:hAnsi="Times New Roman"/>
        </w:rPr>
        <w:t>VII. 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Andrew J. Pigors respectfully requests that this Honorable Court:</w:t>
      </w:r>
    </w:p>
    <w:p>
      <w:pPr>
        <w:spacing w:line="480" w:lineRule="auto" w:after="0" w:before="0"/>
      </w:pPr>
      <w:r>
        <w:rPr>
          <w:rFonts w:ascii="Times New Roman" w:hAnsi="Times New Roman"/>
          <w:b/>
          <w:sz w:val="24"/>
        </w:rPr>
        <w:t xml:space="preserve">25. </w:t>
      </w:r>
      <w:r>
        <w:rPr>
          <w:rFonts w:ascii="Times New Roman" w:hAnsi="Times New Roman"/>
          <w:b/>
          <w:i w:val="0"/>
          <w:sz w:val="24"/>
        </w:rPr>
        <w:t>(a)</w:t>
      </w:r>
      <w:r>
        <w:rPr>
          <w:rFonts w:ascii="Times New Roman" w:hAnsi="Times New Roman"/>
          <w:b w:val="0"/>
          <w:i w:val="0"/>
          <w:sz w:val="24"/>
        </w:rPr>
        <w:t xml:space="preserve"> Enter an Order consolidating Case No. 2024-001507-DC (custody/parenting time) and Case No. 2023-5907-PP (PPO) for all purposes pursuant to MCR 2.505;</w:t>
      </w:r>
    </w:p>
    <w:p>
      <w:pPr>
        <w:spacing w:line="480" w:lineRule="auto" w:after="0" w:before="0"/>
      </w:pPr>
      <w:r>
        <w:rPr>
          <w:rFonts w:ascii="Times New Roman" w:hAnsi="Times New Roman"/>
          <w:b/>
          <w:sz w:val="24"/>
        </w:rPr>
        <w:t xml:space="preserve">26. </w:t>
      </w:r>
      <w:r>
        <w:rPr>
          <w:rFonts w:ascii="Times New Roman" w:hAnsi="Times New Roman"/>
          <w:b/>
          <w:i w:val="0"/>
          <w:sz w:val="24"/>
        </w:rPr>
        <w:t>(b)</w:t>
      </w:r>
      <w:r>
        <w:rPr>
          <w:rFonts w:ascii="Times New Roman" w:hAnsi="Times New Roman"/>
          <w:b w:val="0"/>
          <w:i w:val="0"/>
          <w:sz w:val="24"/>
        </w:rPr>
        <w:t xml:space="preserve"> Designate Case No. 2024-001507-DC as the lead case for consolidated proceedings;</w:t>
      </w:r>
    </w:p>
    <w:p>
      <w:pPr>
        <w:spacing w:line="480" w:lineRule="auto" w:after="0" w:before="0"/>
      </w:pPr>
      <w:r>
        <w:rPr>
          <w:rFonts w:ascii="Times New Roman" w:hAnsi="Times New Roman"/>
          <w:b/>
          <w:sz w:val="24"/>
        </w:rPr>
        <w:t xml:space="preserve">27. </w:t>
      </w:r>
      <w:r>
        <w:rPr>
          <w:rFonts w:ascii="Times New Roman" w:hAnsi="Times New Roman"/>
          <w:b/>
          <w:i w:val="0"/>
          <w:sz w:val="24"/>
        </w:rPr>
        <w:t>(c)</w:t>
      </w:r>
      <w:r>
        <w:rPr>
          <w:rFonts w:ascii="Times New Roman" w:hAnsi="Times New Roman"/>
          <w:b w:val="0"/>
          <w:i w:val="0"/>
          <w:sz w:val="24"/>
        </w:rPr>
        <w:t xml:space="preserve"> Order that all future filings in either case be filed under the consolidated case number;</w:t>
      </w:r>
    </w:p>
    <w:p>
      <w:pPr>
        <w:spacing w:line="480" w:lineRule="auto" w:after="0" w:before="0"/>
      </w:pPr>
      <w:r>
        <w:rPr>
          <w:rFonts w:ascii="Times New Roman" w:hAnsi="Times New Roman"/>
          <w:b/>
          <w:sz w:val="24"/>
        </w:rPr>
        <w:t xml:space="preserve">28. </w:t>
      </w:r>
      <w:r>
        <w:rPr>
          <w:rFonts w:ascii="Times New Roman" w:hAnsi="Times New Roman"/>
          <w:b/>
          <w:i w:val="0"/>
          <w:sz w:val="24"/>
        </w:rPr>
        <w:t>(d)</w:t>
      </w:r>
      <w:r>
        <w:rPr>
          <w:rFonts w:ascii="Times New Roman" w:hAnsi="Times New Roman"/>
          <w:b w:val="0"/>
          <w:i w:val="0"/>
          <w:sz w:val="24"/>
        </w:rPr>
        <w:t xml:space="preserve"> Order that all pending motions in both cases be heard at a single consolidated hearing;</w:t>
      </w:r>
    </w:p>
    <w:p>
      <w:pPr>
        <w:spacing w:line="480" w:lineRule="auto" w:after="0" w:before="0"/>
      </w:pPr>
      <w:r>
        <w:rPr>
          <w:rFonts w:ascii="Times New Roman" w:hAnsi="Times New Roman"/>
          <w:b/>
          <w:sz w:val="24"/>
        </w:rPr>
        <w:t xml:space="preserve">29. </w:t>
      </w:r>
      <w:r>
        <w:rPr>
          <w:rFonts w:ascii="Times New Roman" w:hAnsi="Times New Roman"/>
          <w:b/>
          <w:i w:val="0"/>
          <w:sz w:val="24"/>
        </w:rPr>
        <w:t>(e)</w:t>
      </w:r>
      <w:r>
        <w:rPr>
          <w:rFonts w:ascii="Times New Roman" w:hAnsi="Times New Roman"/>
          <w:b w:val="0"/>
          <w:i w:val="0"/>
          <w:sz w:val="24"/>
        </w:rPr>
        <w:t xml:space="preserve"> Order that the evidentiary record in both cases be available for consideration in either proceeding;</w:t>
      </w:r>
    </w:p>
    <w:p>
      <w:pPr>
        <w:spacing w:line="480" w:lineRule="auto" w:after="0" w:before="0"/>
      </w:pPr>
      <w:r>
        <w:rPr>
          <w:rFonts w:ascii="Times New Roman" w:hAnsi="Times New Roman"/>
          <w:b/>
          <w:sz w:val="24"/>
        </w:rPr>
        <w:t xml:space="preserve">30. </w:t>
      </w:r>
      <w:r>
        <w:rPr>
          <w:rFonts w:ascii="Times New Roman" w:hAnsi="Times New Roman"/>
          <w:b/>
          <w:i w:val="0"/>
          <w:sz w:val="24"/>
        </w:rPr>
        <w:t>(f)</w:t>
      </w:r>
      <w:r>
        <w:rPr>
          <w:rFonts w:ascii="Times New Roman" w:hAnsi="Times New Roman"/>
          <w:b w:val="0"/>
          <w:i w:val="0"/>
          <w:sz w:val="24"/>
        </w:rPr>
        <w:t xml:space="preserve"> Grant such other and further relief as this Court deems just and equitable.</w:t>
      </w:r>
    </w:p>
    <w:p>
      <w:r>
        <w:br w:type="page"/>
      </w:r>
    </w:p>
    <w:p>
      <w:pPr>
        <w:pStyle w:val="Heading2"/>
      </w:pPr>
      <w:r>
        <w:rPr>
          <w:rFonts w:ascii="Times New Roman" w:hAnsi="Times New Roman"/>
        </w:rPr>
        <w:t>PROPOSED ORDER</w:t>
      </w:r>
    </w:p>
    <w:p>
      <w:pPr>
        <w:pStyle w:val="Heading3"/>
      </w:pPr>
      <w:r>
        <w:rPr>
          <w:rFonts w:ascii="Times New Roman" w:hAnsi="Times New Roman"/>
        </w:rPr>
        <w:t>IN THE 14TH CIRCUIT COURT FOR THE COUNTY OF MUSKEGON</w:t>
      </w:r>
    </w:p>
    <w:p>
      <w:pPr>
        <w:pStyle w:val="Heading3"/>
      </w:pPr>
      <w:r>
        <w:rPr>
          <w:rFonts w:ascii="Times New Roman" w:hAnsi="Times New Roman"/>
        </w:rPr>
        <w:t>STATE OF MICHIGAN — FAMILY DIVISION</w:t>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Plaintiff/Respondent, v. </w:t>
      </w:r>
      <w:r>
        <w:rPr>
          <w:rFonts w:ascii="Times New Roman" w:hAnsi="Times New Roman"/>
          <w:b/>
          <w:i w:val="0"/>
          <w:sz w:val="24"/>
        </w:rPr>
        <w:t>EMILY A. WATSON,</w:t>
      </w:r>
      <w:r>
        <w:rPr>
          <w:rFonts w:ascii="Times New Roman" w:hAnsi="Times New Roman"/>
          <w:b w:val="0"/>
          <w:i w:val="0"/>
          <w:sz w:val="24"/>
        </w:rPr>
        <w:t xml:space="preserve"> Defendant/Petitioner.</w:t>
      </w:r>
    </w:p>
    <w:p>
      <w:pPr>
        <w:spacing w:line="480" w:lineRule="auto" w:after="0" w:before="0"/>
      </w:pPr>
      <w:r>
        <w:rPr>
          <w:rFonts w:ascii="Times New Roman" w:hAnsi="Times New Roman"/>
          <w:b w:val="0"/>
          <w:i w:val="0"/>
          <w:sz w:val="24"/>
        </w:rPr>
        <w:t>Case No. 2024-001507-DC (Lead Case) Case No. 2023-5907-PP (Consolidated) Hon. Jenny L. McNeill</w:t>
      </w:r>
    </w:p>
    <w:p>
      <w:pPr>
        <w:pStyle w:val="Heading3"/>
      </w:pPr>
      <w:r>
        <w:rPr>
          <w:rFonts w:ascii="Times New Roman" w:hAnsi="Times New Roman"/>
        </w:rPr>
        <w:t>ORDER GRANTING CONSOLIDATION</w:t>
      </w:r>
    </w:p>
    <w:p>
      <w:pPr>
        <w:spacing w:line="480" w:lineRule="auto" w:after="0" w:before="0"/>
      </w:pPr>
      <w:r>
        <w:rPr>
          <w:rFonts w:ascii="Times New Roman" w:hAnsi="Times New Roman"/>
          <w:b w:val="0"/>
          <w:i w:val="0"/>
          <w:sz w:val="24"/>
        </w:rPr>
        <w:t>The Court having considered Andrew J. Pigors' Motion to Consolidate Cases, the response thereto, if any, and the arguments of the parties, and being otherwise fully advised in the premises:</w:t>
      </w:r>
    </w:p>
    <w:p>
      <w:pPr>
        <w:spacing w:line="480" w:lineRule="auto" w:after="0" w:before="0"/>
      </w:pPr>
      <w:r>
        <w:rPr>
          <w:rFonts w:ascii="Times New Roman" w:hAnsi="Times New Roman"/>
          <w:b/>
          <w:i w:val="0"/>
          <w:sz w:val="24"/>
        </w:rPr>
        <w:t>IT IS HEREBY ORDERED</w:t>
      </w:r>
      <w:r>
        <w:rPr>
          <w:rFonts w:ascii="Times New Roman" w:hAnsi="Times New Roman"/>
          <w:b w:val="0"/>
          <w:i w:val="0"/>
          <w:sz w:val="24"/>
        </w:rPr>
        <w:t xml:space="preserve"> that:</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The Motion to Consolidate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Case No. 2023-5907-PP (PPO) is hereby </w:t>
      </w:r>
      <w:r>
        <w:rPr>
          <w:rFonts w:ascii="Times New Roman" w:hAnsi="Times New Roman"/>
          <w:b/>
          <w:i w:val="0"/>
          <w:sz w:val="24"/>
        </w:rPr>
        <w:t>CONSOLIDATED</w:t>
      </w:r>
      <w:r>
        <w:rPr>
          <w:rFonts w:ascii="Times New Roman" w:hAnsi="Times New Roman"/>
          <w:b w:val="0"/>
          <w:i w:val="0"/>
          <w:sz w:val="24"/>
        </w:rPr>
        <w:t xml:space="preserve"> with Case No. 2024-001507-DC (Custody) for all purposes pursuant to MCR 2.505.</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Case No. 2024-001507-DC is designated as the </w:t>
      </w:r>
      <w:r>
        <w:rPr>
          <w:rFonts w:ascii="Times New Roman" w:hAnsi="Times New Roman"/>
          <w:b/>
          <w:i w:val="0"/>
          <w:sz w:val="24"/>
        </w:rPr>
        <w:t>LEAD CASE</w:t>
      </w:r>
      <w:r>
        <w:rPr>
          <w:rFonts w:ascii="Times New Roman" w:hAnsi="Times New Roman"/>
          <w:b w:val="0"/>
          <w:i w:val="0"/>
          <w:sz w:val="24"/>
        </w:rPr>
        <w:t>.</w:t>
      </w:r>
    </w:p>
    <w:p>
      <w:pPr>
        <w:spacing w:line="480" w:lineRule="auto" w:after="0" w:before="0"/>
      </w:pPr>
      <w:r>
        <w:rPr>
          <w:rFonts w:ascii="Times New Roman" w:hAnsi="Times New Roman"/>
          <w:b/>
          <w:sz w:val="24"/>
        </w:rPr>
        <w:t xml:space="preserve">4. </w:t>
      </w:r>
      <w:r>
        <w:rPr>
          <w:rFonts w:ascii="Times New Roman" w:hAnsi="Times New Roman"/>
          <w:b w:val="0"/>
          <w:i w:val="0"/>
          <w:sz w:val="24"/>
        </w:rPr>
        <w:t>All future filings shall be filed under Case No. 2024-001507-DC, with a notation of the consolidated case.</w:t>
      </w:r>
    </w:p>
    <w:p>
      <w:pPr>
        <w:spacing w:line="480" w:lineRule="auto" w:after="0" w:before="0"/>
      </w:pPr>
      <w:r>
        <w:rPr>
          <w:rFonts w:ascii="Times New Roman" w:hAnsi="Times New Roman"/>
          <w:b/>
          <w:sz w:val="24"/>
        </w:rPr>
        <w:t xml:space="preserve">5. </w:t>
      </w:r>
      <w:r>
        <w:rPr>
          <w:rFonts w:ascii="Times New Roman" w:hAnsi="Times New Roman"/>
          <w:b w:val="0"/>
          <w:i w:val="0"/>
          <w:sz w:val="24"/>
        </w:rPr>
        <w:t>All pending motions in both cases shall be scheduled for a single consolidated hearing.</w:t>
      </w:r>
    </w:p>
    <w:p>
      <w:pPr>
        <w:spacing w:line="480" w:lineRule="auto" w:after="0" w:before="0"/>
      </w:pPr>
      <w:r>
        <w:rPr>
          <w:rFonts w:ascii="Times New Roman" w:hAnsi="Times New Roman"/>
          <w:b/>
          <w:sz w:val="24"/>
        </w:rPr>
        <w:t xml:space="preserve">6. </w:t>
      </w:r>
      <w:r>
        <w:rPr>
          <w:rFonts w:ascii="Times New Roman" w:hAnsi="Times New Roman"/>
          <w:b w:val="0"/>
          <w:i w:val="0"/>
          <w:sz w:val="24"/>
        </w:rPr>
        <w:t>The evidentiary record in both cases shall be available for consideration in either proceeding.</w:t>
      </w:r>
    </w:p>
    <w:p>
      <w:pPr>
        <w:spacing w:line="480" w:lineRule="auto" w:after="0" w:before="0"/>
      </w:pPr>
      <w:r>
        <w:rPr>
          <w:rFonts w:ascii="Times New Roman" w:hAnsi="Times New Roman"/>
          <w:b w:val="0"/>
          <w:i w:val="0"/>
          <w:sz w:val="24"/>
        </w:rPr>
        <w:t>IT IS SO ORDERED.</w:t>
      </w:r>
    </w:p>
    <w:p>
      <w:pPr>
        <w:spacing w:line="480" w:lineRule="auto" w:after="0" w:before="0"/>
      </w:pPr>
      <w:r>
        <w:rPr>
          <w:rFonts w:ascii="Times New Roman" w:hAnsi="Times New Roman"/>
          <w:b w:val="0"/>
          <w:i w:val="0"/>
          <w:sz w:val="24"/>
        </w:rPr>
        <w:t>Date: _______________</w:t>
      </w:r>
    </w:p>
    <w:p>
      <w:r>
        <w:br w:type="page"/>
      </w:r>
    </w:p>
    <w:p>
      <w:pPr>
        <w:spacing w:line="480" w:lineRule="auto" w:after="0" w:before="0"/>
      </w:pPr>
      <w:r>
        <w:rPr>
          <w:rFonts w:ascii="Times New Roman" w:hAnsi="Times New Roman"/>
          <w:b w:val="0"/>
          <w:i w:val="0"/>
          <w:sz w:val="24"/>
        </w:rPr>
        <w:t>Hon. Jenny L. McNeill 14th Circuit Court Judge</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I hereby certify that on _____________, 2026, I served a true and correct copy of the foregoing MOTION TO CONSOLIDATE CASES, PROPOSED ORDER, and all attachments upon:</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c/o Jennifer Barnes, Esq. Barnes Law Firm, PLLC, 880 Jefferson St., Ste. B, Muskegon, MI 49440</w:t>
      </w:r>
    </w:p>
    <w:p>
      <w:pPr>
        <w:spacing w:line="480" w:lineRule="auto" w:after="0" w:before="0"/>
      </w:pPr>
      <w:r>
        <w:rPr>
          <w:rFonts w:ascii="Times New Roman" w:hAnsi="Times New Roman"/>
          <w:b w:val="0"/>
          <w:i w:val="0"/>
          <w:sz w:val="24"/>
        </w:rPr>
        <w:t>via: - [ ] First-class U.S. Mail, postage prepaid - [ ] Personal service - [ ] Electronic filing/service (if available)</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w:t>
      </w:r>
    </w:p>
    <w:p>
      <w:r>
        <w:br w:type="page"/>
      </w:r>
    </w:p>
    <w:p>
      <w:pPr>
        <w:pStyle w:val="Heading2"/>
      </w:pPr>
      <w:r>
        <w:rPr>
          <w:rFonts w:ascii="Times New Roman" w:hAnsi="Times New Roman"/>
        </w:rPr>
        <w:t>EXHIBIT INDEX</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Exhibit</w:t>
            </w:r>
          </w:p>
        </w:tc>
        <w:tc>
          <w:tcPr>
            <w:tcW w:type="dxa" w:w="4680"/>
          </w:tcPr>
          <w:p>
            <w:pPr>
              <w:spacing w:line="240" w:lineRule="auto"/>
            </w:pPr>
            <w:r/>
            <w:r>
              <w:rPr>
                <w:rFonts w:ascii="Times New Roman" w:hAnsi="Times New Roman"/>
                <w:b/>
                <w:sz w:val="24"/>
              </w:rPr>
              <w:t>Description</w:t>
            </w:r>
          </w:p>
        </w:tc>
      </w:tr>
      <w:tr>
        <w:tc>
          <w:tcPr>
            <w:tcW w:type="dxa" w:w="4680"/>
          </w:tcPr>
          <w:p>
            <w:pPr>
              <w:spacing w:line="240" w:lineRule="auto"/>
            </w:pPr>
            <w:r/>
            <w:r>
              <w:rPr>
                <w:rFonts w:ascii="Times New Roman" w:hAnsi="Times New Roman"/>
                <w:b/>
                <w:i w:val="0"/>
                <w:sz w:val="24"/>
              </w:rPr>
              <w:t>Exhibit 1</w:t>
            </w:r>
          </w:p>
        </w:tc>
        <w:tc>
          <w:tcPr>
            <w:tcW w:type="dxa" w:w="4680"/>
          </w:tcPr>
          <w:p>
            <w:pPr>
              <w:spacing w:line="240" w:lineRule="auto"/>
            </w:pPr>
            <w:r/>
            <w:r>
              <w:rPr>
                <w:rFonts w:ascii="Times New Roman" w:hAnsi="Times New Roman"/>
                <w:b w:val="0"/>
                <w:i w:val="0"/>
                <w:sz w:val="24"/>
              </w:rPr>
              <w:t>Docket sheet — Case No. 2024-001507-DC showing custody proceedings</w:t>
            </w:r>
          </w:p>
        </w:tc>
      </w:tr>
      <w:tr>
        <w:tc>
          <w:tcPr>
            <w:tcW w:type="dxa" w:w="4680"/>
          </w:tcPr>
          <w:p>
            <w:pPr>
              <w:spacing w:line="240" w:lineRule="auto"/>
            </w:pPr>
            <w:r/>
            <w:r>
              <w:rPr>
                <w:rFonts w:ascii="Times New Roman" w:hAnsi="Times New Roman"/>
                <w:b/>
                <w:i w:val="0"/>
                <w:sz w:val="24"/>
              </w:rPr>
              <w:t>Exhibit 2</w:t>
            </w:r>
          </w:p>
        </w:tc>
        <w:tc>
          <w:tcPr>
            <w:tcW w:type="dxa" w:w="4680"/>
          </w:tcPr>
          <w:p>
            <w:pPr>
              <w:spacing w:line="240" w:lineRule="auto"/>
            </w:pPr>
            <w:r/>
            <w:r>
              <w:rPr>
                <w:rFonts w:ascii="Times New Roman" w:hAnsi="Times New Roman"/>
                <w:b w:val="0"/>
                <w:i w:val="0"/>
                <w:sz w:val="24"/>
              </w:rPr>
              <w:t>Docket sheet — Case No. 2023-5907-PP showing PPO proceedings</w:t>
            </w:r>
          </w:p>
        </w:tc>
      </w:tr>
      <w:tr>
        <w:tc>
          <w:tcPr>
            <w:tcW w:type="dxa" w:w="4680"/>
          </w:tcPr>
          <w:p>
            <w:pPr>
              <w:spacing w:line="240" w:lineRule="auto"/>
            </w:pPr>
            <w:r/>
            <w:r>
              <w:rPr>
                <w:rFonts w:ascii="Times New Roman" w:hAnsi="Times New Roman"/>
                <w:b/>
                <w:i w:val="0"/>
                <w:sz w:val="24"/>
              </w:rPr>
              <w:t>Exhibit 3</w:t>
            </w:r>
          </w:p>
        </w:tc>
        <w:tc>
          <w:tcPr>
            <w:tcW w:type="dxa" w:w="4680"/>
          </w:tcPr>
          <w:p>
            <w:pPr>
              <w:spacing w:line="240" w:lineRule="auto"/>
            </w:pPr>
            <w:r/>
            <w:r>
              <w:rPr>
                <w:rFonts w:ascii="Times New Roman" w:hAnsi="Times New Roman"/>
                <w:b w:val="0"/>
                <w:i w:val="0"/>
                <w:sz w:val="24"/>
              </w:rPr>
              <w:t>Show Cause #7 (filed Oct 27, 2025 — 2 days before Oct 29 custody hearing)</w:t>
            </w:r>
          </w:p>
        </w:tc>
      </w:tr>
      <w:tr>
        <w:tc>
          <w:tcPr>
            <w:tcW w:type="dxa" w:w="4680"/>
          </w:tcPr>
          <w:p>
            <w:pPr>
              <w:spacing w:line="240" w:lineRule="auto"/>
            </w:pPr>
            <w:r/>
            <w:r>
              <w:rPr>
                <w:rFonts w:ascii="Times New Roman" w:hAnsi="Times New Roman"/>
                <w:b/>
                <w:i w:val="0"/>
                <w:sz w:val="24"/>
              </w:rPr>
              <w:t>Exhibit 4</w:t>
            </w:r>
          </w:p>
        </w:tc>
        <w:tc>
          <w:tcPr>
            <w:tcW w:type="dxa" w:w="4680"/>
          </w:tcPr>
          <w:p>
            <w:pPr>
              <w:spacing w:line="240" w:lineRule="auto"/>
            </w:pPr>
            <w:r/>
            <w:r>
              <w:rPr>
                <w:rFonts w:ascii="Times New Roman" w:hAnsi="Times New Roman"/>
                <w:b w:val="0"/>
                <w:i w:val="0"/>
                <w:sz w:val="24"/>
              </w:rPr>
              <w:t>Timeline showing coordination of PPO filings with custody hearing dates</w:t>
            </w:r>
          </w:p>
        </w:tc>
      </w:tr>
      <w:tr>
        <w:tc>
          <w:tcPr>
            <w:tcW w:type="dxa" w:w="4680"/>
          </w:tcPr>
          <w:p>
            <w:pPr>
              <w:spacing w:line="240" w:lineRule="auto"/>
            </w:pPr>
            <w:r/>
            <w:r>
              <w:rPr>
                <w:rFonts w:ascii="Times New Roman" w:hAnsi="Times New Roman"/>
                <w:b/>
                <w:i w:val="0"/>
                <w:sz w:val="24"/>
              </w:rPr>
              <w:t>Exhibit 5</w:t>
            </w:r>
          </w:p>
        </w:tc>
        <w:tc>
          <w:tcPr>
            <w:tcW w:type="dxa" w:w="4680"/>
          </w:tcPr>
          <w:p>
            <w:pPr>
              <w:spacing w:line="240" w:lineRule="auto"/>
            </w:pPr>
            <w:r/>
            <w:r>
              <w:rPr>
                <w:rFonts w:ascii="Times New Roman" w:hAnsi="Times New Roman"/>
                <w:b w:val="0"/>
                <w:i w:val="0"/>
                <w:sz w:val="24"/>
              </w:rPr>
              <w:t>Norton Shores PD reports — 7+ investigations finding no violations</w:t>
            </w:r>
          </w:p>
        </w:tc>
      </w:tr>
    </w:tbl>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filing should be read in conjunction with the following companion filings, which address overlapping factual and legal issues: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Filing</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Seeks restoration of parenting time denied for 329+ days</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PPO weaponized to facilitate parenting time denial</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Documented pattern of judicial bias</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27+ violations of parenting time orders</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[TO BE ASSIGNED UPON FILING]</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42 USC § 1983 Federal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due process deprivation</w:t>
            </w:r>
          </w:p>
        </w:tc>
      </w:tr>
      <w:tr>
        <w:tc>
          <w:tcPr>
            <w:tcW w:type="dxa" w:w="3120"/>
          </w:tcPr>
          <w:p>
            <w:pPr>
              <w:spacing w:line="240" w:lineRule="auto"/>
            </w:pPr>
            <w:r/>
            <w:r>
              <w:rPr>
                <w:rFonts w:ascii="Times New Roman" w:hAnsi="Times New Roman"/>
                <w:b w:val="0"/>
                <w:i w:val="0"/>
                <w:sz w:val="24"/>
              </w:rPr>
              <w:t>Application for Leave to Appeal</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Appellate review of lower court errors</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Emergency appellate consideration</w:t>
            </w:r>
          </w:p>
        </w:tc>
      </w:tr>
      <w:tr>
        <w:tc>
          <w:tcPr>
            <w:tcW w:type="dxa" w:w="3120"/>
          </w:tcPr>
          <w:p>
            <w:pPr>
              <w:spacing w:line="240" w:lineRule="auto"/>
            </w:pPr>
            <w:r/>
            <w:r>
              <w:rPr>
                <w:rFonts w:ascii="Times New Roman" w:hAnsi="Times New Roman"/>
                <w:b w:val="0"/>
                <w:i w:val="0"/>
                <w:sz w:val="24"/>
              </w:rPr>
              <w:t>JTC Formal Complaint (Judge McNeill)</w:t>
            </w:r>
          </w:p>
        </w:tc>
        <w:tc>
          <w:tcPr>
            <w:tcW w:type="dxa" w:w="3120"/>
          </w:tcPr>
          <w:p>
            <w:pPr>
              <w:spacing w:line="240" w:lineRule="auto"/>
            </w:pPr>
            <w:r/>
            <w:r>
              <w:rPr>
                <w:rFonts w:ascii="Times New Roman" w:hAnsi="Times New Roman"/>
                <w:b w:val="0"/>
                <w:i w:val="0"/>
                <w:sz w:val="24"/>
              </w:rPr>
              <w:t>JTC</w:t>
            </w:r>
          </w:p>
        </w:tc>
        <w:tc>
          <w:tcPr>
            <w:tcW w:type="dxa" w:w="3120"/>
          </w:tcPr>
          <w:p>
            <w:pPr>
              <w:spacing w:line="240" w:lineRule="auto"/>
            </w:pPr>
            <w:r/>
            <w:r>
              <w:rPr>
                <w:rFonts w:ascii="Times New Roman" w:hAnsi="Times New Roman"/>
                <w:b w:val="0"/>
                <w:i w:val="0"/>
                <w:sz w:val="24"/>
              </w:rPr>
              <w:t>Judicial misconduct complaint</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r>
        <w:tc>
          <w:tcPr>
            <w:tcW w:type="dxa" w:w="3120"/>
          </w:tcPr>
          <w:p>
            <w:pPr>
              <w:spacing w:line="240" w:lineRule="auto"/>
            </w:pPr>
            <w:r/>
            <w:r>
              <w:rPr>
                <w:rFonts w:ascii="Times New Roman" w:hAnsi="Times New Roman"/>
                <w:b/>
                <w:i w:val="0"/>
                <w:sz w:val="24"/>
              </w:rPr>
              <w:t>Exhibit 6</w:t>
            </w:r>
          </w:p>
        </w:tc>
        <w:tc>
          <w:tcPr>
            <w:tcW w:type="dxa" w:w="3120"/>
          </w:tcPr>
          <w:p>
            <w:pPr>
              <w:spacing w:line="240" w:lineRule="auto"/>
            </w:pPr>
            <w:r/>
            <w:r>
              <w:rPr>
                <w:rFonts w:ascii="Times New Roman" w:hAnsi="Times New Roman"/>
                <w:b w:val="0"/>
                <w:i w:val="0"/>
                <w:sz w:val="24"/>
              </w:rPr>
              <w:t>Custody reduction timeline: 50/50 → 79 overnights → 0 overnights</w:t>
            </w:r>
          </w:p>
        </w:tc>
        <w:tc>
          <w:tcPr>
            <w:tcW w:type="dxa" w:w="3120"/>
          </w:tcPr>
          <w:p/>
        </w:tc>
      </w:tr>
    </w:tbl>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