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VERIFIED COMPLAINT FOR WRIT OF MANDAMUS</w:t>
      </w:r>
    </w:p>
    <w:p>
      <w:pPr>
        <w:pStyle w:val="Heading2"/>
      </w:pPr>
      <w:r>
        <w:rPr>
          <w:rFonts w:ascii="Times New Roman" w:hAnsi="Times New Roman"/>
        </w:rPr>
        <w:t>PURSUANT TO MCL 600.5701 AND MCR 3.305</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240" w:before="0"/>
        <w:jc w:val="center"/>
      </w:pPr>
      <w:r>
        <w:rPr>
          <w:rFonts w:ascii="Times New Roman" w:hAnsi="Times New Roman"/>
          <w:b/>
          <w:i w:val="0"/>
          <w:sz w:val="24"/>
        </w:rPr>
        <w:t>PART I: VERIFIED COMPLAINT</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petitions this Honorable Court for a Writ of Mandamus pursuant to MCL 600.5701 and MCR 3.305, compelling the 14th Judicial Circuit Court, Family Division, Muskegon County, Michigan, to perform the mandatory ministerial duties set forth below. In support of this Verified Complaint, Plaintiff states as follows:</w:t>
      </w:r>
    </w:p>
    <w:p>
      <w:pPr>
        <w:pStyle w:val="Heading2"/>
      </w:pPr>
      <w:r>
        <w:rPr>
          <w:rFonts w:ascii="Times New Roman" w:hAnsi="Times New Roman"/>
        </w:rPr>
        <w:t>I. JURISDICTION AND AUTHORITY</w:t>
      </w:r>
    </w:p>
    <w:p>
      <w:pPr>
        <w:spacing w:line="480" w:lineRule="auto" w:after="0" w:before="0"/>
      </w:pPr>
      <w:r>
        <w:rPr>
          <w:rFonts w:ascii="Times New Roman" w:hAnsi="Times New Roman"/>
          <w:b/>
          <w:sz w:val="24"/>
        </w:rPr>
        <w:t xml:space="preserve">1. </w:t>
      </w:r>
      <w:r>
        <w:rPr>
          <w:rFonts w:ascii="Times New Roman" w:hAnsi="Times New Roman"/>
          <w:b w:val="0"/>
          <w:i w:val="0"/>
          <w:sz w:val="24"/>
        </w:rPr>
        <w:t>This Court has jurisdiction to issue a writ of mandamus pursuant to MCL 600.5701, which provides: "Mandamus may be issued from any court of record when authorized by law, and the writ of mandamus is hereby authorized as a writ of right in all cases in which it is the appropriate remedy by law."</w:t>
      </w:r>
    </w:p>
    <w:p>
      <w:pPr>
        <w:spacing w:line="480" w:lineRule="auto" w:after="0" w:before="0"/>
      </w:pPr>
      <w:r>
        <w:rPr>
          <w:rFonts w:ascii="Times New Roman" w:hAnsi="Times New Roman"/>
          <w:b/>
          <w:sz w:val="24"/>
        </w:rPr>
        <w:t xml:space="preserve">2. </w:t>
      </w:r>
      <w:r>
        <w:rPr>
          <w:rFonts w:ascii="Times New Roman" w:hAnsi="Times New Roman"/>
          <w:b w:val="0"/>
          <w:i w:val="0"/>
          <w:sz w:val="24"/>
        </w:rPr>
        <w:t>MCR 3.305 governs proceedings for extraordinary writs, including mandamus.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 writ of mandamus is the appropriate remedy when: (a) the party seeking the writ has a clear legal right to performance of the specific duty sought; (b) the defendant has a clear legal duty to perform the act; (c) the act is ministerial in nature, involving no exercise of discretion; and (d) no other adequate legal remedy exists. </w:t>
      </w:r>
      <w:r>
        <w:rPr>
          <w:rFonts w:ascii="Times New Roman" w:hAnsi="Times New Roman"/>
          <w:b w:val="0"/>
          <w:i/>
          <w:sz w:val="24"/>
        </w:rPr>
        <w:t>Taxpayers Allied for Constitutional Taxation v Wayne County</w:t>
      </w:r>
      <w:r>
        <w:rPr>
          <w:rFonts w:ascii="Times New Roman" w:hAnsi="Times New Roman"/>
          <w:b w:val="0"/>
          <w:i w:val="0"/>
          <w:sz w:val="24"/>
        </w:rPr>
        <w:t>, 450 Mich 119, 129 (1995).</w:t>
      </w:r>
    </w:p>
    <w:p>
      <w:pPr>
        <w:spacing w:line="480" w:lineRule="auto" w:after="0" w:before="0"/>
      </w:pPr>
      <w:r>
        <w:rPr>
          <w:rFonts w:ascii="Times New Roman" w:hAnsi="Times New Roman"/>
          <w:b/>
          <w:sz w:val="24"/>
        </w:rPr>
        <w:t xml:space="preserve">4. </w:t>
      </w:r>
      <w:r>
        <w:rPr>
          <w:rFonts w:ascii="Times New Roman" w:hAnsi="Times New Roman"/>
          <w:b w:val="0"/>
          <w:i w:val="0"/>
          <w:sz w:val="24"/>
        </w:rPr>
        <w:t>All four elements are satisfied here, as demonstrated below.</w:t>
      </w:r>
    </w:p>
    <w:p>
      <w:pPr>
        <w:pStyle w:val="Heading2"/>
      </w:pPr>
      <w:r>
        <w:rPr>
          <w:rFonts w:ascii="Times New Roman" w:hAnsi="Times New Roman"/>
        </w:rPr>
        <w:t>II. PARTIES</w:t>
      </w:r>
    </w:p>
    <w:p>
      <w:pPr>
        <w:spacing w:line="480" w:lineRule="auto" w:after="0" w:before="0"/>
      </w:pPr>
      <w:r>
        <w:rPr>
          <w:rFonts w:ascii="Times New Roman" w:hAnsi="Times New Roman"/>
          <w:b/>
          <w:sz w:val="24"/>
        </w:rPr>
        <w:t xml:space="preserve">5. </w:t>
      </w:r>
      <w:r>
        <w:rPr>
          <w:rFonts w:ascii="Times New Roman" w:hAnsi="Times New Roman"/>
          <w:b w:val="0"/>
          <w:i w:val="0"/>
          <w:sz w:val="24"/>
        </w:rPr>
        <w:t>Plaintiff ANDREW J. PIGORS is the father of L.D.W. (DOB: November 9, 2022) and is a party to Case No. 2024-001507-DC in the 14th Judicial Circuit Court, Family Division, Muskegon County, Michigan.</w:t>
      </w:r>
    </w:p>
    <w:p>
      <w:pPr>
        <w:spacing w:line="480" w:lineRule="auto" w:after="0" w:before="0"/>
      </w:pPr>
      <w:r>
        <w:rPr>
          <w:rFonts w:ascii="Times New Roman" w:hAnsi="Times New Roman"/>
          <w:b/>
          <w:sz w:val="24"/>
        </w:rPr>
        <w:t xml:space="preserve">6. </w:t>
      </w:r>
      <w:r>
        <w:rPr>
          <w:rFonts w:ascii="Times New Roman" w:hAnsi="Times New Roman"/>
          <w:b w:val="0"/>
          <w:i w:val="0"/>
          <w:sz w:val="24"/>
        </w:rPr>
        <w:t>Respondent is the 14TH JUDICIAL CIRCUIT COURT, FAMILY DIVISION, MUSKEGON COUNTY, through its judicial officers and staff, including but not limited to Hon. Jenny L. McNeill and court staff Pamela Rusco.</w:t>
      </w:r>
    </w:p>
    <w:p>
      <w:pPr>
        <w:pStyle w:val="Heading2"/>
      </w:pPr>
      <w:r>
        <w:rPr>
          <w:rFonts w:ascii="Times New Roman" w:hAnsi="Times New Roman"/>
        </w:rPr>
        <w:t>III. FACTUAL ALLEGATIONS</w:t>
      </w:r>
    </w:p>
    <w:p>
      <w:pPr>
        <w:pStyle w:val="Heading3"/>
      </w:pPr>
      <w:r>
        <w:rPr>
          <w:rFonts w:ascii="Times New Roman" w:hAnsi="Times New Roman"/>
        </w:rPr>
        <w:t>A. Failure to Schedule Hearings on Pending Motions</w:t>
      </w:r>
    </w:p>
    <w:p>
      <w:pPr>
        <w:spacing w:line="480" w:lineRule="auto" w:after="0" w:before="0"/>
      </w:pPr>
      <w:r>
        <w:rPr>
          <w:rFonts w:ascii="Times New Roman" w:hAnsi="Times New Roman"/>
          <w:b/>
          <w:sz w:val="24"/>
        </w:rPr>
        <w:t xml:space="preserve">7. </w:t>
      </w:r>
      <w:r>
        <w:rPr>
          <w:rFonts w:ascii="Times New Roman" w:hAnsi="Times New Roman"/>
          <w:b w:val="0"/>
          <w:i w:val="0"/>
          <w:sz w:val="24"/>
        </w:rPr>
        <w:t>Plaintiff has filed multiple motions in Case No. 2024-001507-DC that remain pending without hearings having been scheduled.</w:t>
      </w:r>
    </w:p>
    <w:p>
      <w:pPr>
        <w:spacing w:line="480" w:lineRule="auto" w:after="0" w:before="0"/>
      </w:pPr>
      <w:r>
        <w:rPr>
          <w:rFonts w:ascii="Times New Roman" w:hAnsi="Times New Roman"/>
          <w:b/>
          <w:sz w:val="24"/>
        </w:rPr>
        <w:t xml:space="preserve">8. </w:t>
      </w:r>
      <w:r>
        <w:rPr>
          <w:rFonts w:ascii="Times New Roman" w:hAnsi="Times New Roman"/>
          <w:b w:val="0"/>
          <w:i w:val="0"/>
          <w:sz w:val="24"/>
        </w:rPr>
        <w:t>MCR 2.119(E)(1) provides: "Unless the court sets a different time, a motion for which notice is required will be heard on a day of a regular motion session not earlier than 9 days and not later than 21 days after service of notice of the hearing."</w:t>
      </w:r>
    </w:p>
    <w:p>
      <w:pPr>
        <w:spacing w:line="480" w:lineRule="auto" w:after="0" w:before="0"/>
      </w:pPr>
      <w:r>
        <w:rPr>
          <w:rFonts w:ascii="Times New Roman" w:hAnsi="Times New Roman"/>
          <w:b/>
          <w:sz w:val="24"/>
        </w:rPr>
        <w:t xml:space="preserve">9. </w:t>
      </w:r>
      <w:r>
        <w:rPr>
          <w:rFonts w:ascii="Times New Roman" w:hAnsi="Times New Roman"/>
          <w:b w:val="0"/>
          <w:i w:val="0"/>
          <w:sz w:val="24"/>
        </w:rPr>
        <w:t>Despite the mandatory language of MCR 2.119, this Court has failed to schedule and conduct hearings on Plaintiff's pending motions within the time required by court rule.</w:t>
      </w:r>
    </w:p>
    <w:p>
      <w:pPr>
        <w:pStyle w:val="Heading3"/>
      </w:pPr>
      <w:r>
        <w:rPr>
          <w:rFonts w:ascii="Times New Roman" w:hAnsi="Times New Roman"/>
        </w:rPr>
        <w:t>Specific Pending Motions Without Hearing Dates</w:t>
      </w:r>
    </w:p>
    <w:p>
      <w:pPr>
        <w:spacing w:line="480" w:lineRule="auto" w:after="0" w:before="0"/>
      </w:pPr>
      <w:r>
        <w:rPr>
          <w:rFonts w:ascii="Times New Roman" w:hAnsi="Times New Roman"/>
          <w:b w:val="0"/>
          <w:i w:val="0"/>
          <w:sz w:val="24"/>
        </w:rPr>
        <w:t>9A. The following motions remain pending without hearings having been scheduled, in violation of MCR 2.119(E)(1):</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Motion</w:t>
            </w:r>
          </w:p>
        </w:tc>
        <w:tc>
          <w:tcPr>
            <w:tcW w:type="dxa" w:w="1872"/>
          </w:tcPr>
          <w:p>
            <w:pPr>
              <w:spacing w:line="240" w:lineRule="auto"/>
            </w:pPr>
            <w:r/>
            <w:r>
              <w:rPr>
                <w:rFonts w:ascii="Times New Roman" w:hAnsi="Times New Roman"/>
                <w:b/>
                <w:sz w:val="24"/>
              </w:rPr>
              <w:t>Date Filed</w:t>
            </w:r>
          </w:p>
        </w:tc>
        <w:tc>
          <w:tcPr>
            <w:tcW w:type="dxa" w:w="1872"/>
          </w:tcPr>
          <w:p>
            <w:pPr>
              <w:spacing w:line="240" w:lineRule="auto"/>
            </w:pPr>
            <w:r/>
            <w:r>
              <w:rPr>
                <w:rFonts w:ascii="Times New Roman" w:hAnsi="Times New Roman"/>
                <w:b/>
                <w:sz w:val="24"/>
              </w:rPr>
              <w:t>MCR 2.119 Deadline</w:t>
            </w:r>
          </w:p>
        </w:tc>
        <w:tc>
          <w:tcPr>
            <w:tcW w:type="dxa" w:w="1872"/>
          </w:tcPr>
          <w:p>
            <w:pPr>
              <w:spacing w:line="240" w:lineRule="auto"/>
            </w:pPr>
            <w:r/>
            <w:r>
              <w:rPr>
                <w:rFonts w:ascii="Times New Roman" w:hAnsi="Times New Roman"/>
                <w:b/>
                <w:sz w:val="24"/>
              </w:rPr>
              <w:t>Days Without Hearing</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val="0"/>
                <w:i w:val="0"/>
                <w:sz w:val="24"/>
              </w:rPr>
              <w:t>Motion for Disqualification of Hon. Jenny L. McNeill (MCR 2.003(C))</w:t>
            </w:r>
          </w:p>
        </w:tc>
        <w:tc>
          <w:tcPr>
            <w:tcW w:type="dxa" w:w="1872"/>
          </w:tcPr>
          <w:p>
            <w:pPr>
              <w:spacing w:line="240" w:lineRule="auto"/>
            </w:pPr>
            <w:r/>
            <w:r>
              <w:rPr>
                <w:rFonts w:ascii="Times New Roman" w:hAnsi="Times New Roman"/>
                <w:b w:val="0"/>
                <w:i w:val="0"/>
                <w:sz w:val="24"/>
              </w:rPr>
              <w:t>09/25/2025</w:t>
            </w:r>
          </w:p>
        </w:tc>
        <w:tc>
          <w:tcPr>
            <w:tcW w:type="dxa" w:w="1872"/>
          </w:tcPr>
          <w:p>
            <w:pPr>
              <w:spacing w:line="240" w:lineRule="auto"/>
            </w:pPr>
            <w:r/>
            <w:r>
              <w:rPr>
                <w:rFonts w:ascii="Times New Roman" w:hAnsi="Times New Roman"/>
                <w:b w:val="0"/>
                <w:i w:val="0"/>
                <w:sz w:val="24"/>
              </w:rPr>
              <w:t>10/16/2025 (21 days)</w:t>
            </w:r>
          </w:p>
        </w:tc>
        <w:tc>
          <w:tcPr>
            <w:tcW w:type="dxa" w:w="1872"/>
          </w:tcPr>
          <w:p>
            <w:pPr>
              <w:spacing w:line="240" w:lineRule="auto"/>
            </w:pPr>
            <w:r/>
            <w:r>
              <w:rPr>
                <w:rFonts w:ascii="Times New Roman" w:hAnsi="Times New Roman"/>
                <w:b w:val="0"/>
                <w:i w:val="0"/>
                <w:sz w:val="24"/>
              </w:rPr>
              <w:t>150+ days overdue</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val="0"/>
                <w:i w:val="0"/>
                <w:sz w:val="24"/>
              </w:rPr>
              <w:t>Motion to Modify/Terminate PPO (CC379/CC385)</w:t>
            </w:r>
          </w:p>
        </w:tc>
        <w:tc>
          <w:tcPr>
            <w:tcW w:type="dxa" w:w="1872"/>
          </w:tcPr>
          <w:p>
            <w:pPr>
              <w:spacing w:line="240" w:lineRule="auto"/>
            </w:pPr>
            <w:r/>
            <w:r>
              <w:rPr>
                <w:rFonts w:ascii="Times New Roman" w:hAnsi="Times New Roman"/>
                <w:b w:val="0"/>
                <w:i w:val="0"/>
                <w:sz w:val="24"/>
              </w:rPr>
              <w:t>09/26/2025</w:t>
            </w:r>
          </w:p>
        </w:tc>
        <w:tc>
          <w:tcPr>
            <w:tcW w:type="dxa" w:w="1872"/>
          </w:tcPr>
          <w:p>
            <w:pPr>
              <w:spacing w:line="240" w:lineRule="auto"/>
            </w:pPr>
            <w:r/>
            <w:r>
              <w:rPr>
                <w:rFonts w:ascii="Times New Roman" w:hAnsi="Times New Roman"/>
                <w:b w:val="0"/>
                <w:i w:val="0"/>
                <w:sz w:val="24"/>
              </w:rPr>
              <w:t>10/17/2025 (21 days)</w:t>
            </w:r>
          </w:p>
        </w:tc>
        <w:tc>
          <w:tcPr>
            <w:tcW w:type="dxa" w:w="1872"/>
          </w:tcPr>
          <w:p>
            <w:pPr>
              <w:spacing w:line="240" w:lineRule="auto"/>
            </w:pPr>
            <w:r/>
            <w:r>
              <w:rPr>
                <w:rFonts w:ascii="Times New Roman" w:hAnsi="Times New Roman"/>
                <w:b w:val="0"/>
                <w:i w:val="0"/>
                <w:sz w:val="24"/>
              </w:rPr>
              <w:t>149+ days overdue</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val="0"/>
                <w:i w:val="0"/>
                <w:sz w:val="24"/>
              </w:rPr>
              <w:t>Objection to Ex Parte Order (FOC-61)</w:t>
            </w:r>
          </w:p>
        </w:tc>
        <w:tc>
          <w:tcPr>
            <w:tcW w:type="dxa" w:w="1872"/>
          </w:tcPr>
          <w:p>
            <w:pPr>
              <w:spacing w:line="240" w:lineRule="auto"/>
            </w:pPr>
            <w:r/>
            <w:r>
              <w:rPr>
                <w:rFonts w:ascii="Times New Roman" w:hAnsi="Times New Roman"/>
                <w:b w:val="0"/>
                <w:i w:val="0"/>
                <w:sz w:val="24"/>
              </w:rPr>
              <w:t>Filed after 08/08/2025</w:t>
            </w:r>
          </w:p>
        </w:tc>
        <w:tc>
          <w:tcPr>
            <w:tcW w:type="dxa" w:w="1872"/>
          </w:tcPr>
          <w:p>
            <w:pPr>
              <w:spacing w:line="240" w:lineRule="auto"/>
            </w:pPr>
            <w:r/>
            <w:r>
              <w:rPr>
                <w:rFonts w:ascii="Times New Roman" w:hAnsi="Times New Roman"/>
                <w:b w:val="0"/>
                <w:i w:val="0"/>
                <w:sz w:val="24"/>
              </w:rPr>
              <w:t>Per MCR 3.207(C)(5): within 14 days</w:t>
            </w:r>
          </w:p>
        </w:tc>
        <w:tc>
          <w:tcPr>
            <w:tcW w:type="dxa" w:w="1872"/>
          </w:tcPr>
          <w:p>
            <w:pPr>
              <w:spacing w:line="240" w:lineRule="auto"/>
            </w:pPr>
            <w:r/>
            <w:r>
              <w:rPr>
                <w:rFonts w:ascii="Times New Roman" w:hAnsi="Times New Roman"/>
                <w:b w:val="0"/>
                <w:i w:val="0"/>
                <w:sz w:val="24"/>
              </w:rPr>
              <w:t>300+ days overdue</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val="0"/>
                <w:i w:val="0"/>
                <w:sz w:val="24"/>
              </w:rPr>
              <w:t>Six (6) Motions filed July 16, 2024</w:t>
            </w:r>
          </w:p>
        </w:tc>
        <w:tc>
          <w:tcPr>
            <w:tcW w:type="dxa" w:w="1872"/>
          </w:tcPr>
          <w:p>
            <w:pPr>
              <w:spacing w:line="240" w:lineRule="auto"/>
            </w:pPr>
            <w:r/>
            <w:r>
              <w:rPr>
                <w:rFonts w:ascii="Times New Roman" w:hAnsi="Times New Roman"/>
                <w:b w:val="0"/>
                <w:i w:val="0"/>
                <w:sz w:val="24"/>
              </w:rPr>
              <w:t>07/16/2024</w:t>
            </w:r>
          </w:p>
        </w:tc>
        <w:tc>
          <w:tcPr>
            <w:tcW w:type="dxa" w:w="1872"/>
          </w:tcPr>
          <w:p>
            <w:pPr>
              <w:spacing w:line="240" w:lineRule="auto"/>
            </w:pPr>
            <w:r/>
            <w:r>
              <w:rPr>
                <w:rFonts w:ascii="Times New Roman" w:hAnsi="Times New Roman"/>
                <w:b w:val="0"/>
                <w:i w:val="0"/>
                <w:sz w:val="24"/>
              </w:rPr>
              <w:t>08/06/2024 (21 days)</w:t>
            </w:r>
          </w:p>
        </w:tc>
        <w:tc>
          <w:tcPr>
            <w:tcW w:type="dxa" w:w="1872"/>
          </w:tcPr>
          <w:p>
            <w:pPr>
              <w:spacing w:line="240" w:lineRule="auto"/>
            </w:pPr>
            <w:r/>
            <w:r>
              <w:rPr>
                <w:rFonts w:ascii="Times New Roman" w:hAnsi="Times New Roman"/>
                <w:b w:val="0"/>
                <w:i w:val="0"/>
                <w:sz w:val="24"/>
              </w:rPr>
              <w:t>Denied as 'frivolous' on 07/17/2024 without substantive hearing — 1 day after filing</w:t>
            </w:r>
          </w:p>
        </w:tc>
      </w:tr>
    </w:tbl>
    <w:p>
      <w:pPr>
        <w:spacing w:line="480" w:lineRule="auto" w:after="0" w:before="0"/>
      </w:pPr>
      <w:r>
        <w:rPr>
          <w:rFonts w:ascii="Times New Roman" w:hAnsi="Times New Roman"/>
          <w:b w:val="0"/>
          <w:i w:val="0"/>
          <w:sz w:val="24"/>
        </w:rPr>
        <w:t xml:space="preserve">9B. The Court denied six motions filed on July 16, 2024, as 'frivolous' the very next day (July 17, 2024), stating: </w:t>
      </w:r>
      <w:r>
        <w:rPr>
          <w:rFonts w:ascii="Times New Roman" w:hAnsi="Times New Roman"/>
          <w:b w:val="0"/>
          <w:i/>
          <w:sz w:val="24"/>
        </w:rPr>
        <w:t>'Plaintiff's filing of these Motions was done as harassment to Defendant and to the Court, along with an abuse of the Court system.'</w:t>
      </w:r>
      <w:r>
        <w:rPr>
          <w:rFonts w:ascii="Times New Roman" w:hAnsi="Times New Roman"/>
          <w:b w:val="0"/>
          <w:i w:val="0"/>
          <w:sz w:val="24"/>
        </w:rPr>
        <w:t xml:space="preserve"> This characterization — without substantive hearing — itself violated MCR 2.119(E)(1), which mandates a hearing before ruling.</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This failure has directly resulted in the deprivation of Plaintiff's fundamental parental rights for </w:t>
      </w:r>
      <w:r>
        <w:rPr>
          <w:rFonts w:ascii="Times New Roman" w:hAnsi="Times New Roman"/>
          <w:b/>
          <w:i w:val="0"/>
          <w:sz w:val="24"/>
        </w:rPr>
        <w:t>329+ consecutive days</w:t>
      </w:r>
      <w:r>
        <w:rPr>
          <w:rFonts w:ascii="Times New Roman" w:hAnsi="Times New Roman"/>
          <w:b w:val="0"/>
          <w:i w:val="0"/>
          <w:sz w:val="24"/>
        </w:rPr>
        <w:t xml:space="preserve"> without an evidentiary hearing on the merits.</w:t>
      </w:r>
    </w:p>
    <w:p>
      <w:pPr>
        <w:spacing w:line="480" w:lineRule="auto" w:after="0" w:before="0"/>
      </w:pPr>
      <w:r>
        <w:rPr>
          <w:rFonts w:ascii="Times New Roman" w:hAnsi="Times New Roman"/>
          <w:b/>
          <w:sz w:val="24"/>
        </w:rPr>
        <w:t xml:space="preserve">11. </w:t>
      </w:r>
      <w:r>
        <w:rPr>
          <w:rFonts w:ascii="Times New Roman" w:hAnsi="Times New Roman"/>
          <w:b w:val="0"/>
          <w:i w:val="0"/>
          <w:sz w:val="24"/>
        </w:rPr>
        <w:t>MCR 3.207(C)(5) requires that when parenting time has been suspended ex parte, an evidentiary hearing must be held to determine whether the suspension should continue. No such hearing has been held.</w:t>
      </w:r>
    </w:p>
    <w:p>
      <w:pPr>
        <w:spacing w:line="480" w:lineRule="auto" w:after="0" w:before="0"/>
      </w:pPr>
      <w:r>
        <w:rPr>
          <w:rFonts w:ascii="Times New Roman" w:hAnsi="Times New Roman"/>
          <w:b w:val="0"/>
          <w:i w:val="0"/>
          <w:sz w:val="24"/>
        </w:rPr>
        <w:t xml:space="preserve">11B. The urgency of this Writ is compounded by the fact that the ex parte suspension rests on a foundation that law enforcement has repeatedly rejected. Norton Shores Police Department investigated Father on </w:t>
      </w:r>
      <w:r>
        <w:rPr>
          <w:rFonts w:ascii="Times New Roman" w:hAnsi="Times New Roman"/>
          <w:b/>
          <w:i w:val="0"/>
          <w:sz w:val="24"/>
        </w:rPr>
        <w:t>nine (9) separate occasions</w:t>
      </w:r>
      <w:r>
        <w:rPr>
          <w:rFonts w:ascii="Times New Roman" w:hAnsi="Times New Roman"/>
          <w:b w:val="0"/>
          <w:i w:val="0"/>
          <w:sz w:val="24"/>
        </w:rPr>
        <w:t xml:space="preserve"> between December 2023 and August 2025, including the very incident that precipitated the ex parte filing (NS2505044, Aug 7, 2025). </w:t>
      </w:r>
      <w:r>
        <w:rPr>
          <w:rFonts w:ascii="Times New Roman" w:hAnsi="Times New Roman"/>
          <w:b/>
          <w:i w:val="0"/>
          <w:sz w:val="24"/>
        </w:rPr>
        <w:t>Every investigation cleared Father</w:t>
      </w:r>
      <w:r>
        <w:rPr>
          <w:rFonts w:ascii="Times New Roman" w:hAnsi="Times New Roman"/>
          <w:b w:val="0"/>
          <w:i w:val="0"/>
          <w:sz w:val="24"/>
        </w:rPr>
        <w:t xml:space="preserve"> — zero arrests, zero charges, zero findings of any violation. The Court's refusal to schedule an evidentiary hearing where this exculpatory record could be presented deprives Father of any meaningful opportunity to challenge the factual basis for his 329+ day separation from his child.</w:t>
      </w:r>
    </w:p>
    <w:p>
      <w:pPr>
        <w:pStyle w:val="Heading3"/>
      </w:pPr>
      <w:r>
        <w:rPr>
          <w:rFonts w:ascii="Times New Roman" w:hAnsi="Times New Roman"/>
        </w:rPr>
        <w:t>Timeline of Judicial Delay</w:t>
      </w:r>
    </w:p>
    <w:p>
      <w:pPr>
        <w:spacing w:line="480" w:lineRule="auto" w:after="0" w:before="0"/>
      </w:pPr>
      <w:r>
        <w:rPr>
          <w:rFonts w:ascii="Times New Roman" w:hAnsi="Times New Roman"/>
          <w:b w:val="0"/>
          <w:i w:val="0"/>
          <w:sz w:val="24"/>
        </w:rPr>
        <w:t>11A. The following timeline demonstrates the extraordinary pattern of delay in this case: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Event</w:t>
            </w:r>
          </w:p>
        </w:tc>
        <w:tc>
          <w:tcPr>
            <w:tcW w:type="dxa" w:w="2340"/>
          </w:tcPr>
          <w:p>
            <w:pPr>
              <w:spacing w:line="240" w:lineRule="auto"/>
            </w:pPr>
            <w:r/>
            <w:r>
              <w:rPr>
                <w:rFonts w:ascii="Times New Roman" w:hAnsi="Times New Roman"/>
                <w:b/>
                <w:sz w:val="24"/>
              </w:rPr>
              <w:t>Days Since Ex Parte</w:t>
            </w:r>
          </w:p>
        </w:tc>
        <w:tc>
          <w:tcPr>
            <w:tcW w:type="dxa" w:w="2340"/>
          </w:tcPr>
          <w:p>
            <w:pPr>
              <w:spacing w:line="240" w:lineRule="auto"/>
            </w:pPr>
            <w:r/>
            <w:r>
              <w:rPr>
                <w:rFonts w:ascii="Times New Roman" w:hAnsi="Times New Roman"/>
                <w:b/>
                <w:sz w:val="24"/>
              </w:rPr>
              <w:t>MCR Requirement</w:t>
            </w:r>
          </w:p>
        </w:tc>
      </w:tr>
      <w:tr>
        <w:tc>
          <w:tcPr>
            <w:tcW w:type="dxa" w:w="2340"/>
          </w:tcPr>
          <w:p>
            <w:pPr>
              <w:spacing w:line="240" w:lineRule="auto"/>
            </w:pPr>
            <w:r/>
            <w:r>
              <w:rPr>
                <w:rFonts w:ascii="Times New Roman" w:hAnsi="Times New Roman"/>
                <w:b w:val="0"/>
                <w:i w:val="0"/>
                <w:sz w:val="24"/>
              </w:rPr>
              <w:t>08/08/2025</w:t>
            </w:r>
          </w:p>
        </w:tc>
        <w:tc>
          <w:tcPr>
            <w:tcW w:type="dxa" w:w="2340"/>
          </w:tcPr>
          <w:p>
            <w:pPr>
              <w:spacing w:line="240" w:lineRule="auto"/>
            </w:pPr>
            <w:r/>
            <w:r>
              <w:rPr>
                <w:rFonts w:ascii="Times New Roman" w:hAnsi="Times New Roman"/>
                <w:b w:val="0"/>
                <w:i w:val="0"/>
                <w:sz w:val="24"/>
              </w:rPr>
              <w:t>Five ex parte orders entered — all parenting time suspended</w:t>
            </w:r>
          </w:p>
        </w:tc>
        <w:tc>
          <w:tcPr>
            <w:tcW w:type="dxa" w:w="2340"/>
          </w:tcPr>
          <w:p>
            <w:pPr>
              <w:spacing w:line="240" w:lineRule="auto"/>
            </w:pPr>
            <w:r/>
            <w:r>
              <w:rPr>
                <w:rFonts w:ascii="Times New Roman" w:hAnsi="Times New Roman"/>
                <w:b w:val="0"/>
                <w:i w:val="0"/>
                <w:sz w:val="24"/>
              </w:rPr>
              <w:t>Day 0</w:t>
            </w:r>
          </w:p>
        </w:tc>
        <w:tc>
          <w:tcPr>
            <w:tcW w:type="dxa" w:w="2340"/>
          </w:tcPr>
          <w:p>
            <w:pPr>
              <w:spacing w:line="240" w:lineRule="auto"/>
            </w:pPr>
            <w:r/>
            <w:r>
              <w:rPr>
                <w:rFonts w:ascii="Times New Roman" w:hAnsi="Times New Roman"/>
                <w:b w:val="0"/>
                <w:i w:val="0"/>
                <w:sz w:val="24"/>
              </w:rPr>
              <w:t>MCR 3.207(C)(5): Evidentiary hearing within 14 days</w:t>
            </w:r>
          </w:p>
        </w:tc>
      </w:tr>
      <w:tr>
        <w:tc>
          <w:tcPr>
            <w:tcW w:type="dxa" w:w="2340"/>
          </w:tcPr>
          <w:p>
            <w:pPr>
              <w:spacing w:line="240" w:lineRule="auto"/>
            </w:pPr>
            <w:r/>
            <w:r>
              <w:rPr>
                <w:rFonts w:ascii="Times New Roman" w:hAnsi="Times New Roman"/>
                <w:b w:val="0"/>
                <w:i w:val="0"/>
                <w:sz w:val="24"/>
              </w:rPr>
              <w:t>08/08/2025</w:t>
            </w:r>
          </w:p>
        </w:tc>
        <w:tc>
          <w:tcPr>
            <w:tcW w:type="dxa" w:w="2340"/>
          </w:tcPr>
          <w:p>
            <w:pPr>
              <w:spacing w:line="240" w:lineRule="auto"/>
            </w:pPr>
            <w:r/>
            <w:r>
              <w:rPr>
                <w:rFonts w:ascii="Times New Roman" w:hAnsi="Times New Roman"/>
                <w:b w:val="0"/>
                <w:i w:val="0"/>
                <w:sz w:val="24"/>
              </w:rPr>
              <w:t>Father served Friday 08/08 for Monday 08/11 hearing</w:t>
            </w:r>
          </w:p>
        </w:tc>
        <w:tc>
          <w:tcPr>
            <w:tcW w:type="dxa" w:w="2340"/>
          </w:tcPr>
          <w:p>
            <w:pPr>
              <w:spacing w:line="240" w:lineRule="auto"/>
            </w:pPr>
            <w:r/>
            <w:r>
              <w:rPr>
                <w:rFonts w:ascii="Times New Roman" w:hAnsi="Times New Roman"/>
                <w:b w:val="0"/>
                <w:i w:val="0"/>
                <w:sz w:val="24"/>
              </w:rPr>
              <w:t>Day 0</w:t>
            </w:r>
          </w:p>
        </w:tc>
        <w:tc>
          <w:tcPr>
            <w:tcW w:type="dxa" w:w="2340"/>
          </w:tcPr>
          <w:p>
            <w:pPr>
              <w:spacing w:line="240" w:lineRule="auto"/>
            </w:pPr>
            <w:r/>
            <w:r>
              <w:rPr>
                <w:rFonts w:ascii="Times New Roman" w:hAnsi="Times New Roman"/>
                <w:b w:val="0"/>
                <w:i w:val="0"/>
                <w:sz w:val="24"/>
              </w:rPr>
              <w:t>MCR 2.305: 5 business days minimum service</w:t>
            </w:r>
          </w:p>
        </w:tc>
      </w:tr>
      <w:tr>
        <w:tc>
          <w:tcPr>
            <w:tcW w:type="dxa" w:w="2340"/>
          </w:tcPr>
          <w:p>
            <w:pPr>
              <w:spacing w:line="240" w:lineRule="auto"/>
            </w:pPr>
            <w:r/>
            <w:r>
              <w:rPr>
                <w:rFonts w:ascii="Times New Roman" w:hAnsi="Times New Roman"/>
                <w:b w:val="0"/>
                <w:i w:val="0"/>
                <w:sz w:val="24"/>
              </w:rPr>
              <w:t>08/11/2025</w:t>
            </w:r>
          </w:p>
        </w:tc>
        <w:tc>
          <w:tcPr>
            <w:tcW w:type="dxa" w:w="2340"/>
          </w:tcPr>
          <w:p>
            <w:pPr>
              <w:spacing w:line="240" w:lineRule="auto"/>
            </w:pPr>
            <w:r/>
            <w:r>
              <w:rPr>
                <w:rFonts w:ascii="Times New Roman" w:hAnsi="Times New Roman"/>
                <w:b w:val="0"/>
                <w:i w:val="0"/>
                <w:sz w:val="24"/>
              </w:rPr>
              <w:t>First 'objection hearing' — Father had ZERO business days to prepare</w:t>
            </w:r>
          </w:p>
        </w:tc>
        <w:tc>
          <w:tcPr>
            <w:tcW w:type="dxa" w:w="2340"/>
          </w:tcPr>
          <w:p>
            <w:pPr>
              <w:spacing w:line="240" w:lineRule="auto"/>
            </w:pPr>
            <w:r/>
            <w:r>
              <w:rPr>
                <w:rFonts w:ascii="Times New Roman" w:hAnsi="Times New Roman"/>
                <w:b w:val="0"/>
                <w:i w:val="0"/>
                <w:sz w:val="24"/>
              </w:rPr>
              <w:t>Day 3</w:t>
            </w:r>
          </w:p>
        </w:tc>
        <w:tc>
          <w:tcPr>
            <w:tcW w:type="dxa" w:w="2340"/>
          </w:tcPr>
          <w:p>
            <w:pPr>
              <w:spacing w:line="240" w:lineRule="auto"/>
            </w:pPr>
            <w:r/>
            <w:r>
              <w:rPr>
                <w:rFonts w:ascii="Times New Roman" w:hAnsi="Times New Roman"/>
                <w:b w:val="0"/>
                <w:i w:val="0"/>
                <w:sz w:val="24"/>
              </w:rPr>
              <w:t>Due process: meaningful opportunity to respond</w:t>
            </w:r>
          </w:p>
        </w:tc>
      </w:tr>
      <w:tr>
        <w:tc>
          <w:tcPr>
            <w:tcW w:type="dxa" w:w="2340"/>
          </w:tcPr>
          <w:p>
            <w:pPr>
              <w:spacing w:line="240" w:lineRule="auto"/>
            </w:pPr>
            <w:r/>
            <w:r>
              <w:rPr>
                <w:rFonts w:ascii="Times New Roman" w:hAnsi="Times New Roman"/>
                <w:b w:val="0"/>
                <w:i w:val="0"/>
                <w:sz w:val="24"/>
              </w:rPr>
              <w:t>08/22/2025</w:t>
            </w:r>
          </w:p>
        </w:tc>
        <w:tc>
          <w:tcPr>
            <w:tcW w:type="dxa" w:w="2340"/>
          </w:tcPr>
          <w:p>
            <w:pPr>
              <w:spacing w:line="240" w:lineRule="auto"/>
            </w:pPr>
            <w:r/>
            <w:r>
              <w:rPr>
                <w:rFonts w:ascii="Times New Roman" w:hAnsi="Times New Roman"/>
                <w:b w:val="0"/>
                <w:i w:val="0"/>
                <w:sz w:val="24"/>
              </w:rPr>
              <w:t>Court orders Father to undergo HealthWest assessment</w:t>
            </w:r>
          </w:p>
        </w:tc>
        <w:tc>
          <w:tcPr>
            <w:tcW w:type="dxa" w:w="2340"/>
          </w:tcPr>
          <w:p>
            <w:pPr>
              <w:spacing w:line="240" w:lineRule="auto"/>
            </w:pPr>
            <w:r/>
            <w:r>
              <w:rPr>
                <w:rFonts w:ascii="Times New Roman" w:hAnsi="Times New Roman"/>
                <w:b w:val="0"/>
                <w:i w:val="0"/>
                <w:sz w:val="24"/>
              </w:rPr>
              <w:t>Day 14</w:t>
            </w:r>
          </w:p>
        </w:tc>
        <w:tc>
          <w:tcPr>
            <w:tcW w:type="dxa" w:w="2340"/>
          </w:tcPr>
          <w:p>
            <w:pPr>
              <w:spacing w:line="240" w:lineRule="auto"/>
            </w:pPr>
            <w:r/>
            <w:r>
              <w:rPr>
                <w:rFonts w:ascii="Times New Roman" w:hAnsi="Times New Roman"/>
                <w:b w:val="0"/>
                <w:i w:val="0"/>
                <w:sz w:val="24"/>
              </w:rPr>
              <w:t>MCR 3.207(C)(5) deadline already passed</w:t>
            </w:r>
          </w:p>
        </w:tc>
      </w:tr>
      <w:tr>
        <w:tc>
          <w:tcPr>
            <w:tcW w:type="dxa" w:w="2340"/>
          </w:tcPr>
          <w:p>
            <w:pPr>
              <w:spacing w:line="240" w:lineRule="auto"/>
            </w:pPr>
            <w:r/>
            <w:r>
              <w:rPr>
                <w:rFonts w:ascii="Times New Roman" w:hAnsi="Times New Roman"/>
                <w:b w:val="0"/>
                <w:i w:val="0"/>
                <w:sz w:val="24"/>
              </w:rPr>
              <w:t>09/04/2025</w:t>
            </w:r>
          </w:p>
        </w:tc>
        <w:tc>
          <w:tcPr>
            <w:tcW w:type="dxa" w:w="2340"/>
          </w:tcPr>
          <w:p>
            <w:pPr>
              <w:spacing w:line="240" w:lineRule="auto"/>
            </w:pPr>
            <w:r/>
            <w:r>
              <w:rPr>
                <w:rFonts w:ascii="Times New Roman" w:hAnsi="Times New Roman"/>
                <w:b w:val="0"/>
                <w:i w:val="0"/>
                <w:sz w:val="24"/>
              </w:rPr>
              <w:t>Father presents at HealthWest as walk-in</w:t>
            </w:r>
          </w:p>
        </w:tc>
        <w:tc>
          <w:tcPr>
            <w:tcW w:type="dxa" w:w="2340"/>
          </w:tcPr>
          <w:p>
            <w:pPr>
              <w:spacing w:line="240" w:lineRule="auto"/>
            </w:pPr>
            <w:r/>
            <w:r>
              <w:rPr>
                <w:rFonts w:ascii="Times New Roman" w:hAnsi="Times New Roman"/>
                <w:b w:val="0"/>
                <w:i w:val="0"/>
                <w:sz w:val="24"/>
              </w:rPr>
              <w:t>Day 27</w:t>
            </w:r>
          </w:p>
        </w:tc>
        <w:tc>
          <w:tcPr>
            <w:tcW w:type="dxa" w:w="2340"/>
          </w:tcPr>
          <w:p>
            <w:pPr>
              <w:spacing w:line="240" w:lineRule="auto"/>
            </w:pPr>
            <w:r/>
            <w:r>
              <w:rPr>
                <w:rFonts w:ascii="Times New Roman" w:hAnsi="Times New Roman"/>
                <w:b w:val="0"/>
                <w:i w:val="0"/>
                <w:sz w:val="24"/>
              </w:rPr>
              <w:t>Father complying with court order</w:t>
            </w:r>
          </w:p>
        </w:tc>
      </w:tr>
      <w:tr>
        <w:tc>
          <w:tcPr>
            <w:tcW w:type="dxa" w:w="2340"/>
          </w:tcPr>
          <w:p>
            <w:pPr>
              <w:spacing w:line="240" w:lineRule="auto"/>
            </w:pPr>
            <w:r/>
            <w:r>
              <w:rPr>
                <w:rFonts w:ascii="Times New Roman" w:hAnsi="Times New Roman"/>
                <w:b w:val="0"/>
                <w:i w:val="0"/>
                <w:sz w:val="24"/>
              </w:rPr>
              <w:t>09/05/2025</w:t>
            </w:r>
          </w:p>
        </w:tc>
        <w:tc>
          <w:tcPr>
            <w:tcW w:type="dxa" w:w="2340"/>
          </w:tcPr>
          <w:p>
            <w:pPr>
              <w:spacing w:line="240" w:lineRule="auto"/>
            </w:pPr>
            <w:r/>
            <w:r>
              <w:rPr>
                <w:rFonts w:ascii="Times New Roman" w:hAnsi="Times New Roman"/>
                <w:b w:val="0"/>
                <w:i w:val="0"/>
                <w:sz w:val="24"/>
              </w:rPr>
              <w:t>HealthWest evaluation completed; Father emails results to Rusco same day</w:t>
            </w:r>
          </w:p>
        </w:tc>
        <w:tc>
          <w:tcPr>
            <w:tcW w:type="dxa" w:w="2340"/>
          </w:tcPr>
          <w:p>
            <w:pPr>
              <w:spacing w:line="240" w:lineRule="auto"/>
            </w:pPr>
            <w:r/>
            <w:r>
              <w:rPr>
                <w:rFonts w:ascii="Times New Roman" w:hAnsi="Times New Roman"/>
                <w:b w:val="0"/>
                <w:i w:val="0"/>
                <w:sz w:val="24"/>
              </w:rPr>
              <w:t>Day 28</w:t>
            </w:r>
          </w:p>
        </w:tc>
        <w:tc>
          <w:tcPr>
            <w:tcW w:type="dxa" w:w="2340"/>
          </w:tcPr>
          <w:p>
            <w:pPr>
              <w:spacing w:line="240" w:lineRule="auto"/>
            </w:pPr>
            <w:r/>
            <w:r>
              <w:rPr>
                <w:rFonts w:ascii="Times New Roman" w:hAnsi="Times New Roman"/>
                <w:b w:val="0"/>
                <w:i w:val="0"/>
                <w:sz w:val="24"/>
              </w:rPr>
              <w:t>Full compliance — same-day submission</w:t>
            </w:r>
          </w:p>
        </w:tc>
      </w:tr>
      <w:tr>
        <w:tc>
          <w:tcPr>
            <w:tcW w:type="dxa" w:w="2340"/>
          </w:tcPr>
          <w:p>
            <w:pPr>
              <w:spacing w:line="240" w:lineRule="auto"/>
            </w:pPr>
            <w:r/>
            <w:r>
              <w:rPr>
                <w:rFonts w:ascii="Times New Roman" w:hAnsi="Times New Roman"/>
                <w:b w:val="0"/>
                <w:i w:val="0"/>
                <w:sz w:val="24"/>
              </w:rPr>
              <w:t>09/09/2025</w:t>
            </w:r>
          </w:p>
        </w:tc>
        <w:tc>
          <w:tcPr>
            <w:tcW w:type="dxa" w:w="2340"/>
          </w:tcPr>
          <w:p>
            <w:pPr>
              <w:spacing w:line="240" w:lineRule="auto"/>
            </w:pPr>
            <w:r/>
            <w:r>
              <w:rPr>
                <w:rFonts w:ascii="Times New Roman" w:hAnsi="Times New Roman"/>
                <w:b w:val="0"/>
                <w:i w:val="0"/>
                <w:sz w:val="24"/>
              </w:rPr>
              <w:t>Court issues adverse order — 4 days after receiving exonerating eval</w:t>
            </w:r>
          </w:p>
        </w:tc>
        <w:tc>
          <w:tcPr>
            <w:tcW w:type="dxa" w:w="2340"/>
          </w:tcPr>
          <w:p>
            <w:pPr>
              <w:spacing w:line="240" w:lineRule="auto"/>
            </w:pPr>
            <w:r/>
            <w:r>
              <w:rPr>
                <w:rFonts w:ascii="Times New Roman" w:hAnsi="Times New Roman"/>
                <w:b w:val="0"/>
                <w:i w:val="0"/>
                <w:sz w:val="24"/>
              </w:rPr>
              <w:t>Day 32</w:t>
            </w:r>
          </w:p>
        </w:tc>
        <w:tc>
          <w:tcPr>
            <w:tcW w:type="dxa" w:w="2340"/>
          </w:tcPr>
          <w:p>
            <w:pPr>
              <w:spacing w:line="240" w:lineRule="auto"/>
            </w:pPr>
            <w:r/>
            <w:r>
              <w:rPr>
                <w:rFonts w:ascii="Times New Roman" w:hAnsi="Times New Roman"/>
                <w:b w:val="0"/>
                <w:i w:val="0"/>
                <w:sz w:val="24"/>
              </w:rPr>
              <w:t>Order inconsistent with clinical findings</w:t>
            </w:r>
          </w:p>
        </w:tc>
      </w:tr>
      <w:tr>
        <w:tc>
          <w:tcPr>
            <w:tcW w:type="dxa" w:w="2340"/>
          </w:tcPr>
          <w:p>
            <w:pPr>
              <w:spacing w:line="240" w:lineRule="auto"/>
            </w:pPr>
            <w:r/>
            <w:r>
              <w:rPr>
                <w:rFonts w:ascii="Times New Roman" w:hAnsi="Times New Roman"/>
                <w:b w:val="0"/>
                <w:i w:val="0"/>
                <w:sz w:val="24"/>
              </w:rPr>
              <w:t>09/11/2025</w:t>
            </w:r>
          </w:p>
        </w:tc>
        <w:tc>
          <w:tcPr>
            <w:tcW w:type="dxa" w:w="2340"/>
          </w:tcPr>
          <w:p>
            <w:pPr>
              <w:spacing w:line="240" w:lineRule="auto"/>
            </w:pPr>
            <w:r/>
            <w:r>
              <w:rPr>
                <w:rFonts w:ascii="Times New Roman" w:hAnsi="Times New Roman"/>
                <w:b w:val="0"/>
                <w:i w:val="0"/>
                <w:sz w:val="24"/>
              </w:rPr>
              <w:t>Second HealthWest assessment — conducted after court provided biasing letter</w:t>
            </w:r>
          </w:p>
        </w:tc>
        <w:tc>
          <w:tcPr>
            <w:tcW w:type="dxa" w:w="2340"/>
          </w:tcPr>
          <w:p>
            <w:pPr>
              <w:spacing w:line="240" w:lineRule="auto"/>
            </w:pPr>
            <w:r/>
            <w:r>
              <w:rPr>
                <w:rFonts w:ascii="Times New Roman" w:hAnsi="Times New Roman"/>
                <w:b w:val="0"/>
                <w:i w:val="0"/>
                <w:sz w:val="24"/>
              </w:rPr>
              <w:t>Day 34</w:t>
            </w:r>
          </w:p>
        </w:tc>
        <w:tc>
          <w:tcPr>
            <w:tcW w:type="dxa" w:w="2340"/>
          </w:tcPr>
          <w:p>
            <w:pPr>
              <w:spacing w:line="240" w:lineRule="auto"/>
            </w:pPr>
            <w:r/>
            <w:r>
              <w:rPr>
                <w:rFonts w:ascii="Times New Roman" w:hAnsi="Times New Roman"/>
                <w:b w:val="0"/>
                <w:i w:val="0"/>
                <w:sz w:val="24"/>
              </w:rPr>
              <w:t>Court-manufactured clinical finding</w:t>
            </w:r>
          </w:p>
        </w:tc>
      </w:tr>
      <w:tr>
        <w:tc>
          <w:tcPr>
            <w:tcW w:type="dxa" w:w="2340"/>
          </w:tcPr>
          <w:p>
            <w:pPr>
              <w:spacing w:line="240" w:lineRule="auto"/>
            </w:pPr>
            <w:r/>
            <w:r>
              <w:rPr>
                <w:rFonts w:ascii="Times New Roman" w:hAnsi="Times New Roman"/>
                <w:b w:val="0"/>
                <w:i w:val="0"/>
                <w:sz w:val="24"/>
              </w:rPr>
              <w:t>09/25/2025</w:t>
            </w:r>
          </w:p>
        </w:tc>
        <w:tc>
          <w:tcPr>
            <w:tcW w:type="dxa" w:w="2340"/>
          </w:tcPr>
          <w:p>
            <w:pPr>
              <w:spacing w:line="240" w:lineRule="auto"/>
            </w:pPr>
            <w:r/>
            <w:r>
              <w:rPr>
                <w:rFonts w:ascii="Times New Roman" w:hAnsi="Times New Roman"/>
                <w:b w:val="0"/>
                <w:i w:val="0"/>
                <w:sz w:val="24"/>
              </w:rPr>
              <w:t>Father files Motion for Disqualification (MCR 2.003)</w:t>
            </w:r>
          </w:p>
        </w:tc>
        <w:tc>
          <w:tcPr>
            <w:tcW w:type="dxa" w:w="2340"/>
          </w:tcPr>
          <w:p>
            <w:pPr>
              <w:spacing w:line="240" w:lineRule="auto"/>
            </w:pPr>
            <w:r/>
            <w:r>
              <w:rPr>
                <w:rFonts w:ascii="Times New Roman" w:hAnsi="Times New Roman"/>
                <w:b w:val="0"/>
                <w:i w:val="0"/>
                <w:sz w:val="24"/>
              </w:rPr>
              <w:t>Day 48</w:t>
            </w:r>
          </w:p>
        </w:tc>
        <w:tc>
          <w:tcPr>
            <w:tcW w:type="dxa" w:w="2340"/>
          </w:tcPr>
          <w:p>
            <w:pPr>
              <w:spacing w:line="240" w:lineRule="auto"/>
            </w:pPr>
            <w:r/>
            <w:r>
              <w:rPr>
                <w:rFonts w:ascii="Times New Roman" w:hAnsi="Times New Roman"/>
                <w:b w:val="0"/>
                <w:i w:val="0"/>
                <w:sz w:val="24"/>
              </w:rPr>
              <w:t>MCR 2.003(D)(1): Must be ruled on promptly</w:t>
            </w:r>
          </w:p>
        </w:tc>
      </w:tr>
      <w:tr>
        <w:tc>
          <w:tcPr>
            <w:tcW w:type="dxa" w:w="2340"/>
          </w:tcPr>
          <w:p>
            <w:pPr>
              <w:spacing w:line="240" w:lineRule="auto"/>
            </w:pPr>
            <w:r/>
            <w:r>
              <w:rPr>
                <w:rFonts w:ascii="Times New Roman" w:hAnsi="Times New Roman"/>
                <w:b w:val="0"/>
                <w:i w:val="0"/>
                <w:sz w:val="24"/>
              </w:rPr>
              <w:t>10/29/2025</w:t>
            </w:r>
          </w:p>
        </w:tc>
        <w:tc>
          <w:tcPr>
            <w:tcW w:type="dxa" w:w="2340"/>
          </w:tcPr>
          <w:p>
            <w:pPr>
              <w:spacing w:line="240" w:lineRule="auto"/>
            </w:pPr>
            <w:r/>
            <w:r>
              <w:rPr>
                <w:rFonts w:ascii="Times New Roman" w:hAnsi="Times New Roman"/>
                <w:b w:val="0"/>
                <w:i w:val="0"/>
                <w:sz w:val="24"/>
              </w:rPr>
              <w:t>Hearing — Rusco calls HealthWest same day to arrange clinician testimony</w:t>
            </w:r>
          </w:p>
        </w:tc>
        <w:tc>
          <w:tcPr>
            <w:tcW w:type="dxa" w:w="2340"/>
          </w:tcPr>
          <w:p>
            <w:pPr>
              <w:spacing w:line="240" w:lineRule="auto"/>
            </w:pPr>
            <w:r/>
            <w:r>
              <w:rPr>
                <w:rFonts w:ascii="Times New Roman" w:hAnsi="Times New Roman"/>
                <w:b w:val="0"/>
                <w:i w:val="0"/>
                <w:sz w:val="24"/>
              </w:rPr>
              <w:t>Day 82</w:t>
            </w:r>
          </w:p>
        </w:tc>
        <w:tc>
          <w:tcPr>
            <w:tcW w:type="dxa" w:w="2340"/>
          </w:tcPr>
          <w:p>
            <w:pPr>
              <w:spacing w:line="240" w:lineRule="auto"/>
            </w:pPr>
            <w:r/>
            <w:r>
              <w:rPr>
                <w:rFonts w:ascii="Times New Roman" w:hAnsi="Times New Roman"/>
                <w:b w:val="0"/>
                <w:i w:val="0"/>
                <w:sz w:val="24"/>
              </w:rPr>
              <w:t>MCR 2.003(C)(1)(a): Prohibited ex parte contact</w:t>
            </w:r>
          </w:p>
        </w:tc>
      </w:tr>
      <w:tr>
        <w:tc>
          <w:tcPr>
            <w:tcW w:type="dxa" w:w="2340"/>
          </w:tcPr>
          <w:p>
            <w:pPr>
              <w:spacing w:line="240" w:lineRule="auto"/>
            </w:pPr>
            <w:r/>
            <w:r>
              <w:rPr>
                <w:rFonts w:ascii="Times New Roman" w:hAnsi="Times New Roman"/>
                <w:b w:val="0"/>
                <w:i w:val="0"/>
                <w:sz w:val="24"/>
              </w:rPr>
              <w:t>11/26/2025</w:t>
            </w:r>
          </w:p>
        </w:tc>
        <w:tc>
          <w:tcPr>
            <w:tcW w:type="dxa" w:w="2340"/>
          </w:tcPr>
          <w:p>
            <w:pPr>
              <w:spacing w:line="240" w:lineRule="auto"/>
            </w:pPr>
            <w:r/>
            <w:r>
              <w:rPr>
                <w:rFonts w:ascii="Times New Roman" w:hAnsi="Times New Roman"/>
                <w:b w:val="0"/>
                <w:i w:val="0"/>
                <w:sz w:val="24"/>
              </w:rPr>
              <w:t>Continued hearing — still no evidentiary hearing on merits</w:t>
            </w:r>
          </w:p>
        </w:tc>
        <w:tc>
          <w:tcPr>
            <w:tcW w:type="dxa" w:w="2340"/>
          </w:tcPr>
          <w:p>
            <w:pPr>
              <w:spacing w:line="240" w:lineRule="auto"/>
            </w:pPr>
            <w:r/>
            <w:r>
              <w:rPr>
                <w:rFonts w:ascii="Times New Roman" w:hAnsi="Times New Roman"/>
                <w:b w:val="0"/>
                <w:i w:val="0"/>
                <w:sz w:val="24"/>
              </w:rPr>
              <w:t>Day 110</w:t>
            </w:r>
          </w:p>
        </w:tc>
        <w:tc>
          <w:tcPr>
            <w:tcW w:type="dxa" w:w="2340"/>
          </w:tcPr>
          <w:p>
            <w:pPr>
              <w:spacing w:line="240" w:lineRule="auto"/>
            </w:pPr>
            <w:r/>
            <w:r>
              <w:rPr>
                <w:rFonts w:ascii="Times New Roman" w:hAnsi="Times New Roman"/>
                <w:b w:val="0"/>
                <w:i w:val="0"/>
                <w:sz w:val="24"/>
              </w:rPr>
              <w:t>MCR 3.207(C)(5) violated by 96 days</w:t>
            </w:r>
          </w:p>
        </w:tc>
      </w:tr>
      <w:tr>
        <w:tc>
          <w:tcPr>
            <w:tcW w:type="dxa" w:w="2340"/>
          </w:tcPr>
          <w:p>
            <w:pPr>
              <w:spacing w:line="240" w:lineRule="auto"/>
            </w:pPr>
            <w:r/>
            <w:r>
              <w:rPr>
                <w:rFonts w:ascii="Times New Roman" w:hAnsi="Times New Roman"/>
                <w:b w:val="0"/>
                <w:i w:val="0"/>
                <w:sz w:val="24"/>
              </w:rPr>
              <w:t>Filing date</w:t>
            </w:r>
          </w:p>
        </w:tc>
        <w:tc>
          <w:tcPr>
            <w:tcW w:type="dxa" w:w="2340"/>
          </w:tcPr>
          <w:p>
            <w:pPr>
              <w:spacing w:line="240" w:lineRule="auto"/>
            </w:pPr>
            <w:r/>
            <w:r>
              <w:rPr>
                <w:rFonts w:ascii="Times New Roman" w:hAnsi="Times New Roman"/>
                <w:b/>
                <w:i w:val="0"/>
                <w:sz w:val="24"/>
              </w:rPr>
              <w:t>329+ days without evidentiary hearing on parenting time merits</w:t>
            </w:r>
          </w:p>
        </w:tc>
        <w:tc>
          <w:tcPr>
            <w:tcW w:type="dxa" w:w="2340"/>
          </w:tcPr>
          <w:p>
            <w:pPr>
              <w:spacing w:line="240" w:lineRule="auto"/>
            </w:pPr>
            <w:r/>
            <w:r>
              <w:rPr>
                <w:rFonts w:ascii="Times New Roman" w:hAnsi="Times New Roman"/>
                <w:b w:val="0"/>
                <w:i w:val="0"/>
                <w:sz w:val="24"/>
              </w:rPr>
              <w:t>Day 329+</w:t>
            </w:r>
          </w:p>
        </w:tc>
        <w:tc>
          <w:tcPr>
            <w:tcW w:type="dxa" w:w="2340"/>
          </w:tcPr>
          <w:p>
            <w:pPr>
              <w:spacing w:line="240" w:lineRule="auto"/>
            </w:pPr>
            <w:r/>
            <w:r>
              <w:rPr>
                <w:rFonts w:ascii="Times New Roman" w:hAnsi="Times New Roman"/>
                <w:b w:val="0"/>
                <w:i w:val="0"/>
                <w:sz w:val="24"/>
              </w:rPr>
              <w:t>MCR 3.207(C)(5) violated by 315+ days</w:t>
            </w:r>
          </w:p>
        </w:tc>
      </w:tr>
    </w:tbl>
    <w:p>
      <w:pPr>
        <w:spacing w:line="480" w:lineRule="auto" w:after="0" w:before="0"/>
      </w:pPr>
      <w:r>
        <w:rPr>
          <w:rFonts w:ascii="Times New Roman" w:hAnsi="Times New Roman"/>
          <w:b w:val="0"/>
          <w:i w:val="0"/>
          <w:sz w:val="24"/>
        </w:rPr>
        <w:t>11B. The cumulative effect of this delay is the de facto termination of Father's parental rights without any of the procedural protections required for termination under MCL 712A.19b.</w:t>
      </w:r>
    </w:p>
    <w:p>
      <w:pPr>
        <w:pStyle w:val="Heading3"/>
      </w:pPr>
      <w:r>
        <w:rPr>
          <w:rFonts w:ascii="Times New Roman" w:hAnsi="Times New Roman"/>
        </w:rPr>
        <w:t>B. Failure to Comply with MCR 2.003(D)(1) — Chief Judge Reassignment</w:t>
      </w:r>
    </w:p>
    <w:p>
      <w:pPr>
        <w:spacing w:line="480" w:lineRule="auto" w:after="0" w:before="0"/>
      </w:pPr>
      <w:r>
        <w:rPr>
          <w:rFonts w:ascii="Times New Roman" w:hAnsi="Times New Roman"/>
          <w:b/>
          <w:sz w:val="24"/>
        </w:rPr>
        <w:t xml:space="preserve">12. </w:t>
      </w:r>
      <w:r>
        <w:rPr>
          <w:rFonts w:ascii="Times New Roman" w:hAnsi="Times New Roman"/>
          <w:b w:val="0"/>
          <w:i w:val="0"/>
          <w:sz w:val="24"/>
        </w:rPr>
        <w:t>On information and belief, Plaintiff has filed a motion for disqualification of Hon. Jenny L. McNeill pursuant to MCR 2.003(C).</w:t>
      </w:r>
    </w:p>
    <w:p>
      <w:pPr>
        <w:spacing w:line="480" w:lineRule="auto" w:after="0" w:before="0"/>
      </w:pPr>
      <w:r>
        <w:rPr>
          <w:rFonts w:ascii="Times New Roman" w:hAnsi="Times New Roman"/>
          <w:b/>
          <w:sz w:val="24"/>
        </w:rPr>
        <w:t xml:space="preserve">13. </w:t>
      </w:r>
      <w:r>
        <w:rPr>
          <w:rFonts w:ascii="Times New Roman" w:hAnsi="Times New Roman"/>
          <w:b w:val="0"/>
          <w:i w:val="0"/>
          <w:sz w:val="24"/>
        </w:rPr>
        <w:t>MCR 2.003(D)(1) provides that upon the filing of a motion for disqualification, the challenged judge must either (a) disqualify or (b) refer the matter to the chief judge for determination.</w:t>
      </w:r>
    </w:p>
    <w:p>
      <w:pPr>
        <w:spacing w:line="480" w:lineRule="auto" w:after="0" w:before="0"/>
      </w:pPr>
      <w:r>
        <w:rPr>
          <w:rFonts w:ascii="Times New Roman" w:hAnsi="Times New Roman"/>
          <w:b/>
          <w:sz w:val="24"/>
        </w:rPr>
        <w:t xml:space="preserve">14. </w:t>
      </w:r>
      <w:r>
        <w:rPr>
          <w:rFonts w:ascii="Times New Roman" w:hAnsi="Times New Roman"/>
          <w:b w:val="0"/>
          <w:i w:val="0"/>
          <w:sz w:val="24"/>
        </w:rPr>
        <w:t>The court has failed to comply with the mandatory procedures of MCR 2.003(D)(1), creating an unconstitutional situation in which the challenged judge continues to preside over the very case in which her impartiality has been formally questioned.</w:t>
      </w:r>
    </w:p>
    <w:p>
      <w:pPr>
        <w:spacing w:line="480" w:lineRule="auto" w:after="0" w:before="0"/>
      </w:pPr>
      <w:r>
        <w:rPr>
          <w:rFonts w:ascii="Times New Roman" w:hAnsi="Times New Roman"/>
          <w:b/>
          <w:sz w:val="24"/>
        </w:rPr>
        <w:t xml:space="preserve">15. </w:t>
      </w:r>
      <w:r>
        <w:rPr>
          <w:rFonts w:ascii="Times New Roman" w:hAnsi="Times New Roman"/>
          <w:b w:val="0"/>
          <w:i w:val="0"/>
          <w:sz w:val="24"/>
        </w:rPr>
        <w:t>The basis for disqualification includes, but is not limited to:</w:t>
      </w:r>
    </w:p>
    <w:p>
      <w:pPr>
        <w:spacing w:line="480" w:lineRule="auto" w:after="0" w:before="0"/>
      </w:pPr>
      <w:r>
        <w:rPr>
          <w:rFonts w:ascii="Times New Roman" w:hAnsi="Times New Roman"/>
          <w:b w:val="0"/>
          <w:i w:val="0"/>
          <w:sz w:val="24"/>
        </w:rPr>
        <w:t xml:space="preserve">a. A </w:t>
      </w:r>
      <w:r>
        <w:rPr>
          <w:rFonts w:ascii="Times New Roman" w:hAnsi="Times New Roman"/>
          <w:b/>
          <w:i w:val="0"/>
          <w:sz w:val="24"/>
        </w:rPr>
        <w:t>44% ex parte order rate</w:t>
      </w:r>
      <w:r>
        <w:rPr>
          <w:rFonts w:ascii="Times New Roman" w:hAnsi="Times New Roman"/>
          <w:b w:val="0"/>
          <w:i w:val="0"/>
          <w:sz w:val="24"/>
        </w:rPr>
        <w:t xml:space="preserve"> — 24 of 55 orders (44%) entered ex parte, all against the Father and none against the Mother b. </w:t>
      </w:r>
      <w:r>
        <w:rPr>
          <w:rFonts w:ascii="Times New Roman" w:hAnsi="Times New Roman"/>
          <w:b/>
          <w:i w:val="0"/>
          <w:sz w:val="24"/>
        </w:rPr>
        <w:t>Five (5) ex parte orders</w:t>
      </w:r>
      <w:r>
        <w:rPr>
          <w:rFonts w:ascii="Times New Roman" w:hAnsi="Times New Roman"/>
          <w:b w:val="0"/>
          <w:i w:val="0"/>
          <w:sz w:val="24"/>
        </w:rPr>
        <w:t xml:space="preserve"> entered on a single day (August 8, 2025) without notice c. </w:t>
      </w:r>
      <w:r>
        <w:rPr>
          <w:rFonts w:ascii="Times New Roman" w:hAnsi="Times New Roman"/>
          <w:b/>
          <w:i w:val="0"/>
          <w:sz w:val="24"/>
        </w:rPr>
        <w:t>Seven (7) instances of muting</w:t>
      </w:r>
      <w:r>
        <w:rPr>
          <w:rFonts w:ascii="Times New Roman" w:hAnsi="Times New Roman"/>
          <w:b w:val="0"/>
          <w:i w:val="0"/>
          <w:sz w:val="24"/>
        </w:rPr>
        <w:t xml:space="preserve"> Plaintiff during a single hearing d. Directing court staff (Pamela Rusco) to make prohibited ex parte contact with HealthWest clinicians on October 29, 2025 e. Issuing an adverse order four (4) days after receiving HealthWest clinical findings that contradicted the grounds for parenting time suspension</w:t>
      </w:r>
    </w:p>
    <w:p>
      <w:pPr>
        <w:spacing w:line="480" w:lineRule="auto" w:after="0" w:before="0"/>
      </w:pPr>
      <w:r>
        <w:rPr>
          <w:rFonts w:ascii="Times New Roman" w:hAnsi="Times New Roman"/>
          <w:b w:val="0"/>
          <w:i w:val="0"/>
          <w:sz w:val="24"/>
        </w:rPr>
        <w:t xml:space="preserve">15B. This pattern of conduct satisfies the standard in </w:t>
      </w:r>
      <w:r>
        <w:rPr>
          <w:rFonts w:ascii="Times New Roman" w:hAnsi="Times New Roman"/>
          <w:b w:val="0"/>
          <w:i/>
          <w:sz w:val="24"/>
        </w:rPr>
        <w:t>Caperton v A.T. Massey Coal Co.</w:t>
      </w:r>
      <w:r>
        <w:rPr>
          <w:rFonts w:ascii="Times New Roman" w:hAnsi="Times New Roman"/>
          <w:b w:val="0"/>
          <w:i w:val="0"/>
          <w:sz w:val="24"/>
        </w:rPr>
        <w:t>, 556 U.S. 868, 884 (2009) — "the probability of actual bias on the part of the judge or decisionmaker is too high to be constitutionally tolerable." The writ of mandamus should compel compliance with MCR 2.003(D)(1) and immediate reassignment.</w:t>
      </w:r>
    </w:p>
    <w:p>
      <w:pPr>
        <w:pStyle w:val="Heading3"/>
      </w:pPr>
      <w:r>
        <w:rPr>
          <w:rFonts w:ascii="Times New Roman" w:hAnsi="Times New Roman"/>
        </w:rPr>
        <w:t>F. Specific Michigan Court Rule Violations by the Court</w:t>
      </w:r>
    </w:p>
    <w:p>
      <w:pPr>
        <w:spacing w:line="480" w:lineRule="auto" w:after="0" w:before="0"/>
      </w:pPr>
      <w:r>
        <w:rPr>
          <w:rFonts w:ascii="Times New Roman" w:hAnsi="Times New Roman"/>
          <w:b w:val="0"/>
          <w:i w:val="0"/>
          <w:sz w:val="24"/>
        </w:rPr>
        <w:t>15A. The following specific MCR violations have occurred in this case: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w:t>
            </w:r>
          </w:p>
        </w:tc>
        <w:tc>
          <w:tcPr>
            <w:tcW w:type="dxa" w:w="1872"/>
          </w:tcPr>
          <w:p>
            <w:pPr>
              <w:spacing w:line="240" w:lineRule="auto"/>
            </w:pPr>
            <w:r/>
            <w:r>
              <w:rPr>
                <w:rFonts w:ascii="Times New Roman" w:hAnsi="Times New Roman"/>
                <w:b/>
                <w:sz w:val="24"/>
              </w:rPr>
              <w:t>Rule Violated</w:t>
            </w:r>
          </w:p>
        </w:tc>
        <w:tc>
          <w:tcPr>
            <w:tcW w:type="dxa" w:w="1872"/>
          </w:tcPr>
          <w:p>
            <w:pPr>
              <w:spacing w:line="240" w:lineRule="auto"/>
            </w:pPr>
            <w:r/>
            <w:r>
              <w:rPr>
                <w:rFonts w:ascii="Times New Roman" w:hAnsi="Times New Roman"/>
                <w:b/>
                <w:sz w:val="24"/>
              </w:rPr>
              <w:t>Mandatory Language</w:t>
            </w:r>
          </w:p>
        </w:tc>
        <w:tc>
          <w:tcPr>
            <w:tcW w:type="dxa" w:w="1872"/>
          </w:tcPr>
          <w:p>
            <w:pPr>
              <w:spacing w:line="240" w:lineRule="auto"/>
            </w:pPr>
            <w:r/>
            <w:r>
              <w:rPr>
                <w:rFonts w:ascii="Times New Roman" w:hAnsi="Times New Roman"/>
                <w:b/>
                <w:sz w:val="24"/>
              </w:rPr>
              <w:t>Violation</w:t>
            </w:r>
          </w:p>
        </w:tc>
        <w:tc>
          <w:tcPr>
            <w:tcW w:type="dxa" w:w="1872"/>
          </w:tcPr>
          <w:p>
            <w:pPr>
              <w:spacing w:line="240" w:lineRule="auto"/>
            </w:pPr>
            <w:r/>
            <w:r>
              <w:rPr>
                <w:rFonts w:ascii="Times New Roman" w:hAnsi="Times New Roman"/>
                <w:b/>
                <w:sz w:val="24"/>
              </w:rPr>
              <w:t>Duration</w:t>
            </w:r>
          </w:p>
        </w:tc>
      </w:tr>
      <w:tr>
        <w:tc>
          <w:tcPr>
            <w:tcW w:type="dxa" w:w="1872"/>
          </w:tcPr>
          <w:p>
            <w:pPr>
              <w:spacing w:line="240" w:lineRule="auto"/>
            </w:pPr>
            <w:r/>
            <w:r>
              <w:rPr>
                <w:rFonts w:ascii="Times New Roman" w:hAnsi="Times New Roman"/>
                <w:b w:val="0"/>
                <w:i w:val="0"/>
                <w:sz w:val="24"/>
              </w:rPr>
              <w:t>1</w:t>
            </w:r>
          </w:p>
        </w:tc>
        <w:tc>
          <w:tcPr>
            <w:tcW w:type="dxa" w:w="1872"/>
          </w:tcPr>
          <w:p>
            <w:pPr>
              <w:spacing w:line="240" w:lineRule="auto"/>
            </w:pPr>
            <w:r/>
            <w:r>
              <w:rPr>
                <w:rFonts w:ascii="Times New Roman" w:hAnsi="Times New Roman"/>
                <w:b/>
                <w:i w:val="0"/>
                <w:sz w:val="24"/>
              </w:rPr>
              <w:t>MCR 2.119(E)(1)</w:t>
            </w:r>
          </w:p>
        </w:tc>
        <w:tc>
          <w:tcPr>
            <w:tcW w:type="dxa" w:w="1872"/>
          </w:tcPr>
          <w:p>
            <w:pPr>
              <w:spacing w:line="240" w:lineRule="auto"/>
            </w:pPr>
            <w:r/>
            <w:r>
              <w:rPr>
                <w:rFonts w:ascii="Times New Roman" w:hAnsi="Times New Roman"/>
                <w:b w:val="0"/>
                <w:i w:val="0"/>
                <w:sz w:val="24"/>
              </w:rPr>
              <w:t>Motions '</w:t>
            </w:r>
            <w:r>
              <w:rPr>
                <w:rFonts w:ascii="Times New Roman" w:hAnsi="Times New Roman"/>
                <w:b w:val="0"/>
                <w:i/>
                <w:sz w:val="24"/>
              </w:rPr>
              <w:t>will be heard</w:t>
            </w:r>
            <w:r>
              <w:rPr>
                <w:rFonts w:ascii="Times New Roman" w:hAnsi="Times New Roman"/>
                <w:b w:val="0"/>
                <w:i w:val="0"/>
                <w:sz w:val="24"/>
              </w:rPr>
              <w:t>' within 9-21 days</w:t>
            </w:r>
          </w:p>
        </w:tc>
        <w:tc>
          <w:tcPr>
            <w:tcW w:type="dxa" w:w="1872"/>
          </w:tcPr>
          <w:p>
            <w:pPr>
              <w:spacing w:line="240" w:lineRule="auto"/>
            </w:pPr>
            <w:r/>
            <w:r>
              <w:rPr>
                <w:rFonts w:ascii="Times New Roman" w:hAnsi="Times New Roman"/>
                <w:b w:val="0"/>
                <w:i w:val="0"/>
                <w:sz w:val="24"/>
              </w:rPr>
              <w:t>Motions pending 150+ days without hearing</w:t>
            </w:r>
          </w:p>
        </w:tc>
        <w:tc>
          <w:tcPr>
            <w:tcW w:type="dxa" w:w="1872"/>
          </w:tcPr>
          <w:p>
            <w:pPr>
              <w:spacing w:line="240" w:lineRule="auto"/>
            </w:pPr>
            <w:r/>
            <w:r>
              <w:rPr>
                <w:rFonts w:ascii="Times New Roman" w:hAnsi="Times New Roman"/>
                <w:b w:val="0"/>
                <w:i w:val="0"/>
                <w:sz w:val="24"/>
              </w:rPr>
              <w:t>150+ days</w:t>
            </w:r>
          </w:p>
        </w:tc>
      </w:tr>
      <w:tr>
        <w:tc>
          <w:tcPr>
            <w:tcW w:type="dxa" w:w="1872"/>
          </w:tcPr>
          <w:p>
            <w:pPr>
              <w:spacing w:line="240" w:lineRule="auto"/>
            </w:pPr>
            <w:r/>
            <w:r>
              <w:rPr>
                <w:rFonts w:ascii="Times New Roman" w:hAnsi="Times New Roman"/>
                <w:b w:val="0"/>
                <w:i w:val="0"/>
                <w:sz w:val="24"/>
              </w:rPr>
              <w:t>2</w:t>
            </w:r>
          </w:p>
        </w:tc>
        <w:tc>
          <w:tcPr>
            <w:tcW w:type="dxa" w:w="1872"/>
          </w:tcPr>
          <w:p>
            <w:pPr>
              <w:spacing w:line="240" w:lineRule="auto"/>
            </w:pPr>
            <w:r/>
            <w:r>
              <w:rPr>
                <w:rFonts w:ascii="Times New Roman" w:hAnsi="Times New Roman"/>
                <w:b/>
                <w:i w:val="0"/>
                <w:sz w:val="24"/>
              </w:rPr>
              <w:t>MCR 3.207(C)(5)</w:t>
            </w:r>
          </w:p>
        </w:tc>
        <w:tc>
          <w:tcPr>
            <w:tcW w:type="dxa" w:w="1872"/>
          </w:tcPr>
          <w:p>
            <w:pPr>
              <w:spacing w:line="240" w:lineRule="auto"/>
            </w:pPr>
            <w:r/>
            <w:r>
              <w:rPr>
                <w:rFonts w:ascii="Times New Roman" w:hAnsi="Times New Roman"/>
                <w:b w:val="0"/>
                <w:i w:val="0"/>
                <w:sz w:val="24"/>
              </w:rPr>
              <w:t>Evidentiary hearing required after ex parte suspension</w:t>
            </w:r>
          </w:p>
        </w:tc>
        <w:tc>
          <w:tcPr>
            <w:tcW w:type="dxa" w:w="1872"/>
          </w:tcPr>
          <w:p>
            <w:pPr>
              <w:spacing w:line="240" w:lineRule="auto"/>
            </w:pPr>
            <w:r/>
            <w:r>
              <w:rPr>
                <w:rFonts w:ascii="Times New Roman" w:hAnsi="Times New Roman"/>
                <w:b w:val="0"/>
                <w:i w:val="0"/>
                <w:sz w:val="24"/>
              </w:rPr>
              <w:t>No evidentiary hearing held in 329+ days</w:t>
            </w:r>
          </w:p>
        </w:tc>
        <w:tc>
          <w:tcPr>
            <w:tcW w:type="dxa" w:w="1872"/>
          </w:tcPr>
          <w:p>
            <w:pPr>
              <w:spacing w:line="240" w:lineRule="auto"/>
            </w:pPr>
            <w:r/>
            <w:r>
              <w:rPr>
                <w:rFonts w:ascii="Times New Roman" w:hAnsi="Times New Roman"/>
                <w:b w:val="0"/>
                <w:i w:val="0"/>
                <w:sz w:val="24"/>
              </w:rPr>
              <w:t>329+ days</w:t>
            </w:r>
          </w:p>
        </w:tc>
      </w:tr>
      <w:tr>
        <w:tc>
          <w:tcPr>
            <w:tcW w:type="dxa" w:w="1872"/>
          </w:tcPr>
          <w:p>
            <w:pPr>
              <w:spacing w:line="240" w:lineRule="auto"/>
            </w:pPr>
            <w:r/>
            <w:r>
              <w:rPr>
                <w:rFonts w:ascii="Times New Roman" w:hAnsi="Times New Roman"/>
                <w:b w:val="0"/>
                <w:i w:val="0"/>
                <w:sz w:val="24"/>
              </w:rPr>
              <w:t>3</w:t>
            </w:r>
          </w:p>
        </w:tc>
        <w:tc>
          <w:tcPr>
            <w:tcW w:type="dxa" w:w="1872"/>
          </w:tcPr>
          <w:p>
            <w:pPr>
              <w:spacing w:line="240" w:lineRule="auto"/>
            </w:pPr>
            <w:r/>
            <w:r>
              <w:rPr>
                <w:rFonts w:ascii="Times New Roman" w:hAnsi="Times New Roman"/>
                <w:b/>
                <w:i w:val="0"/>
                <w:sz w:val="24"/>
              </w:rPr>
              <w:t>MCR 3.207(B)</w:t>
            </w:r>
          </w:p>
        </w:tc>
        <w:tc>
          <w:tcPr>
            <w:tcW w:type="dxa" w:w="1872"/>
          </w:tcPr>
          <w:p>
            <w:pPr>
              <w:spacing w:line="240" w:lineRule="auto"/>
            </w:pPr>
            <w:r/>
            <w:r>
              <w:rPr>
                <w:rFonts w:ascii="Times New Roman" w:hAnsi="Times New Roman"/>
                <w:b w:val="0"/>
                <w:i w:val="0"/>
                <w:sz w:val="24"/>
              </w:rPr>
              <w:t>Written findings of endangerment required for ex parte orders</w:t>
            </w:r>
          </w:p>
        </w:tc>
        <w:tc>
          <w:tcPr>
            <w:tcW w:type="dxa" w:w="1872"/>
          </w:tcPr>
          <w:p>
            <w:pPr>
              <w:spacing w:line="240" w:lineRule="auto"/>
            </w:pPr>
            <w:r/>
            <w:r>
              <w:rPr>
                <w:rFonts w:ascii="Times New Roman" w:hAnsi="Times New Roman"/>
                <w:b w:val="0"/>
                <w:i w:val="0"/>
                <w:sz w:val="24"/>
              </w:rPr>
              <w:t>No written findings of endangerment in record</w:t>
            </w:r>
          </w:p>
        </w:tc>
        <w:tc>
          <w:tcPr>
            <w:tcW w:type="dxa" w:w="1872"/>
          </w:tcPr>
          <w:p>
            <w:pPr>
              <w:spacing w:line="240" w:lineRule="auto"/>
            </w:pPr>
            <w:r/>
            <w:r>
              <w:rPr>
                <w:rFonts w:ascii="Times New Roman" w:hAnsi="Times New Roman"/>
                <w:b w:val="0"/>
                <w:i w:val="0"/>
                <w:sz w:val="24"/>
              </w:rPr>
              <w:t>Since 08/08/2025</w:t>
            </w:r>
          </w:p>
        </w:tc>
      </w:tr>
      <w:tr>
        <w:tc>
          <w:tcPr>
            <w:tcW w:type="dxa" w:w="1872"/>
          </w:tcPr>
          <w:p>
            <w:pPr>
              <w:spacing w:line="240" w:lineRule="auto"/>
            </w:pPr>
            <w:r/>
            <w:r>
              <w:rPr>
                <w:rFonts w:ascii="Times New Roman" w:hAnsi="Times New Roman"/>
                <w:b w:val="0"/>
                <w:i w:val="0"/>
                <w:sz w:val="24"/>
              </w:rPr>
              <w:t>4</w:t>
            </w:r>
          </w:p>
        </w:tc>
        <w:tc>
          <w:tcPr>
            <w:tcW w:type="dxa" w:w="1872"/>
          </w:tcPr>
          <w:p>
            <w:pPr>
              <w:spacing w:line="240" w:lineRule="auto"/>
            </w:pPr>
            <w:r/>
            <w:r>
              <w:rPr>
                <w:rFonts w:ascii="Times New Roman" w:hAnsi="Times New Roman"/>
                <w:b/>
                <w:i w:val="0"/>
                <w:sz w:val="24"/>
              </w:rPr>
              <w:t>MCR 2.003(D)(1)</w:t>
            </w:r>
          </w:p>
        </w:tc>
        <w:tc>
          <w:tcPr>
            <w:tcW w:type="dxa" w:w="1872"/>
          </w:tcPr>
          <w:p>
            <w:pPr>
              <w:spacing w:line="240" w:lineRule="auto"/>
            </w:pPr>
            <w:r/>
            <w:r>
              <w:rPr>
                <w:rFonts w:ascii="Times New Roman" w:hAnsi="Times New Roman"/>
                <w:b w:val="0"/>
                <w:i w:val="0"/>
                <w:sz w:val="24"/>
              </w:rPr>
              <w:t>Judge '</w:t>
            </w:r>
            <w:r>
              <w:rPr>
                <w:rFonts w:ascii="Times New Roman" w:hAnsi="Times New Roman"/>
                <w:b w:val="0"/>
                <w:i/>
                <w:sz w:val="24"/>
              </w:rPr>
              <w:t>must</w:t>
            </w:r>
            <w:r>
              <w:rPr>
                <w:rFonts w:ascii="Times New Roman" w:hAnsi="Times New Roman"/>
                <w:b w:val="0"/>
                <w:i w:val="0"/>
                <w:sz w:val="24"/>
              </w:rPr>
              <w:t>' disqualify or refer upon disqualification motion</w:t>
            </w:r>
          </w:p>
        </w:tc>
        <w:tc>
          <w:tcPr>
            <w:tcW w:type="dxa" w:w="1872"/>
          </w:tcPr>
          <w:p>
            <w:pPr>
              <w:spacing w:line="240" w:lineRule="auto"/>
            </w:pPr>
            <w:r/>
            <w:r>
              <w:rPr>
                <w:rFonts w:ascii="Times New Roman" w:hAnsi="Times New Roman"/>
                <w:b w:val="0"/>
                <w:i w:val="0"/>
                <w:sz w:val="24"/>
              </w:rPr>
              <w:t>Motion filed 09/25/2025 — no action taken</w:t>
            </w:r>
          </w:p>
        </w:tc>
        <w:tc>
          <w:tcPr>
            <w:tcW w:type="dxa" w:w="1872"/>
          </w:tcPr>
          <w:p>
            <w:pPr>
              <w:spacing w:line="240" w:lineRule="auto"/>
            </w:pPr>
            <w:r/>
            <w:r>
              <w:rPr>
                <w:rFonts w:ascii="Times New Roman" w:hAnsi="Times New Roman"/>
                <w:b w:val="0"/>
                <w:i w:val="0"/>
                <w:sz w:val="24"/>
              </w:rPr>
              <w:t>150+ days</w:t>
            </w:r>
          </w:p>
        </w:tc>
      </w:tr>
      <w:tr>
        <w:tc>
          <w:tcPr>
            <w:tcW w:type="dxa" w:w="1872"/>
          </w:tcPr>
          <w:p>
            <w:pPr>
              <w:spacing w:line="240" w:lineRule="auto"/>
            </w:pPr>
            <w:r/>
            <w:r>
              <w:rPr>
                <w:rFonts w:ascii="Times New Roman" w:hAnsi="Times New Roman"/>
                <w:b w:val="0"/>
                <w:i w:val="0"/>
                <w:sz w:val="24"/>
              </w:rPr>
              <w:t>5</w:t>
            </w:r>
          </w:p>
        </w:tc>
        <w:tc>
          <w:tcPr>
            <w:tcW w:type="dxa" w:w="1872"/>
          </w:tcPr>
          <w:p>
            <w:pPr>
              <w:spacing w:line="240" w:lineRule="auto"/>
            </w:pPr>
            <w:r/>
            <w:r>
              <w:rPr>
                <w:rFonts w:ascii="Times New Roman" w:hAnsi="Times New Roman"/>
                <w:b/>
                <w:i w:val="0"/>
                <w:sz w:val="24"/>
              </w:rPr>
              <w:t>MCR 2.602(D)</w:t>
            </w:r>
          </w:p>
        </w:tc>
        <w:tc>
          <w:tcPr>
            <w:tcW w:type="dxa" w:w="1872"/>
          </w:tcPr>
          <w:p>
            <w:pPr>
              <w:spacing w:line="240" w:lineRule="auto"/>
            </w:pPr>
            <w:r/>
            <w:r>
              <w:rPr>
                <w:rFonts w:ascii="Times New Roman" w:hAnsi="Times New Roman"/>
                <w:b w:val="0"/>
                <w:i w:val="0"/>
                <w:sz w:val="24"/>
              </w:rPr>
              <w:t>Court '</w:t>
            </w:r>
            <w:r>
              <w:rPr>
                <w:rFonts w:ascii="Times New Roman" w:hAnsi="Times New Roman"/>
                <w:b w:val="0"/>
                <w:i/>
                <w:sz w:val="24"/>
              </w:rPr>
              <w:t>must serve</w:t>
            </w:r>
            <w:r>
              <w:rPr>
                <w:rFonts w:ascii="Times New Roman" w:hAnsi="Times New Roman"/>
                <w:b w:val="0"/>
                <w:i w:val="0"/>
                <w:sz w:val="24"/>
              </w:rPr>
              <w:t>' copies '</w:t>
            </w:r>
            <w:r>
              <w:rPr>
                <w:rFonts w:ascii="Times New Roman" w:hAnsi="Times New Roman"/>
                <w:b w:val="0"/>
                <w:i/>
                <w:sz w:val="24"/>
              </w:rPr>
              <w:t>immediately</w:t>
            </w:r>
            <w:r>
              <w:rPr>
                <w:rFonts w:ascii="Times New Roman" w:hAnsi="Times New Roman"/>
                <w:b w:val="0"/>
                <w:i w:val="0"/>
                <w:sz w:val="24"/>
              </w:rPr>
              <w:t>' after entry</w:t>
            </w:r>
          </w:p>
        </w:tc>
        <w:tc>
          <w:tcPr>
            <w:tcW w:type="dxa" w:w="1872"/>
          </w:tcPr>
          <w:p>
            <w:pPr>
              <w:spacing w:line="240" w:lineRule="auto"/>
            </w:pPr>
            <w:r/>
            <w:r>
              <w:rPr>
                <w:rFonts w:ascii="Times New Roman" w:hAnsi="Times New Roman"/>
                <w:b w:val="0"/>
                <w:i w:val="0"/>
                <w:sz w:val="24"/>
              </w:rPr>
              <w:t>Father not timely served with ex parte orders</w:t>
            </w:r>
          </w:p>
        </w:tc>
        <w:tc>
          <w:tcPr>
            <w:tcW w:type="dxa" w:w="1872"/>
          </w:tcPr>
          <w:p>
            <w:pPr>
              <w:spacing w:line="240" w:lineRule="auto"/>
            </w:pPr>
            <w:r/>
            <w:r>
              <w:rPr>
                <w:rFonts w:ascii="Times New Roman" w:hAnsi="Times New Roman"/>
                <w:b w:val="0"/>
                <w:i w:val="0"/>
                <w:sz w:val="24"/>
              </w:rPr>
              <w:t>Since 08/08/2025</w:t>
            </w:r>
          </w:p>
        </w:tc>
      </w:tr>
      <w:tr>
        <w:tc>
          <w:tcPr>
            <w:tcW w:type="dxa" w:w="1872"/>
          </w:tcPr>
          <w:p>
            <w:pPr>
              <w:spacing w:line="240" w:lineRule="auto"/>
            </w:pPr>
            <w:r/>
            <w:r>
              <w:rPr>
                <w:rFonts w:ascii="Times New Roman" w:hAnsi="Times New Roman"/>
                <w:b w:val="0"/>
                <w:i w:val="0"/>
                <w:sz w:val="24"/>
              </w:rPr>
              <w:t>6</w:t>
            </w:r>
          </w:p>
        </w:tc>
        <w:tc>
          <w:tcPr>
            <w:tcW w:type="dxa" w:w="1872"/>
          </w:tcPr>
          <w:p>
            <w:pPr>
              <w:spacing w:line="240" w:lineRule="auto"/>
            </w:pPr>
            <w:r/>
            <w:r>
              <w:rPr>
                <w:rFonts w:ascii="Times New Roman" w:hAnsi="Times New Roman"/>
                <w:b/>
                <w:i w:val="0"/>
                <w:sz w:val="24"/>
              </w:rPr>
              <w:t>MCR 2.517</w:t>
            </w:r>
          </w:p>
        </w:tc>
        <w:tc>
          <w:tcPr>
            <w:tcW w:type="dxa" w:w="1872"/>
          </w:tcPr>
          <w:p>
            <w:pPr>
              <w:spacing w:line="240" w:lineRule="auto"/>
            </w:pPr>
            <w:r/>
            <w:r>
              <w:rPr>
                <w:rFonts w:ascii="Times New Roman" w:hAnsi="Times New Roman"/>
                <w:b w:val="0"/>
                <w:i w:val="0"/>
                <w:sz w:val="24"/>
              </w:rPr>
              <w:t>Findings of fact and conclusions of law required</w:t>
            </w:r>
          </w:p>
        </w:tc>
        <w:tc>
          <w:tcPr>
            <w:tcW w:type="dxa" w:w="1872"/>
          </w:tcPr>
          <w:p>
            <w:pPr>
              <w:spacing w:line="240" w:lineRule="auto"/>
            </w:pPr>
            <w:r/>
            <w:r>
              <w:rPr>
                <w:rFonts w:ascii="Times New Roman" w:hAnsi="Times New Roman"/>
                <w:b w:val="0"/>
                <w:i w:val="0"/>
                <w:sz w:val="24"/>
              </w:rPr>
              <w:t>No written findings under MCL 722.23 best interest factors</w:t>
            </w:r>
          </w:p>
        </w:tc>
        <w:tc>
          <w:tcPr>
            <w:tcW w:type="dxa" w:w="1872"/>
          </w:tcPr>
          <w:p>
            <w:pPr>
              <w:spacing w:line="240" w:lineRule="auto"/>
            </w:pPr>
            <w:r/>
            <w:r>
              <w:rPr>
                <w:rFonts w:ascii="Times New Roman" w:hAnsi="Times New Roman"/>
                <w:b w:val="0"/>
                <w:i w:val="0"/>
                <w:sz w:val="24"/>
              </w:rPr>
              <w:t>Since 07/17/2024</w:t>
            </w:r>
          </w:p>
        </w:tc>
      </w:tr>
      <w:tr>
        <w:tc>
          <w:tcPr>
            <w:tcW w:type="dxa" w:w="1872"/>
          </w:tcPr>
          <w:p>
            <w:pPr>
              <w:spacing w:line="240" w:lineRule="auto"/>
            </w:pPr>
            <w:r/>
            <w:r>
              <w:rPr>
                <w:rFonts w:ascii="Times New Roman" w:hAnsi="Times New Roman"/>
                <w:b w:val="0"/>
                <w:i w:val="0"/>
                <w:sz w:val="24"/>
              </w:rPr>
              <w:t>7</w:t>
            </w:r>
          </w:p>
        </w:tc>
        <w:tc>
          <w:tcPr>
            <w:tcW w:type="dxa" w:w="1872"/>
          </w:tcPr>
          <w:p>
            <w:pPr>
              <w:spacing w:line="240" w:lineRule="auto"/>
            </w:pPr>
            <w:r/>
            <w:r>
              <w:rPr>
                <w:rFonts w:ascii="Times New Roman" w:hAnsi="Times New Roman"/>
                <w:b/>
                <w:i w:val="0"/>
                <w:sz w:val="24"/>
              </w:rPr>
              <w:t>MCR 8.119</w:t>
            </w:r>
          </w:p>
        </w:tc>
        <w:tc>
          <w:tcPr>
            <w:tcW w:type="dxa" w:w="1872"/>
          </w:tcPr>
          <w:p>
            <w:pPr>
              <w:spacing w:line="240" w:lineRule="auto"/>
            </w:pPr>
            <w:r/>
            <w:r>
              <w:rPr>
                <w:rFonts w:ascii="Times New Roman" w:hAnsi="Times New Roman"/>
                <w:b w:val="0"/>
                <w:i w:val="0"/>
                <w:sz w:val="24"/>
              </w:rPr>
              <w:t>Records must be maintained through clerk's office</w:t>
            </w:r>
          </w:p>
        </w:tc>
        <w:tc>
          <w:tcPr>
            <w:tcW w:type="dxa" w:w="1872"/>
          </w:tcPr>
          <w:p>
            <w:pPr>
              <w:spacing w:line="240" w:lineRule="auto"/>
            </w:pPr>
            <w:r/>
            <w:r>
              <w:rPr>
                <w:rFonts w:ascii="Times New Roman" w:hAnsi="Times New Roman"/>
                <w:b w:val="0"/>
                <w:i w:val="0"/>
                <w:sz w:val="24"/>
              </w:rPr>
              <w:t>Judge directed email to secretary, bypassing clerk</w:t>
            </w:r>
          </w:p>
        </w:tc>
        <w:tc>
          <w:tcPr>
            <w:tcW w:type="dxa" w:w="1872"/>
          </w:tcPr>
          <w:p>
            <w:pPr>
              <w:spacing w:line="240" w:lineRule="auto"/>
            </w:pPr>
            <w:r/>
            <w:r>
              <w:rPr>
                <w:rFonts w:ascii="Times New Roman" w:hAnsi="Times New Roman"/>
                <w:b w:val="0"/>
                <w:i w:val="0"/>
                <w:sz w:val="24"/>
              </w:rPr>
              <w:t>09/05/2025</w:t>
            </w:r>
          </w:p>
        </w:tc>
      </w:tr>
      <w:tr>
        <w:tc>
          <w:tcPr>
            <w:tcW w:type="dxa" w:w="1872"/>
          </w:tcPr>
          <w:p>
            <w:pPr>
              <w:spacing w:line="240" w:lineRule="auto"/>
            </w:pPr>
            <w:r/>
            <w:r>
              <w:rPr>
                <w:rFonts w:ascii="Times New Roman" w:hAnsi="Times New Roman"/>
                <w:b w:val="0"/>
                <w:i w:val="0"/>
                <w:sz w:val="24"/>
              </w:rPr>
              <w:t>8</w:t>
            </w:r>
          </w:p>
        </w:tc>
        <w:tc>
          <w:tcPr>
            <w:tcW w:type="dxa" w:w="1872"/>
          </w:tcPr>
          <w:p>
            <w:pPr>
              <w:spacing w:line="240" w:lineRule="auto"/>
            </w:pPr>
            <w:r/>
            <w:r>
              <w:rPr>
                <w:rFonts w:ascii="Times New Roman" w:hAnsi="Times New Roman"/>
                <w:b/>
                <w:i w:val="0"/>
                <w:sz w:val="24"/>
              </w:rPr>
              <w:t>MCR 2.003(C)(1)(a)</w:t>
            </w:r>
          </w:p>
        </w:tc>
        <w:tc>
          <w:tcPr>
            <w:tcW w:type="dxa" w:w="1872"/>
          </w:tcPr>
          <w:p>
            <w:pPr>
              <w:spacing w:line="240" w:lineRule="auto"/>
            </w:pPr>
            <w:r/>
            <w:r>
              <w:rPr>
                <w:rFonts w:ascii="Times New Roman" w:hAnsi="Times New Roman"/>
                <w:b w:val="0"/>
                <w:i w:val="0"/>
                <w:sz w:val="24"/>
              </w:rPr>
              <w:t>No ex parte communications by court staff</w:t>
            </w:r>
          </w:p>
        </w:tc>
        <w:tc>
          <w:tcPr>
            <w:tcW w:type="dxa" w:w="1872"/>
          </w:tcPr>
          <w:p>
            <w:pPr>
              <w:spacing w:line="240" w:lineRule="auto"/>
            </w:pPr>
            <w:r/>
            <w:r>
              <w:rPr>
                <w:rFonts w:ascii="Times New Roman" w:hAnsi="Times New Roman"/>
                <w:b w:val="0"/>
                <w:i w:val="0"/>
                <w:sz w:val="24"/>
              </w:rPr>
              <w:t>Rusco called HealthWest 10/29/2025 to arrange testimony</w:t>
            </w:r>
          </w:p>
        </w:tc>
        <w:tc>
          <w:tcPr>
            <w:tcW w:type="dxa" w:w="1872"/>
          </w:tcPr>
          <w:p>
            <w:pPr>
              <w:spacing w:line="240" w:lineRule="auto"/>
            </w:pPr>
            <w:r/>
            <w:r>
              <w:rPr>
                <w:rFonts w:ascii="Times New Roman" w:hAnsi="Times New Roman"/>
                <w:b w:val="0"/>
                <w:i w:val="0"/>
                <w:sz w:val="24"/>
              </w:rPr>
              <w:t>10/29/2025</w:t>
            </w:r>
          </w:p>
        </w:tc>
      </w:tr>
      <w:tr>
        <w:tc>
          <w:tcPr>
            <w:tcW w:type="dxa" w:w="1872"/>
          </w:tcPr>
          <w:p>
            <w:pPr>
              <w:spacing w:line="240" w:lineRule="auto"/>
            </w:pPr>
            <w:r/>
            <w:r>
              <w:rPr>
                <w:rFonts w:ascii="Times New Roman" w:hAnsi="Times New Roman"/>
                <w:b w:val="0"/>
                <w:i w:val="0"/>
                <w:sz w:val="24"/>
              </w:rPr>
              <w:t>9</w:t>
            </w:r>
          </w:p>
        </w:tc>
        <w:tc>
          <w:tcPr>
            <w:tcW w:type="dxa" w:w="1872"/>
          </w:tcPr>
          <w:p>
            <w:pPr>
              <w:spacing w:line="240" w:lineRule="auto"/>
            </w:pPr>
            <w:r/>
            <w:r>
              <w:rPr>
                <w:rFonts w:ascii="Times New Roman" w:hAnsi="Times New Roman"/>
                <w:b/>
                <w:i w:val="0"/>
                <w:sz w:val="24"/>
              </w:rPr>
              <w:t>MCR 1.109/2.119</w:t>
            </w:r>
          </w:p>
        </w:tc>
        <w:tc>
          <w:tcPr>
            <w:tcW w:type="dxa" w:w="1872"/>
          </w:tcPr>
          <w:p>
            <w:pPr>
              <w:spacing w:line="240" w:lineRule="auto"/>
            </w:pPr>
            <w:r/>
            <w:r>
              <w:rPr>
                <w:rFonts w:ascii="Times New Roman" w:hAnsi="Times New Roman"/>
                <w:b w:val="0"/>
                <w:i w:val="0"/>
                <w:sz w:val="24"/>
              </w:rPr>
              <w:t>No filing fees without vexatious litigant finding (MCL 600.5701)</w:t>
            </w:r>
          </w:p>
        </w:tc>
        <w:tc>
          <w:tcPr>
            <w:tcW w:type="dxa" w:w="1872"/>
          </w:tcPr>
          <w:p>
            <w:pPr>
              <w:spacing w:line="240" w:lineRule="auto"/>
            </w:pPr>
            <w:r/>
            <w:r>
              <w:rPr>
                <w:rFonts w:ascii="Times New Roman" w:hAnsi="Times New Roman"/>
                <w:b w:val="0"/>
                <w:i w:val="0"/>
                <w:sz w:val="24"/>
              </w:rPr>
              <w:t>$250 sanction imposed for filing motions</w:t>
            </w:r>
          </w:p>
        </w:tc>
        <w:tc>
          <w:tcPr>
            <w:tcW w:type="dxa" w:w="1872"/>
          </w:tcPr>
          <w:p>
            <w:pPr>
              <w:spacing w:line="240" w:lineRule="auto"/>
            </w:pPr>
            <w:r/>
            <w:r>
              <w:rPr>
                <w:rFonts w:ascii="Times New Roman" w:hAnsi="Times New Roman"/>
                <w:b w:val="0"/>
                <w:i w:val="0"/>
                <w:sz w:val="24"/>
              </w:rPr>
              <w:t>Since 07/17/2024</w:t>
            </w:r>
          </w:p>
        </w:tc>
      </w:tr>
      <w:tr>
        <w:tc>
          <w:tcPr>
            <w:tcW w:type="dxa" w:w="1872"/>
          </w:tcPr>
          <w:p>
            <w:pPr>
              <w:spacing w:line="240" w:lineRule="auto"/>
            </w:pPr>
            <w:r/>
            <w:r>
              <w:rPr>
                <w:rFonts w:ascii="Times New Roman" w:hAnsi="Times New Roman"/>
                <w:b w:val="0"/>
                <w:i w:val="0"/>
                <w:sz w:val="24"/>
              </w:rPr>
              <w:t>10</w:t>
            </w:r>
          </w:p>
        </w:tc>
        <w:tc>
          <w:tcPr>
            <w:tcW w:type="dxa" w:w="1872"/>
          </w:tcPr>
          <w:p>
            <w:pPr>
              <w:spacing w:line="240" w:lineRule="auto"/>
            </w:pPr>
            <w:r/>
            <w:r>
              <w:rPr>
                <w:rFonts w:ascii="Times New Roman" w:hAnsi="Times New Roman"/>
                <w:b/>
                <w:i w:val="0"/>
                <w:sz w:val="24"/>
              </w:rPr>
              <w:t>MCR 3.210(D)</w:t>
            </w:r>
          </w:p>
        </w:tc>
        <w:tc>
          <w:tcPr>
            <w:tcW w:type="dxa" w:w="1872"/>
          </w:tcPr>
          <w:p>
            <w:pPr>
              <w:spacing w:line="240" w:lineRule="auto"/>
            </w:pPr>
            <w:r/>
            <w:r>
              <w:rPr>
                <w:rFonts w:ascii="Times New Roman" w:hAnsi="Times New Roman"/>
                <w:b w:val="0"/>
                <w:i w:val="0"/>
                <w:sz w:val="24"/>
              </w:rPr>
              <w:t>Proper referral process for evaluations</w:t>
            </w:r>
          </w:p>
        </w:tc>
        <w:tc>
          <w:tcPr>
            <w:tcW w:type="dxa" w:w="1872"/>
          </w:tcPr>
          <w:p>
            <w:pPr>
              <w:spacing w:line="240" w:lineRule="auto"/>
            </w:pPr>
            <w:r/>
            <w:r>
              <w:rPr>
                <w:rFonts w:ascii="Times New Roman" w:hAnsi="Times New Roman"/>
                <w:b w:val="0"/>
                <w:i w:val="0"/>
                <w:sz w:val="24"/>
              </w:rPr>
              <w:t>Court directed HealthWest evaluation submission to secretary, not clerk</w:t>
            </w:r>
          </w:p>
        </w:tc>
        <w:tc>
          <w:tcPr>
            <w:tcW w:type="dxa" w:w="1872"/>
          </w:tcPr>
          <w:p>
            <w:pPr>
              <w:spacing w:line="240" w:lineRule="auto"/>
            </w:pPr>
            <w:r/>
            <w:r>
              <w:rPr>
                <w:rFonts w:ascii="Times New Roman" w:hAnsi="Times New Roman"/>
                <w:b w:val="0"/>
                <w:i w:val="0"/>
                <w:sz w:val="24"/>
              </w:rPr>
              <w:t>08/22/2025</w:t>
            </w:r>
          </w:p>
        </w:tc>
      </w:tr>
    </w:tbl>
    <w:p>
      <w:pPr>
        <w:spacing w:line="480" w:lineRule="auto" w:after="0" w:before="0"/>
      </w:pPr>
      <w:r>
        <w:rPr>
          <w:rFonts w:ascii="Times New Roman" w:hAnsi="Times New Roman"/>
          <w:b w:val="0"/>
          <w:i w:val="0"/>
          <w:sz w:val="24"/>
        </w:rPr>
        <w:t>15B. Each of these violations involves mandatory court duties — duties that are ministerial in nature and require no exercise of judicial discretion. The mandatory language of each rule ('must,' 'shall,' 'will') confirms the ministerial nature of these duties.</w:t>
      </w:r>
    </w:p>
    <w:p>
      <w:pPr>
        <w:pStyle w:val="Heading3"/>
      </w:pPr>
      <w:r>
        <w:rPr>
          <w:rFonts w:ascii="Times New Roman" w:hAnsi="Times New Roman"/>
        </w:rPr>
        <w:t>C. Failure to Produce Transcripts</w:t>
      </w:r>
    </w:p>
    <w:p>
      <w:pPr>
        <w:spacing w:line="480" w:lineRule="auto" w:after="0" w:before="0"/>
      </w:pPr>
      <w:r>
        <w:rPr>
          <w:rFonts w:ascii="Times New Roman" w:hAnsi="Times New Roman"/>
          <w:b/>
          <w:sz w:val="24"/>
        </w:rPr>
        <w:t xml:space="preserve">16. </w:t>
      </w:r>
      <w:r>
        <w:rPr>
          <w:rFonts w:ascii="Times New Roman" w:hAnsi="Times New Roman"/>
          <w:b w:val="0"/>
          <w:i w:val="0"/>
          <w:sz w:val="24"/>
        </w:rPr>
        <w:t>Plaintiff has requested transcripts of proceedings in Case No. 2024-001507-DC.</w:t>
      </w:r>
    </w:p>
    <w:p>
      <w:pPr>
        <w:spacing w:line="480" w:lineRule="auto" w:after="0" w:before="0"/>
      </w:pPr>
      <w:r>
        <w:rPr>
          <w:rFonts w:ascii="Times New Roman" w:hAnsi="Times New Roman"/>
          <w:b/>
          <w:sz w:val="24"/>
        </w:rPr>
        <w:t xml:space="preserve">17. </w:t>
      </w:r>
      <w:r>
        <w:rPr>
          <w:rFonts w:ascii="Times New Roman" w:hAnsi="Times New Roman"/>
          <w:b w:val="0"/>
          <w:i w:val="0"/>
          <w:sz w:val="24"/>
        </w:rPr>
        <w:t>MCR 8.108(B) and Michigan Constitution Article 1, § 20 guarantee the right to a transcript of proceedings.</w:t>
      </w:r>
    </w:p>
    <w:p>
      <w:pPr>
        <w:spacing w:line="480" w:lineRule="auto" w:after="0" w:before="0"/>
      </w:pPr>
      <w:r>
        <w:rPr>
          <w:rFonts w:ascii="Times New Roman" w:hAnsi="Times New Roman"/>
          <w:b/>
          <w:sz w:val="24"/>
        </w:rPr>
        <w:t xml:space="preserve">18. </w:t>
      </w:r>
      <w:r>
        <w:rPr>
          <w:rFonts w:ascii="Times New Roman" w:hAnsi="Times New Roman"/>
          <w:b w:val="0"/>
          <w:i w:val="0"/>
          <w:sz w:val="24"/>
        </w:rPr>
        <w:t>Court Reporter Stephanie Deater (CER-16139; 15729 Mercury Drive, Grand Haven, MI 49417) transcribed hearings in the PPO-related proceedings.</w:t>
      </w:r>
    </w:p>
    <w:p>
      <w:pPr>
        <w:spacing w:line="480" w:lineRule="auto" w:after="0" w:before="0"/>
      </w:pPr>
      <w:r>
        <w:rPr>
          <w:rFonts w:ascii="Times New Roman" w:hAnsi="Times New Roman"/>
          <w:b/>
          <w:sz w:val="24"/>
        </w:rPr>
        <w:t xml:space="preserve">19. </w:t>
      </w:r>
      <w:r>
        <w:rPr>
          <w:rFonts w:ascii="Times New Roman" w:hAnsi="Times New Roman"/>
          <w:b w:val="0"/>
          <w:i w:val="0"/>
          <w:sz w:val="24"/>
        </w:rPr>
        <w:t>Despite requests, complete transcripts have not been provided, depriving Plaintiff of the ability to effectively appeal or challenge the Court's rulings.</w:t>
      </w:r>
    </w:p>
    <w:p>
      <w:pPr>
        <w:pStyle w:val="Heading3"/>
      </w:pPr>
      <w:r>
        <w:rPr>
          <w:rFonts w:ascii="Times New Roman" w:hAnsi="Times New Roman"/>
        </w:rPr>
        <w:t>D. Failure to Provide Copies of All Orders</w:t>
      </w:r>
    </w:p>
    <w:p>
      <w:pPr>
        <w:spacing w:line="480" w:lineRule="auto" w:after="0" w:before="0"/>
      </w:pPr>
      <w:r>
        <w:rPr>
          <w:rFonts w:ascii="Times New Roman" w:hAnsi="Times New Roman"/>
          <w:b/>
          <w:sz w:val="24"/>
        </w:rPr>
        <w:t xml:space="preserve">20. </w:t>
      </w:r>
      <w:r>
        <w:rPr>
          <w:rFonts w:ascii="Times New Roman" w:hAnsi="Times New Roman"/>
          <w:b w:val="0"/>
          <w:i w:val="0"/>
          <w:sz w:val="24"/>
        </w:rPr>
        <w:t>Plaintiff has a right to receive copies of all orders entered in his case.</w:t>
      </w:r>
    </w:p>
    <w:p>
      <w:pPr>
        <w:spacing w:line="480" w:lineRule="auto" w:after="0" w:before="0"/>
      </w:pPr>
      <w:r>
        <w:rPr>
          <w:rFonts w:ascii="Times New Roman" w:hAnsi="Times New Roman"/>
          <w:b/>
          <w:sz w:val="24"/>
        </w:rPr>
        <w:t xml:space="preserve">21. </w:t>
      </w:r>
      <w:r>
        <w:rPr>
          <w:rFonts w:ascii="Times New Roman" w:hAnsi="Times New Roman"/>
          <w:b w:val="0"/>
          <w:i w:val="0"/>
          <w:sz w:val="24"/>
        </w:rPr>
        <w:t>MCR 2.602(D) provides: "Immediately after the entry or signing of an order, the court must serve attested copies on all parties."</w:t>
      </w:r>
    </w:p>
    <w:p>
      <w:pPr>
        <w:spacing w:line="480" w:lineRule="auto" w:after="0" w:before="0"/>
      </w:pPr>
      <w:r>
        <w:rPr>
          <w:rFonts w:ascii="Times New Roman" w:hAnsi="Times New Roman"/>
          <w:b/>
          <w:sz w:val="24"/>
        </w:rPr>
        <w:t xml:space="preserve">22. </w:t>
      </w:r>
      <w:r>
        <w:rPr>
          <w:rFonts w:ascii="Times New Roman" w:hAnsi="Times New Roman"/>
          <w:b w:val="0"/>
          <w:i w:val="0"/>
          <w:sz w:val="24"/>
        </w:rPr>
        <w:t>Plaintiff has not received timely copies of all orders, including the five (5) ex parte orders entered on August 8, 2025. This constitutes a violation of Plaintiff's due process rights under the 14th Amendment to the U.S. Constitution and Michigan Constitution Article 1, § 17.</w:t>
      </w:r>
    </w:p>
    <w:p>
      <w:pPr>
        <w:pStyle w:val="Heading2"/>
      </w:pPr>
      <w:r>
        <w:rPr>
          <w:rFonts w:ascii="Times New Roman" w:hAnsi="Times New Roman"/>
        </w:rPr>
        <w:t>IV. CLEAR LEGAL RIGHT</w:t>
      </w:r>
    </w:p>
    <w:p>
      <w:pPr>
        <w:spacing w:line="480" w:lineRule="auto" w:after="0" w:before="0"/>
      </w:pPr>
      <w:r>
        <w:rPr>
          <w:rFonts w:ascii="Times New Roman" w:hAnsi="Times New Roman"/>
          <w:b/>
          <w:sz w:val="24"/>
        </w:rPr>
        <w:t xml:space="preserve">23. </w:t>
      </w:r>
      <w:r>
        <w:rPr>
          <w:rFonts w:ascii="Times New Roman" w:hAnsi="Times New Roman"/>
          <w:b w:val="0"/>
          <w:i w:val="0"/>
          <w:sz w:val="24"/>
        </w:rPr>
        <w:t>Plaintiff has a clear legal right to:</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Hearings on pending motions</w:t>
      </w:r>
      <w:r>
        <w:rPr>
          <w:rFonts w:ascii="Times New Roman" w:hAnsi="Times New Roman"/>
          <w:b w:val="0"/>
          <w:i w:val="0"/>
          <w:sz w:val="24"/>
        </w:rPr>
        <w:t xml:space="preserve"> within the time specified by MCR 2.119(E)(1) b. </w:t>
      </w:r>
      <w:r>
        <w:rPr>
          <w:rFonts w:ascii="Times New Roman" w:hAnsi="Times New Roman"/>
          <w:b/>
          <w:i w:val="0"/>
          <w:sz w:val="24"/>
        </w:rPr>
        <w:t>Compliance with MCR 2.003(D)(1)</w:t>
      </w:r>
      <w:r>
        <w:rPr>
          <w:rFonts w:ascii="Times New Roman" w:hAnsi="Times New Roman"/>
          <w:b w:val="0"/>
          <w:i w:val="0"/>
          <w:sz w:val="24"/>
        </w:rPr>
        <w:t xml:space="preserve"> regarding the disqualification motion c. </w:t>
      </w:r>
      <w:r>
        <w:rPr>
          <w:rFonts w:ascii="Times New Roman" w:hAnsi="Times New Roman"/>
          <w:b/>
          <w:i w:val="0"/>
          <w:sz w:val="24"/>
        </w:rPr>
        <w:t>Transcripts of proceedings</w:t>
      </w:r>
      <w:r>
        <w:rPr>
          <w:rFonts w:ascii="Times New Roman" w:hAnsi="Times New Roman"/>
          <w:b w:val="0"/>
          <w:i w:val="0"/>
          <w:sz w:val="24"/>
        </w:rPr>
        <w:t xml:space="preserve"> under MCR 8.108(B) and Const. Art. 1, § 20 d. </w:t>
      </w:r>
      <w:r>
        <w:rPr>
          <w:rFonts w:ascii="Times New Roman" w:hAnsi="Times New Roman"/>
          <w:b/>
          <w:i w:val="0"/>
          <w:sz w:val="24"/>
        </w:rPr>
        <w:t>Copies of all orders</w:t>
      </w:r>
      <w:r>
        <w:rPr>
          <w:rFonts w:ascii="Times New Roman" w:hAnsi="Times New Roman"/>
          <w:b w:val="0"/>
          <w:i w:val="0"/>
          <w:sz w:val="24"/>
        </w:rPr>
        <w:t xml:space="preserve"> under MCR 2.602(D)</w:t>
      </w:r>
    </w:p>
    <w:p>
      <w:pPr>
        <w:pStyle w:val="Heading2"/>
      </w:pPr>
      <w:r>
        <w:rPr>
          <w:rFonts w:ascii="Times New Roman" w:hAnsi="Times New Roman"/>
        </w:rPr>
        <w:t>V. CLEAR LEGAL DUTY</w:t>
      </w:r>
    </w:p>
    <w:p>
      <w:pPr>
        <w:spacing w:line="480" w:lineRule="auto" w:after="0" w:before="0"/>
      </w:pPr>
      <w:r>
        <w:rPr>
          <w:rFonts w:ascii="Times New Roman" w:hAnsi="Times New Roman"/>
          <w:b/>
          <w:sz w:val="24"/>
        </w:rPr>
        <w:t xml:space="preserve">24. </w:t>
      </w:r>
      <w:r>
        <w:rPr>
          <w:rFonts w:ascii="Times New Roman" w:hAnsi="Times New Roman"/>
          <w:b w:val="0"/>
          <w:i w:val="0"/>
          <w:sz w:val="24"/>
        </w:rPr>
        <w:t>The Court has a clear legal duty to perform each of the acts described above. These duties are mandated by court rule and constitutional provision, and the language of the applicable rules is mandatory ("must," "will"), not permissive.</w:t>
      </w:r>
    </w:p>
    <w:p>
      <w:pPr>
        <w:pStyle w:val="Heading2"/>
      </w:pPr>
      <w:r>
        <w:rPr>
          <w:rFonts w:ascii="Times New Roman" w:hAnsi="Times New Roman"/>
        </w:rPr>
        <w:t>VI. MINISTERIAL NATURE</w:t>
      </w:r>
    </w:p>
    <w:p>
      <w:pPr>
        <w:spacing w:line="480" w:lineRule="auto" w:after="0" w:before="0"/>
      </w:pPr>
      <w:r>
        <w:rPr>
          <w:rFonts w:ascii="Times New Roman" w:hAnsi="Times New Roman"/>
          <w:b/>
          <w:sz w:val="24"/>
        </w:rPr>
        <w:t xml:space="preserve">25. </w:t>
      </w:r>
      <w:r>
        <w:rPr>
          <w:rFonts w:ascii="Times New Roman" w:hAnsi="Times New Roman"/>
          <w:b w:val="0"/>
          <w:i w:val="0"/>
          <w:sz w:val="24"/>
        </w:rPr>
        <w:t>Each of the duties at issue is ministerial in nature — they require no exercise of judicial discretion:</w:t>
      </w:r>
    </w:p>
    <w:p>
      <w:pPr>
        <w:spacing w:line="480" w:lineRule="auto" w:after="0" w:before="0"/>
      </w:pPr>
      <w:r>
        <w:rPr>
          <w:rFonts w:ascii="Times New Roman" w:hAnsi="Times New Roman"/>
          <w:b w:val="0"/>
          <w:i w:val="0"/>
          <w:sz w:val="24"/>
        </w:rPr>
        <w:t>a. Scheduling hearings: the court rules mandate timing; scheduling is an administrative function b. Processing disqualification motions: MCR 2.003(D)(1) prescribes the exact procedure c. Producing transcripts: this is an administrative function of the court reporter d. Serving copies of orders: MCR 2.602(D) mandates immediate service</w:t>
      </w:r>
    </w:p>
    <w:p>
      <w:pPr>
        <w:pStyle w:val="Heading2"/>
      </w:pPr>
      <w:r>
        <w:rPr>
          <w:rFonts w:ascii="Times New Roman" w:hAnsi="Times New Roman"/>
        </w:rPr>
        <w:t>VII. NO ADEQUATE ALTERNATIVE REMEDY</w:t>
      </w:r>
    </w:p>
    <w:p>
      <w:pPr>
        <w:spacing w:line="480" w:lineRule="auto" w:after="0" w:before="0"/>
      </w:pPr>
      <w:r>
        <w:rPr>
          <w:rFonts w:ascii="Times New Roman" w:hAnsi="Times New Roman"/>
          <w:b/>
          <w:sz w:val="24"/>
        </w:rPr>
        <w:t xml:space="preserve">26. </w:t>
      </w:r>
      <w:r>
        <w:rPr>
          <w:rFonts w:ascii="Times New Roman" w:hAnsi="Times New Roman"/>
          <w:b w:val="0"/>
          <w:i w:val="0"/>
          <w:sz w:val="24"/>
        </w:rPr>
        <w:t>Plaintiff has no adequate legal remedy other than mandamus:</w:t>
      </w:r>
    </w:p>
    <w:p>
      <w:pPr>
        <w:spacing w:line="480" w:lineRule="auto" w:after="0" w:before="0"/>
      </w:pPr>
      <w:r>
        <w:rPr>
          <w:rFonts w:ascii="Times New Roman" w:hAnsi="Times New Roman"/>
          <w:b w:val="0"/>
          <w:i w:val="0"/>
          <w:sz w:val="24"/>
        </w:rPr>
        <w:t>a. The underlying motions cannot be adjudicated if hearings are never scheduled b. The disqualification motion cannot be resolved if the mandatory procedure is not followed c. Appeal is inadequate because there is no final order to appeal from when motions remain unheard d. The ongoing deprivation of parental rights (329+ days) makes delay unacceptable</w:t>
      </w:r>
    </w:p>
    <w:p>
      <w:r>
        <w:br w:type="page"/>
      </w:r>
    </w:p>
    <w:p>
      <w:pPr>
        <w:spacing w:line="480" w:lineRule="auto" w:after="240" w:before="0"/>
        <w:jc w:val="center"/>
      </w:pPr>
      <w:r>
        <w:rPr>
          <w:rFonts w:ascii="Times New Roman" w:hAnsi="Times New Roman"/>
          <w:b/>
          <w:i w:val="0"/>
          <w:sz w:val="24"/>
        </w:rPr>
        <w:t>PART II: BRIEF IN SUPPORT OF VERIFIED COMPLAINT FOR WRIT OF MANDAMUS</w:t>
      </w:r>
    </w:p>
    <w:p>
      <w:r>
        <w:br w:type="page"/>
      </w:r>
    </w:p>
    <w:p>
      <w:pPr>
        <w:pStyle w:val="Heading2"/>
      </w:pPr>
      <w:r>
        <w:rPr>
          <w:rFonts w:ascii="Times New Roman" w:hAnsi="Times New Roman"/>
        </w:rPr>
        <w:t>I. STANDARD FOR MANDAMUS RELIEF</w:t>
      </w:r>
    </w:p>
    <w:p>
      <w:pPr>
        <w:spacing w:line="480" w:lineRule="auto" w:after="0" w:before="0"/>
      </w:pPr>
      <w:r>
        <w:rPr>
          <w:rFonts w:ascii="Times New Roman" w:hAnsi="Times New Roman"/>
          <w:b/>
          <w:sz w:val="24"/>
        </w:rPr>
        <w:t xml:space="preserve">27. </w:t>
      </w:r>
      <w:r>
        <w:rPr>
          <w:rFonts w:ascii="Times New Roman" w:hAnsi="Times New Roman"/>
          <w:b w:val="0"/>
          <w:i w:val="0"/>
          <w:sz w:val="24"/>
        </w:rPr>
        <w:t>A writ of mandamus is an extraordinary remedy that may be issued to compel the performance of a ministerial act by a public officer or governmental entity. MCL 600.5701; MCR 3.305.</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The Michigan Supreme Court has held that mandamus lies where: "(1) the party seeking the writ has a clear legal right to performance of the specific duty sought; (2) the defendant has a clear legal duty to perform the act; (3) the act is ministerial in nature; and (4) no other adequate legal remedy exists." </w:t>
      </w:r>
      <w:r>
        <w:rPr>
          <w:rFonts w:ascii="Times New Roman" w:hAnsi="Times New Roman"/>
          <w:b w:val="0"/>
          <w:i/>
          <w:sz w:val="24"/>
        </w:rPr>
        <w:t>Taxpayers Allied for Constitutional Taxation v Wayne County</w:t>
      </w:r>
      <w:r>
        <w:rPr>
          <w:rFonts w:ascii="Times New Roman" w:hAnsi="Times New Roman"/>
          <w:b w:val="0"/>
          <w:i w:val="0"/>
          <w:sz w:val="24"/>
        </w:rPr>
        <w:t>, 450 Mich 119, 129 (1995).</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A ministerial act is one "which a person performs in a given state of facts in a prescribed manner, in obedience to the mandate of legal authority, and without regard to the exercise of his own judgment upon the propriety of the act being done." </w:t>
      </w:r>
      <w:r>
        <w:rPr>
          <w:rFonts w:ascii="Times New Roman" w:hAnsi="Times New Roman"/>
          <w:b w:val="0"/>
          <w:i/>
          <w:sz w:val="24"/>
        </w:rPr>
        <w:t>Toan v McGinn</w:t>
      </w:r>
      <w:r>
        <w:rPr>
          <w:rFonts w:ascii="Times New Roman" w:hAnsi="Times New Roman"/>
          <w:b w:val="0"/>
          <w:i w:val="0"/>
          <w:sz w:val="24"/>
        </w:rPr>
        <w:t>, 271 Mich 28, 34 (1935).</w:t>
      </w:r>
    </w:p>
    <w:p>
      <w:pPr>
        <w:pStyle w:val="Heading2"/>
      </w:pPr>
      <w:r>
        <w:rPr>
          <w:rFonts w:ascii="Times New Roman" w:hAnsi="Times New Roman"/>
        </w:rPr>
        <w:t>II. ALL FOUR ELEMENTS ARE MET</w:t>
      </w:r>
    </w:p>
    <w:p>
      <w:pPr>
        <w:pStyle w:val="Heading3"/>
      </w:pPr>
      <w:r>
        <w:rPr>
          <w:rFonts w:ascii="Times New Roman" w:hAnsi="Times New Roman"/>
        </w:rPr>
        <w:t>A. Clear Legal Right</w:t>
      </w:r>
    </w:p>
    <w:p>
      <w:pPr>
        <w:spacing w:line="480" w:lineRule="auto" w:after="0" w:before="0"/>
      </w:pPr>
      <w:r>
        <w:rPr>
          <w:rFonts w:ascii="Times New Roman" w:hAnsi="Times New Roman"/>
          <w:b/>
          <w:sz w:val="24"/>
        </w:rPr>
        <w:t xml:space="preserve">30. </w:t>
      </w:r>
      <w:r>
        <w:rPr>
          <w:rFonts w:ascii="Times New Roman" w:hAnsi="Times New Roman"/>
          <w:b w:val="0"/>
          <w:i w:val="0"/>
          <w:sz w:val="24"/>
        </w:rPr>
        <w:t>Plaintiff's right to hearings on pending motions is established by MCR 2.119(E)(1) and the due process clauses of the U.S. Constitution (14th Amendment) and Michigan Constitution (Art. 1, § 17).</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The fundamental nature of parental rights elevates this right to the highest level of constitutional protection.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32. </w:t>
      </w:r>
      <w:r>
        <w:rPr>
          <w:rFonts w:ascii="Times New Roman" w:hAnsi="Times New Roman"/>
          <w:b w:val="0"/>
          <w:i w:val="0"/>
          <w:sz w:val="24"/>
        </w:rPr>
        <w:t>When a parent's rights have been effectively terminated through an ex parte order that has persisted for 329+ days without hearing, the failure to schedule a hearing is itself a due process violation of the most extreme kind.</w:t>
      </w:r>
    </w:p>
    <w:p>
      <w:pPr>
        <w:pStyle w:val="Heading3"/>
      </w:pPr>
      <w:r>
        <w:rPr>
          <w:rFonts w:ascii="Times New Roman" w:hAnsi="Times New Roman"/>
        </w:rPr>
        <w:t>B. Clear Legal Duty</w:t>
      </w:r>
    </w:p>
    <w:p>
      <w:pPr>
        <w:spacing w:line="480" w:lineRule="auto" w:after="0" w:before="0"/>
      </w:pPr>
      <w:r>
        <w:rPr>
          <w:rFonts w:ascii="Times New Roman" w:hAnsi="Times New Roman"/>
          <w:b/>
          <w:sz w:val="24"/>
        </w:rPr>
        <w:t xml:space="preserve">33. </w:t>
      </w:r>
      <w:r>
        <w:rPr>
          <w:rFonts w:ascii="Times New Roman" w:hAnsi="Times New Roman"/>
          <w:b w:val="0"/>
          <w:i w:val="0"/>
          <w:sz w:val="24"/>
        </w:rPr>
        <w:t>MCR 2.119(E)(1) uses mandatory language: motions "will be heard" within specified timeframes. This is not discretionary.</w:t>
      </w:r>
    </w:p>
    <w:p>
      <w:pPr>
        <w:spacing w:line="480" w:lineRule="auto" w:after="0" w:before="0"/>
      </w:pPr>
      <w:r>
        <w:rPr>
          <w:rFonts w:ascii="Times New Roman" w:hAnsi="Times New Roman"/>
          <w:b/>
          <w:sz w:val="24"/>
        </w:rPr>
        <w:t xml:space="preserve">34. </w:t>
      </w:r>
      <w:r>
        <w:rPr>
          <w:rFonts w:ascii="Times New Roman" w:hAnsi="Times New Roman"/>
          <w:b w:val="0"/>
          <w:i w:val="0"/>
          <w:sz w:val="24"/>
        </w:rPr>
        <w:t>MCR 2.003(D)(1) uses mandatory language: the judge "must" either disqualify or refer. There is no option to simply ignore the motion.</w:t>
      </w:r>
    </w:p>
    <w:p>
      <w:pPr>
        <w:spacing w:line="480" w:lineRule="auto" w:after="0" w:before="0"/>
      </w:pPr>
      <w:r>
        <w:rPr>
          <w:rFonts w:ascii="Times New Roman" w:hAnsi="Times New Roman"/>
          <w:b/>
          <w:sz w:val="24"/>
        </w:rPr>
        <w:t xml:space="preserve">35. </w:t>
      </w:r>
      <w:r>
        <w:rPr>
          <w:rFonts w:ascii="Times New Roman" w:hAnsi="Times New Roman"/>
          <w:b w:val="0"/>
          <w:i w:val="0"/>
          <w:sz w:val="24"/>
        </w:rPr>
        <w:t>MCR 3.207(C)(5) requires an evidentiary hearing when parenting time has been suspended ex parte. This hearing has never been held despite 329+ days of suspension.</w:t>
      </w:r>
    </w:p>
    <w:p>
      <w:pPr>
        <w:spacing w:line="480" w:lineRule="auto" w:after="0" w:before="0"/>
      </w:pPr>
      <w:r>
        <w:rPr>
          <w:rFonts w:ascii="Times New Roman" w:hAnsi="Times New Roman"/>
          <w:b/>
          <w:sz w:val="24"/>
        </w:rPr>
        <w:t xml:space="preserve">36. </w:t>
      </w:r>
      <w:r>
        <w:rPr>
          <w:rFonts w:ascii="Times New Roman" w:hAnsi="Times New Roman"/>
          <w:b w:val="0"/>
          <w:i w:val="0"/>
          <w:sz w:val="24"/>
        </w:rPr>
        <w:t>MCR 2.602(D) uses mandatory language: the court "must serve" copies of orders "immediately."</w:t>
      </w:r>
    </w:p>
    <w:p>
      <w:pPr>
        <w:pStyle w:val="Heading3"/>
      </w:pPr>
      <w:r>
        <w:rPr>
          <w:rFonts w:ascii="Times New Roman" w:hAnsi="Times New Roman"/>
        </w:rPr>
        <w:t>C. Ministerial Nature</w:t>
      </w:r>
    </w:p>
    <w:p>
      <w:pPr>
        <w:spacing w:line="480" w:lineRule="auto" w:after="0" w:before="0"/>
      </w:pPr>
      <w:r>
        <w:rPr>
          <w:rFonts w:ascii="Times New Roman" w:hAnsi="Times New Roman"/>
          <w:b/>
          <w:sz w:val="24"/>
        </w:rPr>
        <w:t xml:space="preserve">37. </w:t>
      </w:r>
      <w:r>
        <w:rPr>
          <w:rFonts w:ascii="Times New Roman" w:hAnsi="Times New Roman"/>
          <w:b w:val="0"/>
          <w:i w:val="0"/>
          <w:sz w:val="24"/>
        </w:rPr>
        <w:t>None of the duties at issue require the exercise of judicial discretion. Scheduling hearings, processing disqualification motions, producing transcripts, and serving orders are all administrative, ministerial functions governed by clear procedural rules.</w:t>
      </w:r>
    </w:p>
    <w:p>
      <w:pPr>
        <w:pStyle w:val="Heading3"/>
      </w:pPr>
      <w:r>
        <w:rPr>
          <w:rFonts w:ascii="Times New Roman" w:hAnsi="Times New Roman"/>
        </w:rPr>
        <w:t>D. No Adequate Alternative Remedy</w:t>
      </w:r>
    </w:p>
    <w:p>
      <w:pPr>
        <w:spacing w:line="480" w:lineRule="auto" w:after="0" w:before="0"/>
      </w:pPr>
      <w:r>
        <w:rPr>
          <w:rFonts w:ascii="Times New Roman" w:hAnsi="Times New Roman"/>
          <w:b/>
          <w:sz w:val="24"/>
        </w:rPr>
        <w:t xml:space="preserve">38. </w:t>
      </w:r>
      <w:r>
        <w:rPr>
          <w:rFonts w:ascii="Times New Roman" w:hAnsi="Times New Roman"/>
          <w:b w:val="0"/>
          <w:i w:val="0"/>
          <w:sz w:val="24"/>
        </w:rPr>
        <w:t>Plaintiff has exhausted all reasonable alternative remedies:</w:t>
      </w:r>
    </w:p>
    <w:p>
      <w:pPr>
        <w:spacing w:line="480" w:lineRule="auto" w:after="0" w:before="0"/>
      </w:pPr>
      <w:r>
        <w:rPr>
          <w:rFonts w:ascii="Times New Roman" w:hAnsi="Times New Roman"/>
          <w:b w:val="0"/>
          <w:i w:val="0"/>
          <w:sz w:val="24"/>
        </w:rPr>
        <w:t>a. He has filed motions that remain unheard b. He has requested hearings that remain unscheduled c. He cannot appeal because there is no final order when motions are simply ignored d. The passage of each additional day without a hearing causes irreparable harm to the parent-child relationship</w:t>
      </w:r>
    </w:p>
    <w:p>
      <w:pPr>
        <w:spacing w:line="480" w:lineRule="auto" w:after="0" w:before="0"/>
      </w:pPr>
      <w:r>
        <w:rPr>
          <w:rFonts w:ascii="Times New Roman" w:hAnsi="Times New Roman"/>
          <w:b/>
          <w:sz w:val="24"/>
        </w:rPr>
        <w:t xml:space="preserve">39. </w:t>
      </w:r>
      <w:r>
        <w:rPr>
          <w:rFonts w:ascii="Times New Roman" w:hAnsi="Times New Roman"/>
          <w:b w:val="0"/>
          <w:i w:val="0"/>
          <w:sz w:val="24"/>
        </w:rPr>
        <w:t>The extraordinary nature of mandamus relief is warranted by the extraordinary deprivation at issue — 329+ days of total parent-child separation based on an ex parte order that was never subjected to evidentiary review.</w:t>
      </w:r>
    </w:p>
    <w:p>
      <w:pPr>
        <w:pStyle w:val="Heading2"/>
      </w:pPr>
      <w:r>
        <w:rPr>
          <w:rFonts w:ascii="Times New Roman" w:hAnsi="Times New Roman"/>
        </w:rPr>
        <w:t>III. CONSTITUTIONAL URGENCY</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The U.S. Supreme Court has recognized that "the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41. </w:t>
      </w:r>
      <w:r>
        <w:rPr>
          <w:rFonts w:ascii="Times New Roman" w:hAnsi="Times New Roman"/>
          <w:b w:val="0"/>
          <w:i w:val="0"/>
          <w:sz w:val="24"/>
        </w:rPr>
        <w:t>When a court deprives a parent of this fundamental right through an ex parte order and then fails to schedule a hearing to review that deprivation for 329+ days, the court has created a constitutional crisis that only mandamus can remedy.</w:t>
      </w:r>
    </w:p>
    <w:p>
      <w:pPr>
        <w:spacing w:line="480" w:lineRule="auto" w:after="0" w:before="0"/>
      </w:pPr>
      <w:r>
        <w:rPr>
          <w:rFonts w:ascii="Times New Roman" w:hAnsi="Times New Roman"/>
          <w:b/>
          <w:sz w:val="24"/>
        </w:rPr>
        <w:t xml:space="preserve">42. </w:t>
      </w:r>
      <w:r>
        <w:rPr>
          <w:rFonts w:ascii="Times New Roman" w:hAnsi="Times New Roman"/>
          <w:b w:val="0"/>
          <w:i w:val="0"/>
          <w:sz w:val="24"/>
        </w:rPr>
        <w:t xml:space="preserve">Applying the </w:t>
      </w:r>
      <w:r>
        <w:rPr>
          <w:rFonts w:ascii="Times New Roman" w:hAnsi="Times New Roman"/>
          <w:b w:val="0"/>
          <w:i/>
          <w:sz w:val="24"/>
        </w:rPr>
        <w:t>Mathews v Eldridge</w:t>
      </w:r>
      <w:r>
        <w:rPr>
          <w:rFonts w:ascii="Times New Roman" w:hAnsi="Times New Roman"/>
          <w:b w:val="0"/>
          <w:i w:val="0"/>
          <w:sz w:val="24"/>
        </w:rPr>
        <w:t xml:space="preserve"> balancing test (424 U.S. 319 (1976)):</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Private interest:</w:t>
      </w:r>
      <w:r>
        <w:rPr>
          <w:rFonts w:ascii="Times New Roman" w:hAnsi="Times New Roman"/>
          <w:b w:val="0"/>
          <w:i w:val="0"/>
          <w:sz w:val="24"/>
        </w:rPr>
        <w:t xml:space="preserve"> A parent's fundamental liberty interest in the care and custody of their child — the highest category of protected liberty b. </w:t>
      </w:r>
      <w:r>
        <w:rPr>
          <w:rFonts w:ascii="Times New Roman" w:hAnsi="Times New Roman"/>
          <w:b/>
          <w:i w:val="0"/>
          <w:sz w:val="24"/>
        </w:rPr>
        <w:t>Risk of erroneous deprivation:</w:t>
      </w:r>
      <w:r>
        <w:rPr>
          <w:rFonts w:ascii="Times New Roman" w:hAnsi="Times New Roman"/>
          <w:b w:val="0"/>
          <w:i w:val="0"/>
          <w:sz w:val="24"/>
        </w:rPr>
        <w:t xml:space="preserve"> Extreme — parenting time was suspended based on an ex parte motion containing unsubstantiated allegations that were subsequently contradicted by clinical evidence c. </w:t>
      </w:r>
      <w:r>
        <w:rPr>
          <w:rFonts w:ascii="Times New Roman" w:hAnsi="Times New Roman"/>
          <w:b/>
          <w:i w:val="0"/>
          <w:sz w:val="24"/>
        </w:rPr>
        <w:t>Government interest:</w:t>
      </w:r>
      <w:r>
        <w:rPr>
          <w:rFonts w:ascii="Times New Roman" w:hAnsi="Times New Roman"/>
          <w:b w:val="0"/>
          <w:i w:val="0"/>
          <w:sz w:val="24"/>
        </w:rPr>
        <w:t xml:space="preserve"> No legitimate government interest is served by refusing to schedule hearings on pending motions</w:t>
      </w:r>
    </w:p>
    <w:p>
      <w:pPr>
        <w:pStyle w:val="Heading2"/>
      </w:pPr>
      <w:r>
        <w:rPr>
          <w:rFonts w:ascii="Times New Roman" w:hAnsi="Times New Roman"/>
        </w:rPr>
        <w:t>IV. PREEMPTIVE RESPONSE TO ANTICIPATED COUNTERARGUMENTS</w:t>
      </w:r>
    </w:p>
    <w:p>
      <w:pPr>
        <w:pStyle w:val="Heading3"/>
      </w:pPr>
      <w:r>
        <w:rPr>
          <w:rFonts w:ascii="Times New Roman" w:hAnsi="Times New Roman"/>
        </w:rPr>
        <w:t>1. "The Court Has Discretion in Scheduling"</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Scheduling hearings is a ministerial, not discretionary, function. MCR 2.119(E)(1) mandates that motions "will be heard" within specified timeframes. The court's duty to hold hearings is not optional. </w:t>
      </w:r>
      <w:r>
        <w:rPr>
          <w:rFonts w:ascii="Times New Roman" w:hAnsi="Times New Roman"/>
          <w:b w:val="0"/>
          <w:i/>
          <w:sz w:val="24"/>
        </w:rPr>
        <w:t>See Taxpayers Allied</w:t>
      </w:r>
      <w:r>
        <w:rPr>
          <w:rFonts w:ascii="Times New Roman" w:hAnsi="Times New Roman"/>
          <w:b w:val="0"/>
          <w:i w:val="0"/>
          <w:sz w:val="24"/>
        </w:rPr>
        <w:t>, 450 Mich at 129 ("mandamus lies to compel the performance of a ministerial act"). Moreover, MCR 3.207(C)(5) specifically requires an evidentiary hearing after ex parte custody modification — a requirement that has been violated for 329+ days.</w:t>
      </w:r>
    </w:p>
    <w:p>
      <w:pPr>
        <w:pStyle w:val="Heading3"/>
      </w:pPr>
      <w:r>
        <w:rPr>
          <w:rFonts w:ascii="Times New Roman" w:hAnsi="Times New Roman"/>
        </w:rPr>
        <w:t>2. "Plaintiff Has an Adequate Remedy by Appeal"</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Appeal is inadequate because (a) there is no final order to appeal when motions remain unheard and unruled upon; (b) the appellate timeline (months to years) is incompatible with the ongoing daily harm to the parent-child bond; and (c) the very relief sought — scheduling of hearings — cannot be obtained through appellate review. </w:t>
      </w:r>
      <w:r>
        <w:rPr>
          <w:rFonts w:ascii="Times New Roman" w:hAnsi="Times New Roman"/>
          <w:b w:val="0"/>
          <w:i/>
          <w:sz w:val="24"/>
        </w:rPr>
        <w:t>See Rental Props. Owners Ass'n of Kent County v Kent County Treasurer</w:t>
      </w:r>
      <w:r>
        <w:rPr>
          <w:rFonts w:ascii="Times New Roman" w:hAnsi="Times New Roman"/>
          <w:b w:val="0"/>
          <w:i w:val="0"/>
          <w:sz w:val="24"/>
        </w:rPr>
        <w:t>, 308 Mich App 498, 517 (2014) (mandamus appropriate where alternative remedy is inadequate).</w:t>
      </w:r>
    </w:p>
    <w:p>
      <w:pPr>
        <w:pStyle w:val="Heading3"/>
      </w:pPr>
      <w:r>
        <w:rPr>
          <w:rFonts w:ascii="Times New Roman" w:hAnsi="Times New Roman"/>
        </w:rPr>
        <w:t>3. "Plaintiff's Filings Are Frivolous or Vexatious"</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No vexatious-litigant finding has been entered under MCL 600.5701. A parent whose fundamental rights have been suspended for 329+ days without hearing is not vexatious — he is exercising the only avenue available to vindicate his constitutional rights. The First Amendment and the Due Process Clause protect the right to petition the courts. </w:t>
      </w:r>
      <w:r>
        <w:rPr>
          <w:rFonts w:ascii="Times New Roman" w:hAnsi="Times New Roman"/>
          <w:b w:val="0"/>
          <w:i/>
          <w:sz w:val="24"/>
        </w:rPr>
        <w:t>Boddie v Connecticut</w:t>
      </w:r>
      <w:r>
        <w:rPr>
          <w:rFonts w:ascii="Times New Roman" w:hAnsi="Times New Roman"/>
          <w:b w:val="0"/>
          <w:i w:val="0"/>
          <w:sz w:val="24"/>
        </w:rPr>
        <w:t>, 401 U.S. 371 (1971). The characterization of constitutionally protected filings as "frivolous" is itself evidence of the bias that necessitates disqualification.</w:t>
      </w:r>
    </w:p>
    <w:p>
      <w:pPr>
        <w:pStyle w:val="Heading3"/>
      </w:pPr>
      <w:r>
        <w:rPr>
          <w:rFonts w:ascii="Times New Roman" w:hAnsi="Times New Roman"/>
        </w:rPr>
        <w:t>4. "The Ex Parte Orders Were Justified by Emergency Circumstances"</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Even if emergency circumstances justified the initial ex parte orders (which they did not — the "emergency" was pre-planned per Albert Watson's admission), no emergency persists 329+ days later. The failure to hold an evidentiary hearing within 14 days as required by MCR 3.207(C)(5) transforms what might have been a valid emergency order into an unconstitutional indefinite deprivation. </w:t>
      </w:r>
      <w:r>
        <w:rPr>
          <w:rFonts w:ascii="Times New Roman" w:hAnsi="Times New Roman"/>
          <w:b w:val="0"/>
          <w:i/>
          <w:sz w:val="24"/>
        </w:rPr>
        <w:t>See Fuentes v Shevin</w:t>
      </w:r>
      <w:r>
        <w:rPr>
          <w:rFonts w:ascii="Times New Roman" w:hAnsi="Times New Roman"/>
          <w:b w:val="0"/>
          <w:i w:val="0"/>
          <w:sz w:val="24"/>
        </w:rPr>
        <w:t>, 407 U.S. 67, 81 (1972) (ex parte seizure requires prompt post-deprivation hearing).</w:t>
      </w:r>
    </w:p>
    <w:p>
      <w:r>
        <w:br w:type="page"/>
      </w:r>
    </w:p>
    <w:p>
      <w:pPr>
        <w:spacing w:line="480" w:lineRule="auto" w:after="240" w:before="0"/>
        <w:jc w:val="center"/>
      </w:pPr>
      <w:r>
        <w:rPr>
          <w:rFonts w:ascii="Times New Roman" w:hAnsi="Times New Roman"/>
          <w:b/>
          <w:i w:val="0"/>
          <w:sz w:val="24"/>
        </w:rPr>
        <w:t>PART III: PROPOSED WRIT OF MANDAMUS</w:t>
      </w:r>
    </w:p>
    <w:p>
      <w:r>
        <w:br w:type="page"/>
      </w:r>
    </w:p>
    <w:p>
      <w:pPr>
        <w:spacing w:line="480" w:lineRule="auto" w:after="240" w:before="0"/>
        <w:jc w:val="center"/>
      </w:pPr>
      <w:r>
        <w:rPr>
          <w:rFonts w:ascii="Times New Roman" w:hAnsi="Times New Roman"/>
          <w:b/>
          <w:i w:val="0"/>
          <w:sz w:val="24"/>
        </w:rPr>
        <w:t>STATE OF MICHIGAN</w:t>
      </w:r>
    </w:p>
    <w:p>
      <w:pPr>
        <w:spacing w:line="480" w:lineRule="auto" w:after="240" w:before="0"/>
        <w:jc w:val="center"/>
      </w:pPr>
      <w:r>
        <w:rPr>
          <w:rFonts w:ascii="Times New Roman" w:hAnsi="Times New Roman"/>
          <w:b/>
          <w:i w:val="0"/>
          <w:sz w:val="24"/>
        </w:rPr>
        <w:t>IN THE 14TH JUDICIAL CIRCUIT COURT — FAMILY DIVISION</w:t>
      </w:r>
    </w:p>
    <w:p>
      <w:pPr>
        <w:spacing w:line="480" w:lineRule="auto" w:after="240" w:before="0"/>
        <w:jc w:val="center"/>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240" w:before="0"/>
        <w:jc w:val="center"/>
      </w:pPr>
      <w:r>
        <w:rPr>
          <w:rFonts w:ascii="Times New Roman" w:hAnsi="Times New Roman"/>
          <w:b/>
          <w:i w:val="0"/>
          <w:sz w:val="24"/>
        </w:rPr>
        <w:t>WRIT OF MANDAMUS</w:t>
      </w:r>
    </w:p>
    <w:p>
      <w:pPr>
        <w:spacing w:line="480" w:lineRule="auto" w:after="0" w:before="0"/>
      </w:pPr>
      <w:r>
        <w:rPr>
          <w:rFonts w:ascii="Times New Roman" w:hAnsi="Times New Roman"/>
          <w:b/>
          <w:i w:val="0"/>
          <w:sz w:val="24"/>
        </w:rPr>
        <w:t>TO THE 14TH JUDICIAL CIRCUIT COURT, FAMILY DIVISION, MUSKEGON COUNTY, MICHIGAN, AND ITS JUDICIAL OFFICERS AND STAFF:</w:t>
      </w:r>
    </w:p>
    <w:p>
      <w:pPr>
        <w:spacing w:line="480" w:lineRule="auto" w:after="0" w:before="0"/>
      </w:pPr>
      <w:r>
        <w:rPr>
          <w:rFonts w:ascii="Times New Roman" w:hAnsi="Times New Roman"/>
          <w:b w:val="0"/>
          <w:i w:val="0"/>
          <w:sz w:val="24"/>
        </w:rPr>
        <w:t>THIS COURT, having considered the Verified Complaint for Writ of Mandamus filed by Plaintiff Andrew J. Pigors, and the Brief in Support thereof, and the Court being fully advised in the premises;</w:t>
      </w:r>
    </w:p>
    <w:p>
      <w:pPr>
        <w:spacing w:line="480" w:lineRule="auto" w:after="0" w:before="0"/>
      </w:pPr>
      <w:r>
        <w:rPr>
          <w:rFonts w:ascii="Times New Roman" w:hAnsi="Times New Roman"/>
          <w:b w:val="0"/>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i w:val="0"/>
          <w:sz w:val="24"/>
        </w:rPr>
        <w:t>HEARINGS ON PENDING MOTIONS.</w:t>
      </w:r>
      <w:r>
        <w:rPr>
          <w:rFonts w:ascii="Times New Roman" w:hAnsi="Times New Roman"/>
          <w:b w:val="0"/>
          <w:i w:val="0"/>
          <w:sz w:val="24"/>
        </w:rPr>
        <w:t xml:space="preserve"> The 14th Judicial Circuit Court, Family Division, Muskegon County, shall schedule hearings on all pending motions filed by Plaintiff in Case No. 2024-001507-DC within fourteen (14) days of the entry of this Writ, consistent with MCR 2.119(E)(1).</w:t>
      </w:r>
    </w:p>
    <w:p>
      <w:pPr>
        <w:spacing w:line="480" w:lineRule="auto" w:after="0" w:before="0"/>
      </w:pPr>
      <w:r>
        <w:rPr>
          <w:rFonts w:ascii="Times New Roman" w:hAnsi="Times New Roman"/>
          <w:b/>
          <w:sz w:val="24"/>
        </w:rPr>
        <w:t xml:space="preserve">2. </w:t>
      </w:r>
      <w:r>
        <w:rPr>
          <w:rFonts w:ascii="Times New Roman" w:hAnsi="Times New Roman"/>
          <w:b/>
          <w:i w:val="0"/>
          <w:sz w:val="24"/>
        </w:rPr>
        <w:t>MCR 2.003(D)(1) COMPLIANCE.</w:t>
      </w:r>
      <w:r>
        <w:rPr>
          <w:rFonts w:ascii="Times New Roman" w:hAnsi="Times New Roman"/>
          <w:b w:val="0"/>
          <w:i w:val="0"/>
          <w:sz w:val="24"/>
        </w:rPr>
        <w:t xml:space="preserve"> The Court shall comply with the mandatory procedures of MCR 2.003(D)(1) regarding any pending motion for disqualification, either by (a) disqualifying from the case or (b) referring the motion to the chief judge for determination, within seven (7) days of the entry of this Writ.</w:t>
      </w:r>
    </w:p>
    <w:p>
      <w:pPr>
        <w:spacing w:line="480" w:lineRule="auto" w:after="0" w:before="0"/>
      </w:pPr>
      <w:r>
        <w:rPr>
          <w:rFonts w:ascii="Times New Roman" w:hAnsi="Times New Roman"/>
          <w:b/>
          <w:sz w:val="24"/>
        </w:rPr>
        <w:t xml:space="preserve">3. </w:t>
      </w:r>
      <w:r>
        <w:rPr>
          <w:rFonts w:ascii="Times New Roman" w:hAnsi="Times New Roman"/>
          <w:b/>
          <w:i w:val="0"/>
          <w:sz w:val="24"/>
        </w:rPr>
        <w:t>TRANSCRIPTS.</w:t>
      </w:r>
      <w:r>
        <w:rPr>
          <w:rFonts w:ascii="Times New Roman" w:hAnsi="Times New Roman"/>
          <w:b w:val="0"/>
          <w:i w:val="0"/>
          <w:sz w:val="24"/>
        </w:rPr>
        <w:t xml:space="preserve"> The Court shall produce complete transcripts of all proceedings in Case No. 2024-001507-DC and the related PPO case 2023-5907-PP within twenty-one (21) days of the entry of this Writ, consistent with MCR 8.108(B).</w:t>
      </w:r>
    </w:p>
    <w:p>
      <w:pPr>
        <w:spacing w:line="480" w:lineRule="auto" w:after="0" w:before="0"/>
      </w:pPr>
      <w:r>
        <w:rPr>
          <w:rFonts w:ascii="Times New Roman" w:hAnsi="Times New Roman"/>
          <w:b/>
          <w:sz w:val="24"/>
        </w:rPr>
        <w:t xml:space="preserve">4. </w:t>
      </w:r>
      <w:r>
        <w:rPr>
          <w:rFonts w:ascii="Times New Roman" w:hAnsi="Times New Roman"/>
          <w:b/>
          <w:i w:val="0"/>
          <w:sz w:val="24"/>
        </w:rPr>
        <w:t>COPIES OF ORDERS.</w:t>
      </w:r>
      <w:r>
        <w:rPr>
          <w:rFonts w:ascii="Times New Roman" w:hAnsi="Times New Roman"/>
          <w:b w:val="0"/>
          <w:i w:val="0"/>
          <w:sz w:val="24"/>
        </w:rPr>
        <w:t xml:space="preserve"> The Court shall provide Plaintiff with attested copies of all orders entered in Case No. 2024-001507-DC and 2023-5907-PP within seven (7) days of the entry of this Writ, consistent with MCR 2.602(D).</w:t>
      </w:r>
    </w:p>
    <w:p>
      <w:pPr>
        <w:spacing w:line="480" w:lineRule="auto" w:after="0" w:before="0"/>
      </w:pPr>
      <w:r>
        <w:rPr>
          <w:rFonts w:ascii="Times New Roman" w:hAnsi="Times New Roman"/>
          <w:b/>
          <w:sz w:val="24"/>
        </w:rPr>
        <w:t xml:space="preserve">5. </w:t>
      </w:r>
      <w:r>
        <w:rPr>
          <w:rFonts w:ascii="Times New Roman" w:hAnsi="Times New Roman"/>
          <w:b/>
          <w:i w:val="0"/>
          <w:sz w:val="24"/>
        </w:rPr>
        <w:t>EVIDENTIARY HEARING.</w:t>
      </w:r>
      <w:r>
        <w:rPr>
          <w:rFonts w:ascii="Times New Roman" w:hAnsi="Times New Roman"/>
          <w:b w:val="0"/>
          <w:i w:val="0"/>
          <w:sz w:val="24"/>
        </w:rPr>
        <w:t xml:space="preserve"> The Court shall schedule an evidentiary hearing pursuant to MCR 3.207(C)(5) to determine whether the ex parte suspension of Plaintiff's parenting time should continue, within fourteen (14) days of the entry of this Writ.</w:t>
      </w:r>
    </w:p>
    <w:p>
      <w:pPr>
        <w:spacing w:line="480" w:lineRule="auto" w:after="0" w:before="0"/>
      </w:pPr>
      <w:r>
        <w:rPr>
          <w:rFonts w:ascii="Times New Roman" w:hAnsi="Times New Roman"/>
          <w:b w:val="0"/>
          <w:i w:val="0"/>
          <w:sz w:val="24"/>
        </w:rPr>
        <w:t>SO ORDERED this _____ day of ____________, 2026.</w:t>
      </w:r>
    </w:p>
    <w:p>
      <w:r>
        <w:br w:type="page"/>
      </w:r>
    </w:p>
    <w:p>
      <w:pPr>
        <w:spacing w:line="480" w:lineRule="auto" w:after="0" w:before="0"/>
      </w:pPr>
      <w:r>
        <w:rPr>
          <w:rFonts w:ascii="Times New Roman" w:hAnsi="Times New Roman"/>
          <w:b w:val="0"/>
          <w:i w:val="0"/>
          <w:sz w:val="24"/>
        </w:rPr>
        <w:t>Judge, 14th Judicial Circuit Court Muskegon County, Michigan</w:t>
      </w:r>
    </w:p>
    <w:p>
      <w:r>
        <w:br w:type="page"/>
      </w:r>
    </w:p>
    <w:p>
      <w:pPr>
        <w:spacing w:line="480" w:lineRule="auto" w:after="240" w:before="0"/>
        <w:jc w:val="center"/>
      </w:pPr>
      <w:r>
        <w:rPr>
          <w:rFonts w:ascii="Times New Roman" w:hAnsi="Times New Roman"/>
          <w:b/>
          <w:i w:val="0"/>
          <w:sz w:val="24"/>
        </w:rPr>
        <w:t>PART IV: VERIFICATION</w:t>
      </w:r>
    </w:p>
    <w:p>
      <w:r>
        <w:br w:type="page"/>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val="0"/>
          <w:i w:val="0"/>
          <w:sz w:val="24"/>
        </w:rPr>
        <w:t>I, Andrew J. Pigors, being first duly sworn, depose and state that I have read the foregoing Verified Complaint for Writ of Mandamus and the Brief in Support thereof, and that the statements of fact contained therein are true and correct to the best of my knowledge, information, and belief.</w:t>
      </w:r>
    </w:p>
    <w:p>
      <w:r>
        <w:br w:type="page"/>
      </w:r>
    </w:p>
    <w:p>
      <w:pPr>
        <w:spacing w:line="480" w:lineRule="auto" w:after="0" w:before="0"/>
      </w:pPr>
      <w:r>
        <w:rPr>
          <w:rFonts w:ascii="Times New Roman" w:hAnsi="Times New Roman"/>
          <w:b w:val="0"/>
          <w:i w:val="0"/>
          <w:sz w:val="24"/>
        </w:rPr>
        <w:t>Andrew J. Pigors Date: _______________</w:t>
      </w:r>
    </w:p>
    <w:p>
      <w:pPr>
        <w:spacing w:line="480" w:lineRule="auto" w:after="0" w:before="0"/>
      </w:pPr>
      <w:r>
        <w:rPr>
          <w:rFonts w:ascii="Times New Roman" w:hAnsi="Times New Roman"/>
          <w:b w:val="0"/>
          <w:i w:val="0"/>
          <w:sz w:val="24"/>
        </w:rPr>
        <w:t>Subscribed and sworn to before me this _____ day of ____________, 2026.</w:t>
      </w:r>
    </w:p>
    <w:p>
      <w:r>
        <w:br w:type="page"/>
      </w:r>
    </w:p>
    <w:p>
      <w:pPr>
        <w:spacing w:line="480" w:lineRule="auto" w:after="0" w:before="0"/>
      </w:pPr>
      <w:r>
        <w:rPr>
          <w:rFonts w:ascii="Times New Roman" w:hAnsi="Times New Roman"/>
          <w:b w:val="0"/>
          <w:i w:val="0"/>
          <w:sz w:val="24"/>
        </w:rPr>
        <w:t>Notary Public, State of Michigan County of _______________ My Commission Expires: _______________</w:t>
      </w:r>
    </w:p>
    <w:p>
      <w:r>
        <w:br w:type="page"/>
      </w:r>
    </w:p>
    <w:p>
      <w:pPr>
        <w:spacing w:line="480" w:lineRule="auto" w:after="240" w:before="0"/>
        <w:jc w:val="center"/>
      </w:pPr>
      <w:r>
        <w:rPr>
          <w:rFonts w:ascii="Times New Roman" w:hAnsi="Times New Roman"/>
          <w:b/>
          <w:i w:val="0"/>
          <w:sz w:val="24"/>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WM-1</w:t>
            </w:r>
          </w:p>
        </w:tc>
        <w:tc>
          <w:tcPr>
            <w:tcW w:type="dxa" w:w="4680"/>
          </w:tcPr>
          <w:p>
            <w:pPr>
              <w:spacing w:line="240" w:lineRule="auto"/>
            </w:pPr>
            <w:r/>
            <w:r>
              <w:rPr>
                <w:rFonts w:ascii="Times New Roman" w:hAnsi="Times New Roman"/>
                <w:b w:val="0"/>
                <w:i w:val="0"/>
                <w:sz w:val="24"/>
              </w:rPr>
              <w:t>Docket entries showing pending motions without scheduled hearing dates</w:t>
            </w:r>
          </w:p>
        </w:tc>
      </w:tr>
      <w:tr>
        <w:tc>
          <w:tcPr>
            <w:tcW w:type="dxa" w:w="4680"/>
          </w:tcPr>
          <w:p>
            <w:pPr>
              <w:spacing w:line="240" w:lineRule="auto"/>
            </w:pPr>
            <w:r/>
            <w:r>
              <w:rPr>
                <w:rFonts w:ascii="Times New Roman" w:hAnsi="Times New Roman"/>
                <w:b/>
                <w:i w:val="0"/>
                <w:sz w:val="24"/>
              </w:rPr>
              <w:t>WM-2</w:t>
            </w:r>
          </w:p>
        </w:tc>
        <w:tc>
          <w:tcPr>
            <w:tcW w:type="dxa" w:w="4680"/>
          </w:tcPr>
          <w:p>
            <w:pPr>
              <w:spacing w:line="240" w:lineRule="auto"/>
            </w:pPr>
            <w:r/>
            <w:r>
              <w:rPr>
                <w:rFonts w:ascii="Times New Roman" w:hAnsi="Times New Roman"/>
                <w:b w:val="0"/>
                <w:i w:val="0"/>
                <w:sz w:val="24"/>
              </w:rPr>
              <w:t>Motion for disqualification of Hon. Jenny L. McNeill</w:t>
            </w:r>
          </w:p>
        </w:tc>
      </w:tr>
      <w:tr>
        <w:tc>
          <w:tcPr>
            <w:tcW w:type="dxa" w:w="4680"/>
          </w:tcPr>
          <w:p>
            <w:pPr>
              <w:spacing w:line="240" w:lineRule="auto"/>
            </w:pPr>
            <w:r/>
            <w:r>
              <w:rPr>
                <w:rFonts w:ascii="Times New Roman" w:hAnsi="Times New Roman"/>
                <w:b/>
                <w:i w:val="0"/>
                <w:sz w:val="24"/>
              </w:rPr>
              <w:t>WM-3</w:t>
            </w:r>
          </w:p>
        </w:tc>
        <w:tc>
          <w:tcPr>
            <w:tcW w:type="dxa" w:w="4680"/>
          </w:tcPr>
          <w:p>
            <w:pPr>
              <w:spacing w:line="240" w:lineRule="auto"/>
            </w:pPr>
            <w:r/>
            <w:r>
              <w:rPr>
                <w:rFonts w:ascii="Times New Roman" w:hAnsi="Times New Roman"/>
                <w:b w:val="0"/>
                <w:i w:val="0"/>
                <w:sz w:val="24"/>
              </w:rPr>
              <w:t>Court orders entered ex parte on 08/08/2025 (5 orders)</w:t>
            </w:r>
          </w:p>
        </w:tc>
      </w:tr>
      <w:tr>
        <w:tc>
          <w:tcPr>
            <w:tcW w:type="dxa" w:w="4680"/>
          </w:tcPr>
          <w:p>
            <w:pPr>
              <w:spacing w:line="240" w:lineRule="auto"/>
            </w:pPr>
            <w:r/>
            <w:r>
              <w:rPr>
                <w:rFonts w:ascii="Times New Roman" w:hAnsi="Times New Roman"/>
                <w:b/>
                <w:i w:val="0"/>
                <w:sz w:val="24"/>
              </w:rPr>
              <w:t>WM-4</w:t>
            </w:r>
          </w:p>
        </w:tc>
        <w:tc>
          <w:tcPr>
            <w:tcW w:type="dxa" w:w="4680"/>
          </w:tcPr>
          <w:p>
            <w:pPr>
              <w:spacing w:line="240" w:lineRule="auto"/>
            </w:pPr>
            <w:r/>
            <w:r>
              <w:rPr>
                <w:rFonts w:ascii="Times New Roman" w:hAnsi="Times New Roman"/>
                <w:b w:val="0"/>
                <w:i w:val="0"/>
                <w:sz w:val="24"/>
              </w:rPr>
              <w:t>HealthWest 1st Evaluation (09/05/2025): Psychosis=0, Danger=0, LOCUS 12</w:t>
            </w:r>
          </w:p>
        </w:tc>
      </w:tr>
      <w:tr>
        <w:tc>
          <w:tcPr>
            <w:tcW w:type="dxa" w:w="4680"/>
          </w:tcPr>
          <w:p>
            <w:pPr>
              <w:spacing w:line="240" w:lineRule="auto"/>
            </w:pPr>
            <w:r/>
            <w:r>
              <w:rPr>
                <w:rFonts w:ascii="Times New Roman" w:hAnsi="Times New Roman"/>
                <w:b/>
                <w:i w:val="0"/>
                <w:sz w:val="24"/>
              </w:rPr>
              <w:t>WM-5</w:t>
            </w:r>
          </w:p>
        </w:tc>
        <w:tc>
          <w:tcPr>
            <w:tcW w:type="dxa" w:w="4680"/>
          </w:tcPr>
          <w:p>
            <w:pPr>
              <w:spacing w:line="240" w:lineRule="auto"/>
            </w:pPr>
            <w:r/>
            <w:r>
              <w:rPr>
                <w:rFonts w:ascii="Times New Roman" w:hAnsi="Times New Roman"/>
                <w:b w:val="0"/>
                <w:i w:val="0"/>
                <w:sz w:val="24"/>
              </w:rPr>
              <w:t>HealthWest 2nd Assessment (09/11/2025): "Rule Out" only</w:t>
            </w:r>
          </w:p>
        </w:tc>
      </w:tr>
      <w:tr>
        <w:tc>
          <w:tcPr>
            <w:tcW w:type="dxa" w:w="4680"/>
          </w:tcPr>
          <w:p>
            <w:pPr>
              <w:spacing w:line="240" w:lineRule="auto"/>
            </w:pPr>
            <w:r/>
            <w:r>
              <w:rPr>
                <w:rFonts w:ascii="Times New Roman" w:hAnsi="Times New Roman"/>
                <w:b/>
                <w:i w:val="0"/>
                <w:sz w:val="24"/>
              </w:rPr>
              <w:t>WM-6</w:t>
            </w:r>
          </w:p>
        </w:tc>
        <w:tc>
          <w:tcPr>
            <w:tcW w:type="dxa" w:w="4680"/>
          </w:tcPr>
          <w:p>
            <w:pPr>
              <w:spacing w:line="240" w:lineRule="auto"/>
            </w:pPr>
            <w:r/>
            <w:r>
              <w:rPr>
                <w:rFonts w:ascii="Times New Roman" w:hAnsi="Times New Roman"/>
                <w:b w:val="0"/>
                <w:i w:val="0"/>
                <w:sz w:val="24"/>
              </w:rPr>
              <w:t>Evidence of Rusco's ex parte contact with HealthWest (10/29/2025)</w:t>
            </w:r>
          </w:p>
        </w:tc>
      </w:tr>
      <w:tr>
        <w:tc>
          <w:tcPr>
            <w:tcW w:type="dxa" w:w="4680"/>
          </w:tcPr>
          <w:p>
            <w:pPr>
              <w:spacing w:line="240" w:lineRule="auto"/>
            </w:pPr>
            <w:r/>
            <w:r>
              <w:rPr>
                <w:rFonts w:ascii="Times New Roman" w:hAnsi="Times New Roman"/>
                <w:b/>
                <w:i w:val="0"/>
                <w:sz w:val="24"/>
              </w:rPr>
              <w:t>WM-7</w:t>
            </w:r>
          </w:p>
        </w:tc>
        <w:tc>
          <w:tcPr>
            <w:tcW w:type="dxa" w:w="4680"/>
          </w:tcPr>
          <w:p>
            <w:pPr>
              <w:spacing w:line="240" w:lineRule="auto"/>
            </w:pPr>
            <w:r/>
            <w:r>
              <w:rPr>
                <w:rFonts w:ascii="Times New Roman" w:hAnsi="Times New Roman"/>
                <w:b w:val="0"/>
                <w:i w:val="0"/>
                <w:sz w:val="24"/>
              </w:rPr>
              <w:t>Correspondence requesting transcripts and copies of orders</w:t>
            </w:r>
          </w:p>
        </w:tc>
      </w:tr>
      <w:tr>
        <w:tc>
          <w:tcPr>
            <w:tcW w:type="dxa" w:w="4680"/>
          </w:tcPr>
          <w:p>
            <w:pPr>
              <w:spacing w:line="240" w:lineRule="auto"/>
            </w:pPr>
            <w:r/>
            <w:r>
              <w:rPr>
                <w:rFonts w:ascii="Times New Roman" w:hAnsi="Times New Roman"/>
                <w:b/>
                <w:i w:val="0"/>
                <w:sz w:val="24"/>
              </w:rPr>
              <w:t>WM-8</w:t>
            </w:r>
          </w:p>
        </w:tc>
        <w:tc>
          <w:tcPr>
            <w:tcW w:type="dxa" w:w="4680"/>
          </w:tcPr>
          <w:p>
            <w:pPr>
              <w:spacing w:line="240" w:lineRule="auto"/>
            </w:pPr>
            <w:r/>
            <w:r>
              <w:rPr>
                <w:rFonts w:ascii="Times New Roman" w:hAnsi="Times New Roman"/>
                <w:b w:val="0"/>
                <w:i w:val="0"/>
                <w:sz w:val="24"/>
              </w:rPr>
              <w:t>Enhanced Misconduct Brief: 44% ex parte order rate, 7 muting instances</w:t>
            </w:r>
          </w:p>
        </w:tc>
      </w:tr>
      <w:tr>
        <w:tc>
          <w:tcPr>
            <w:tcW w:type="dxa" w:w="4680"/>
          </w:tcPr>
          <w:p>
            <w:pPr>
              <w:spacing w:line="240" w:lineRule="auto"/>
            </w:pPr>
            <w:r/>
            <w:r>
              <w:rPr>
                <w:rFonts w:ascii="Times New Roman" w:hAnsi="Times New Roman"/>
                <w:b/>
                <w:i w:val="0"/>
                <w:sz w:val="24"/>
              </w:rPr>
              <w:t>WM-9</w:t>
            </w:r>
          </w:p>
        </w:tc>
        <w:tc>
          <w:tcPr>
            <w:tcW w:type="dxa" w:w="4680"/>
          </w:tcPr>
          <w:p>
            <w:pPr>
              <w:spacing w:line="240" w:lineRule="auto"/>
            </w:pPr>
            <w:r/>
            <w:r>
              <w:rPr>
                <w:rFonts w:ascii="Times New Roman" w:hAnsi="Times New Roman"/>
                <w:b w:val="0"/>
                <w:i w:val="0"/>
                <w:sz w:val="24"/>
              </w:rPr>
              <w:t>Timeline showing 329+ days without evidentiary hearing</w:t>
            </w:r>
          </w:p>
        </w:tc>
      </w:tr>
    </w:tbl>
    <w:p>
      <w:pPr>
        <w:spacing w:line="480" w:lineRule="auto" w:after="240" w:before="0"/>
        <w:jc w:val="center"/>
      </w:pPr>
      <w:r>
        <w:rPr>
          <w:rFonts w:ascii="Times New Roman" w:hAnsi="Times New Roman"/>
          <w:b/>
          <w:i w:val="0"/>
          <w:sz w:val="24"/>
        </w:rPr>
        <w:t>CERTIFICATE OF SERVICE</w:t>
      </w:r>
    </w:p>
    <w:p>
      <w:pPr>
        <w:spacing w:line="480" w:lineRule="auto" w:after="0" w:before="0"/>
      </w:pPr>
      <w:r>
        <w:rPr>
          <w:rFonts w:ascii="Times New Roman" w:hAnsi="Times New Roman"/>
          <w:b w:val="0"/>
          <w:i w:val="0"/>
          <w:sz w:val="24"/>
        </w:rPr>
        <w:t>I hereby certify that on the _____ day of ____________, 2026, I served a true and correct copy of this VERIFIED COMPLAINT FOR WRIT OF MANDAMUS, BRIEF IN SUPPORT, AND PROPOSED WRIT upon the following by the method indicated:</w:t>
      </w:r>
    </w:p>
    <w:p>
      <w:pPr>
        <w:spacing w:line="480" w:lineRule="auto" w:after="0" w:before="0"/>
      </w:pPr>
      <w:r>
        <w:rPr>
          <w:rFonts w:ascii="Times New Roman" w:hAnsi="Times New Roman"/>
          <w:b/>
          <w:i w:val="0"/>
          <w:sz w:val="24"/>
        </w:rPr>
        <w:t>14th Judicial Circuit Court — Family Division</w:t>
      </w:r>
      <w:r>
        <w:rPr>
          <w:rFonts w:ascii="Times New Roman" w:hAnsi="Times New Roman"/>
          <w:b w:val="0"/>
          <w:i w:val="0"/>
          <w:sz w:val="24"/>
        </w:rPr>
        <w:t xml:space="preserve"> Muskegon County Hall of Justice 990 Terrace Street Muskegon, Michigan 49442 ☐ Hand Delivery ☐ U.S. Mail</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(Counsel for Defendant) Barnes Law Firm, PLLC, 880 Jefferson St., Ste. B, Muskegon, MI 49440 ☐ First Class U.S. Mail ☐ Email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 1977 Whitehall Rd, Laketon Township, MI 49445 ☐ First Class U.S. Mail</w:t>
      </w:r>
    </w:p>
    <w:p>
      <w:r>
        <w:br w:type="page"/>
      </w:r>
    </w:p>
    <w:p>
      <w:pPr>
        <w:spacing w:line="480" w:lineRule="auto" w:after="0" w:before="0"/>
      </w:pPr>
      <w:r>
        <w:rPr>
          <w:rFonts w:ascii="Times New Roman" w:hAnsi="Times New Roman"/>
          <w:b w:val="0"/>
          <w:i w:val="0"/>
          <w:sz w:val="24"/>
        </w:rPr>
        <w:t>Andrew J. Pigors Date: _______________</w:t>
      </w:r>
    </w:p>
    <w:p>
      <w:r>
        <w:br w:type="page"/>
      </w:r>
    </w:p>
    <w:p>
      <w:pPr>
        <w:spacing w:line="480" w:lineRule="auto" w:after="0" w:before="0"/>
      </w:pPr>
      <w:r>
        <w:rPr>
          <w:rFonts w:ascii="Times New Roman" w:hAnsi="Times New Roman"/>
          <w:b w:val="0"/>
          <w:i/>
          <w:sz w:val="24"/>
        </w:rPr>
        <w:t>End of Verified Complaint for Writ of Mandamus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