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OF MICHIGAN</w:t>
        <w:br/>
        <w:t>IN THE 14TH CIRCUIT COURT FOR THE COUNTY OF MUSKEGON</w:t>
      </w:r>
    </w:p>
    <w:p>
      <w:r>
        <w:br/>
        <w:t>Case No. 2024-001507-DC</w:t>
        <w:br/>
        <w:t>Hon. Jenny L. McNeill</w:t>
      </w:r>
    </w:p>
    <w:p>
      <w:pPr>
        <w:pStyle w:val="Heading1"/>
      </w:pPr>
      <w:r>
        <w:t>MOTION FOR MAKE-UP PARENTING TIME AND HOLIDAY REALLOCATION</w:t>
      </w:r>
    </w:p>
    <w:p>
      <w:pPr>
        <w:pStyle w:val="Heading2"/>
      </w:pPr>
      <w:r>
        <w:t>I. INTRODUCTION</w:t>
      </w:r>
    </w:p>
    <w:p>
      <w:r>
        <w:t>NOW COMES Andrew J. Pigors, father of Lincoln David Watson, and respectfully moves this Court for an order granting make-up parenting time and holiday reallocation, based on Respondent Emily Watson’s repeated refusal to facilitate parenting time and intentional withholding of the child in violation of the Court's intent and the parties’ prior schedule.</w:t>
      </w:r>
    </w:p>
    <w:p>
      <w:pPr>
        <w:pStyle w:val="Heading2"/>
      </w:pPr>
      <w:r>
        <w:t>II. FACTUAL BASIS</w:t>
      </w:r>
    </w:p>
    <w:p>
      <w:r>
        <w:t>1. Petitioner and Respondent previously operated under a week-on/week-off informal parenting schedule with shared responsibilities.</w:t>
        <w:br/>
        <w:t>2. Since March 26, 2024, Emily Watson has unilaterally disrupted this arrangement and refused to return the child.</w:t>
        <w:br/>
        <w:t>3. Petitioner was denied parenting time during the following periods:</w:t>
        <w:br/>
        <w:t xml:space="preserve">   • March 26 to May 2, 2024</w:t>
        <w:br/>
        <w:t xml:space="preserve">   • October 20 to November 15, 2024</w:t>
        <w:br/>
        <w:t xml:space="preserve">   • April 6, 2025 to the present</w:t>
        <w:br/>
        <w:t>4. In AppClose on November 8, 2024, Emily wrote: “I will not facilitate makeup time.”</w:t>
        <w:br/>
        <w:t>5. This conduct constitutes obstruction of court-intended parenting time and creates long-term emotional harm to the child.</w:t>
        <w:br/>
        <w:t>6. Petitioner has consistently exercised his parenting time and maintained an established custodial environment prior to this pattern of alienation.</w:t>
        <w:br/>
        <w:t>7. The current deprivation has disrupted holidays, weekends, and continuity of care, all of which are essential to the child’s development.</w:t>
      </w:r>
    </w:p>
    <w:p>
      <w:pPr>
        <w:pStyle w:val="Heading2"/>
      </w:pPr>
      <w:r>
        <w:t>III. LEGAL AUTHORITY</w:t>
      </w:r>
    </w:p>
    <w:p>
      <w:r>
        <w:t>• MCL 722.27a(10): Allows the court to grant make-up parenting time where a parent wrongfully denies court-ordered parenting time.</w:t>
        <w:br/>
        <w:t>• MCL 722.23(c), (j), (k): The best interests of the child require continuity and the promotion of a loving relationship with both parents.</w:t>
        <w:br/>
        <w:t>• Friend of the Court Parenting Time Enforcement Guidelines: Support corrective parenting time to restore balance and fairness.</w:t>
        <w:br/>
        <w:t>• FOC Pamphlet §4: ‘Make-up parenting time may be appropriate when a parent intentionally denies access to the child.’</w:t>
      </w:r>
    </w:p>
    <w:p>
      <w:pPr>
        <w:pStyle w:val="Heading2"/>
      </w:pPr>
      <w:r>
        <w:t>IV. RELIEF REQUESTED</w:t>
      </w:r>
    </w:p>
    <w:p>
      <w:r>
        <w:t>WHEREFORE, Petitioner respectfully requests that this Court:</w:t>
        <w:br/>
        <w:t>A. Award make-up parenting time for all missed periods as follows:</w:t>
        <w:br/>
        <w:t xml:space="preserve">   • Two consecutive make-up weekends per missed month;</w:t>
        <w:br/>
        <w:t xml:space="preserve">   • Full reallocation of one major holiday (to replace lost 2024 Halloween and Thanksgiving);</w:t>
        <w:br/>
        <w:t>B. Order that Respondent shall not interfere or condition make-up time on agreement to dismiss any rights or waive objections;</w:t>
        <w:br/>
        <w:t>C. Set a schedule for ongoing alternating parenting time and restore informal 50/50 arrangement;</w:t>
        <w:br/>
        <w:t>D. Grant any further relief the Court deems equitable and necessary to preserve the father-child relationship.</w:t>
      </w:r>
    </w:p>
    <w:p>
      <w:r>
        <w:br/>
        <w:t>Respectfully submitted,</w:t>
        <w:br/>
        <w:br/>
        <w:t>__________________________</w:t>
        <w:br/>
        <w:t>Andrew J. Pigors</w:t>
        <w:br/>
        <w:t>1977 Whitehall Rd, Lot 17</w:t>
        <w:br/>
        <w:t>Muskegon, MI 49445</w:t>
        <w:br/>
        <w:t>(231) 724-6251</w:t>
        <w:br/>
        <w:t>Date: April 21,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