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STATE OF MICHIGAN</w:t>
        <w:br/>
        <w:t>IN THE CIRCUIT COURT FOR THE COUNTY OF MUSKEGON</w:t>
        <w:br/>
        <w:t>FAMILY DIVISION</w:t>
      </w:r>
    </w:p>
    <w:p/>
    <w:p>
      <w:r>
        <w:t>Andrew J. Pigors, Plaintiff/Movant,</w:t>
      </w:r>
    </w:p>
    <w:p>
      <w:r>
        <w:t>v.</w:t>
      </w:r>
    </w:p>
    <w:p>
      <w:r>
        <w:t>Emily [Surname Unknown], Defendant/Respondent,</w:t>
      </w:r>
    </w:p>
    <w:p/>
    <w:p>
      <w:r>
        <w:t>Case No.: 2024-001507-DC</w:t>
      </w:r>
    </w:p>
    <w:p>
      <w:r>
        <w:t>Judge: Hon. McNeill</w:t>
      </w:r>
    </w:p>
    <w:p/>
    <w:p>
      <w:r>
        <w:rPr>
          <w:b/>
        </w:rPr>
        <w:t>MOTION TO DISQUALIFY JUDGE UNDER MCR 2.003 AND FOR IMMEDIATE REFERRAL TO THE CHIEF JUDGE</w:t>
      </w:r>
    </w:p>
    <w:p>
      <w:pPr>
        <w:pStyle w:val="Heading1"/>
      </w:pPr>
      <w:r>
        <w:t>RELIEF REQUESTED</w:t>
      </w:r>
    </w:p>
    <w:p>
      <w:r>
        <w:t>Disqualify the assigned judge pursuant to MCR 2.003(C)(1)(a) and (b)(i). If the motion is denied, refer the matter to the Chief Judge pursuant to MCR 2.003(D)(3)(a).</w:t>
      </w:r>
    </w:p>
    <w:p>
      <w:pPr>
        <w:pStyle w:val="Heading1"/>
      </w:pPr>
      <w:r>
        <w:t>GROUNDS</w:t>
      </w:r>
    </w:p>
    <w:p>
      <w:r>
        <w:t>1. Ex parte information considered by court staff before hearing, contrary to MCJC Canon 3(A)(4).</w:t>
      </w:r>
    </w:p>
    <w:p>
      <w:r>
        <w:t>2. Refusal to consider compliant filings, contrary to MCR 8.119(C) and MCR 1.109(D)-(E).</w:t>
      </w:r>
    </w:p>
    <w:p>
      <w:r>
        <w:t>3. Security-for-costs barrier imposed without motion and findings, contrary to MCR 2.109.</w:t>
      </w:r>
    </w:p>
    <w:p>
      <w:r>
        <w:t>4. Cumulative prejudice including prolonged deprivation of parenting time without timely evidentiary hearing.</w:t>
      </w:r>
    </w:p>
    <w:p>
      <w:pPr>
        <w:pStyle w:val="Heading1"/>
      </w:pPr>
      <w:r>
        <w:t>FACTUAL SUPPORT (VERBATIM RECORD ATTACHED)</w:t>
      </w:r>
    </w:p>
    <w:p>
      <w:r>
        <w:t>• Transcript excerpt: court acknowledgment of staff listening to recordings pre-hearing.</w:t>
      </w:r>
    </w:p>
    <w:p>
      <w:r>
        <w:t>• Transcript excerpt: “Do not file anything more. I will not read it.”</w:t>
      </w:r>
    </w:p>
    <w:p>
      <w:r>
        <w:t>• Orders/Clerk notes: $250 deposit/security directive.</w:t>
      </w:r>
    </w:p>
    <w:p>
      <w:r>
        <w:t>• Chronology: days of parenting-time deprivation without hearing.</w:t>
      </w:r>
    </w:p>
    <w:p>
      <w:pPr>
        <w:pStyle w:val="Heading1"/>
      </w:pPr>
      <w:r>
        <w:t>LEGAL STANDARD</w:t>
      </w:r>
    </w:p>
    <w:p>
      <w:r>
        <w:t>MCR 2.003(C) requires disqualification upon a serious risk of actual bias under objective and reasonable perceptions. Procedure and referral are governed by MCR 2.003(D).</w:t>
      </w:r>
    </w:p>
    <w:p>
      <w:pPr>
        <w:pStyle w:val="Heading1"/>
      </w:pPr>
      <w:r>
        <w:t>REQUEST FOR HEARING</w:t>
      </w:r>
    </w:p>
    <w:p>
      <w:r>
        <w:t>Set this motion for hearing at the earliest available date.</w:t>
      </w:r>
    </w:p>
    <w:p>
      <w:r>
        <w:t>Respectfully submitted,</w:t>
      </w:r>
    </w:p>
    <w:p>
      <w:r>
        <w:t>Andrew J. Pigors, Pro Se</w:t>
      </w:r>
    </w:p>
    <w:p>
      <w:r>
        <w:t>Dated: 2025-09-12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