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MODIFY CUSTODY AND FOR SANCTIONS</w:t>
      </w:r>
    </w:p>
    <w:p>
      <w:r>
        <w:t>NOW COMES Andrew J. Pigors, in pro per, and hereby moves this Honorable Court to modify custody, sanction opposing party Emily A. Watson, and enforce parenting time rights pursuant to MCL 722.27a(9), MCL 600.2591, and MCR 1.109(E), based on repeated parenting time violations, false allegations, and abuse of the court’s protective order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