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Motion to Modify Custody and Parenting Time</w:t>
      </w:r>
    </w:p>
    <w:p>
      <w:r>
        <w:t>This motion is made in accordance with MCL 722.23 and Michigan Court Rules (MCR).</w:t>
      </w:r>
    </w:p>
    <w:p>
      <w:r>
        <w:t>Details of motion: To be filled with facts and legal basis.</w:t>
      </w:r>
    </w:p>
    <w:p>
      <w:r>
        <w:t>This motion is supported by the following legal citations and precedents:</w:t>
      </w:r>
    </w:p>
    <w:p>
      <w:r>
        <w:t>1. **Vodvarka v. Grasmeyer, 259 Mich App 499 (2003)**: Material changes in circumstances warrant modification.</w:t>
      </w:r>
    </w:p>
    <w:p>
      <w:r>
        <w:t>2. **Shade v. Wright, 291 Mich App 17 (2010)**: Minor adjustments to parenting time do not require full custody changes.</w:t>
      </w:r>
    </w:p>
    <w:p>
      <w:r>
        <w:t>3. **MCL 722.27(1)(c)**: Michigan law allows custody modifications based on substantial changes in circumstances.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