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Motion to Modify Custody and Parenting Time</w:t>
      </w:r>
    </w:p>
    <w:p>
      <w:r>
        <w:t>This motion is made in accordance with MCL 722.23 and Michigan Court Rules (MCR).</w:t>
      </w:r>
    </w:p>
    <w:p>
      <w:r>
        <w:t>Details of motion: To be filled with facts and legal basis.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