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MOTION TO RECLASSIFY PARENTING TIME MOTION AS CUSTODY MODIFICATION</w:t>
      </w:r>
    </w:p>
    <w:p>
      <w:r>
        <w:t>STATE OF MICHIGAN</w:t>
        <w:br/>
        <w:t>IN THE CIRCUIT COURT FOR THE COUNTY OF MUSKEGON</w:t>
        <w:br/>
        <w:t>FAMILY DIVISION</w:t>
        <w:br/>
        <w:t>Case No. 2024-001507-DC</w:t>
        <w:br/>
        <w:t>Hon. Jenny L. McNeill</w:t>
        <w:br/>
        <w:t>ANDREW J. PIGORS, Plaintiff,</w:t>
        <w:br/>
        <w:t>vs.</w:t>
        <w:br/>
        <w:t>EMILY WATSON, Defendant.</w:t>
        <w:br/>
      </w:r>
    </w:p>
    <w:p>
      <w:pPr>
        <w:pStyle w:val="Heading1"/>
      </w:pPr>
      <w:r>
        <w:t>I. INTRODUCTION</w:t>
      </w:r>
    </w:p>
    <w:p>
      <w:r>
        <w:t>NOW COMES Plaintiff, ANDREW J. PIGORS, in pro per, and respectfully moves this Honorable Court to reclassify his pending February 14, 2025 Motion to Modify Parenting Time as a Motion for Modification of Custody, pursuant to MCL 722.27(1)(c), MCR 3.211(C), and Shade v. Wright, 291 Mich App 17 (2010).</w:t>
      </w:r>
    </w:p>
    <w:p>
      <w:pPr>
        <w:pStyle w:val="Heading1"/>
      </w:pPr>
      <w:r>
        <w:t>II. BASIS FOR RECLASSIFICATION</w:t>
      </w:r>
    </w:p>
    <w:p>
      <w:r>
        <w:t>1. Plaintiff’s February 14, 2025 motion outlines a series of post-judgment incidents that collectively alter the Established Custodial Environment (ECE) of the minor child.</w:t>
        <w:br/>
        <w:t>2. These events include prolonged parenting time interference, medical neglect, refusal to provide information about daycare or healthcare, and an escalating pattern of emotional estrangement fostered by Defendant.</w:t>
        <w:br/>
        <w:t>3. The facts alleged and documented in the motion exceed a simple request for parenting time enforcement and directly affect the custodial framework under which the child has lived and developed.</w:t>
        <w:br/>
        <w:t>4. Pursuant to MCL 722.27(1)(c), the Court is required to evaluate whether the motion implicates the ECE and thus requires a higher evidentiary threshold, including clear and convincing evidence and full de novo review.</w:t>
      </w:r>
    </w:p>
    <w:p>
      <w:pPr>
        <w:pStyle w:val="Heading1"/>
      </w:pPr>
      <w:r>
        <w:t>III. LEGAL SUPPORT</w:t>
      </w:r>
    </w:p>
    <w:p>
      <w:r>
        <w:t>In Shade v. Wright, 291 Mich App 17 (2010), the Michigan Court of Appeals held that the trial court must examine whether a motion for parenting time relief substantively affects the child’s custodial environment. If it does, it should be treated as a motion for custody modification subject to the standards outlined in Vodvarka v. Grasmeyer, 259 Mich App 499 (2003).</w:t>
        <w:br/>
        <w:br/>
        <w:t>Plaintiff’s motion describes conditions and conduct by Defendant that have dramatically altered the ECE created between December 2023 and March 2024, including the complete denial of access to the child for over 30 days and refusal to comply with medical and communication expectations.</w:t>
      </w:r>
    </w:p>
    <w:p>
      <w:pPr>
        <w:pStyle w:val="Heading1"/>
      </w:pPr>
      <w:r>
        <w:t>IV. RELIEF REQUESTED</w:t>
      </w:r>
    </w:p>
    <w:p>
      <w:r>
        <w:t>WHEREFORE, Plaintiff respectfully requests that the Court:</w:t>
        <w:br/>
        <w:t>A. Reclassify the pending February 14, 2025 parenting time motion as a motion for custody modification under MCL 722.27;</w:t>
        <w:br/>
        <w:t>B. Evaluate the motion according to the applicable evidentiary standards governing custody changes;</w:t>
        <w:br/>
        <w:t>C. Schedule an evidentiary hearing to allow presentation of testimony and evidence; and</w:t>
        <w:br/>
        <w:t>D. Grant such further relief as this Court deems just and proper.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