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ONE-PAGE SUMMARY BRIEF FOR JUDGE MCNEILL</w:t>
      </w:r>
    </w:p>
    <w:p>
      <w:r>
        <w:t>Custody Case No. 2024-001507-DC</w:t>
      </w:r>
    </w:p>
    <w:p>
      <w:r>
        <w:t>Submitted by: Andrew J. Pigors (Plaintiff, In Pro Per)</w:t>
      </w:r>
    </w:p>
    <w:p>
      <w:r>
        <w:t>Date: April 17, 2025</w:t>
      </w:r>
    </w:p>
    <w:p>
      <w:pPr>
        <w:pStyle w:val="Heading2"/>
      </w:pPr>
      <w:r>
        <w:t>I. ISSUE PRESENTED</w:t>
      </w:r>
    </w:p>
    <w:p>
      <w:r>
        <w:t>Plaintiff respectfully seeks ex parte enforcement of parenting time, temporary modification of physical custody, and integration of key exhibits supporting the child’s best interest.</w:t>
      </w:r>
    </w:p>
    <w:p>
      <w:pPr>
        <w:pStyle w:val="Heading2"/>
      </w:pPr>
      <w:r>
        <w:t>II. FACTUAL BASIS</w:t>
      </w:r>
    </w:p>
    <w:p>
      <w:r>
        <w:t>- Plaintiff has been denied parenting time on multiple occasions, including:</w:t>
        <w:br/>
        <w:t xml:space="preserve">  - March 26 to May 2, 2024</w:t>
        <w:br/>
        <w:t xml:space="preserve">  - October 20 to November 15, 2024</w:t>
        <w:br/>
        <w:t xml:space="preserve">  - November 9 (LDW’s birthday) and November 11, 2024</w:t>
        <w:br/>
        <w:t>- Lincoln expresses clear distress and confusion:</w:t>
        <w:br/>
        <w:t xml:space="preserve">  - Statements include: 'I don’t want to go to mama’s or grandma’s'</w:t>
        <w:br/>
        <w:t xml:space="preserve">  - 'I have two daddies'</w:t>
        <w:br/>
        <w:t>- Petitioner has not shared medical records, location, or updates.</w:t>
        <w:br/>
        <w:t>- Petitioner regularly withholds communication and fails to appear for exchanges.</w:t>
      </w:r>
    </w:p>
    <w:p>
      <w:pPr>
        <w:pStyle w:val="Heading2"/>
      </w:pPr>
      <w:r>
        <w:t>III. LEGAL STANDARD &amp; ANALYSIS</w:t>
      </w:r>
    </w:p>
    <w:p>
      <w:r>
        <w:t>- MCL 722.27a(9): Parenting time shall be granted and enforced unless it endangers the child.</w:t>
        <w:br/>
        <w:t>- MCL 722.23(j)-(k): Emotional health and co-parenting cooperation are essential best interest factors.</w:t>
        <w:br/>
        <w:t>- Vodvarka v. Grasmeyer: Established custodial environment exists where child looks to the parent for love, guidance, and comfort.</w:t>
        <w:br/>
        <w:t>- MCR 3.207(B): Court may grant ex parte relief to prevent irreparable harm.</w:t>
        <w:br/>
        <w:br/>
        <w:t>Lincoln’s well-being is being compromised. An ECE exists with Plaintiff, and Petitioner’s conduct has destabilized the child’s emotional security. Court intervention is urgently required.</w:t>
      </w:r>
    </w:p>
    <w:p>
      <w:pPr>
        <w:pStyle w:val="Heading2"/>
      </w:pPr>
      <w:r>
        <w:t>IV. REQUEST FOR RELIEF</w:t>
      </w:r>
    </w:p>
    <w:p>
      <w:r>
        <w:t>1. Restore Plaintiff’s week-on/week-off parenting time effective immediately.</w:t>
        <w:br/>
        <w:t>2. Enter temporary physical custody modification until full review.</w:t>
        <w:br/>
        <w:t>3. Accept and admit Exhibits A–H.</w:t>
        <w:br/>
        <w:t>4. Caution Petitioner against further misuse of court process and PPO mechanisms.</w:t>
      </w:r>
    </w:p>
    <w:p>
      <w:r>
        <w:br/>
        <w:t>Respectfully submitted,</w:t>
      </w:r>
    </w:p>
    <w:p>
      <w:r>
        <w:t>/s/ Andrew J. Pigors</w:t>
      </w:r>
    </w:p>
    <w:p>
      <w:r>
        <w:t>1977 Whitehall Rd Lot 17, Muskegon, MI 49445</w:t>
      </w:r>
    </w:p>
    <w:p>
      <w:r>
        <w:t>(231) 903-5690</w:t>
      </w:r>
    </w:p>
    <w:p>
      <w:r>
        <w:t>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