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Attachment to Motion Regarding Parenting Time</w:t>
      </w:r>
    </w:p>
    <w:p>
      <w:r>
        <w:t>Case No.: 2024-001507-DC</w:t>
      </w:r>
    </w:p>
    <w:p>
      <w:r>
        <w:t>Plaintiff: Andrew J. Pigors</w:t>
      </w:r>
    </w:p>
    <w:p>
      <w:r>
        <w:t>Defendant: Emily A. Watson</w:t>
      </w:r>
    </w:p>
    <w:p>
      <w:r>
        <w:t>Minor Child: Lincoln David Watson (DOB: 11/09/2022)</w:t>
      </w:r>
    </w:p>
    <w:p/>
    <w:p>
      <w:pPr>
        <w:pStyle w:val="Heading2"/>
      </w:pPr>
      <w:r>
        <w:t>E4. Agreed-Upon Parenting Time (History &amp; Context)</w:t>
      </w:r>
    </w:p>
    <w:p>
      <w:r>
        <w:t>From November 2023 through March 26, 2024, Emily Watson and I followed an informal week-on/week-off parenting schedule, under which I exercised equal parenting time without incident. This agreement was consistent, stable, and fostered the minor child’s development and emotional security. No formal order was entered during that time, but the schedule remained mutually respected and adhered to by both parties.</w:t>
        <w:br/>
        <w:br/>
        <w:t>On March 26, 2024, Emily unilaterally terminated this parenting schedule without court authority, in violation of our longstanding arrangement. Despite no custody order being entered until July 17, 2024, she acted with coercive control and enlisted third parties (including Lori Watson and law enforcement) to enforce a parenting time disruption without legal basis.</w:t>
      </w:r>
    </w:p>
    <w:p>
      <w:pPr>
        <w:pStyle w:val="Heading2"/>
      </w:pPr>
      <w:r>
        <w:t>F5. Best Interests of the Child – Justification for Modification</w:t>
      </w:r>
    </w:p>
    <w:p>
      <w:r>
        <w:t>Pursuant to MCL 722.27a and MCL 722.23, it is in the child’s best interests to modify and enforce the parenting time schedule because:</w:t>
        <w:br/>
        <w:br/>
        <w:t>1. Established Custodial Environment (ECE): The child has a bonded relationship with me, supported by the uninterrupted equal parenting time between November 2023 and March 2024. Courts must protect an ECE under Vodvarka v. Grasmeyer, 259 Mich App 499 (2003).</w:t>
        <w:br/>
        <w:br/>
        <w:t>2. Alienation and Harm: Since March 26, 2024, Emily Watson has repeatedly obstructed my access, including withholding parenting time for weeks at a time, refusing to facilitate make-up time despite overlapping court-ordered holidays, instructing our son to call another man “dad,” and employing coercion via PPOs and contempt motions.</w:t>
        <w:br/>
        <w:br/>
        <w:t>3. Misuse of Legal Process: She has filed six PPO show cause motions (four of which failed) as tools to punish me and escalate custody interference. These acts reflect malicious litigation intended to eliminate my involvement as a parent.</w:t>
        <w:br/>
        <w:br/>
        <w:t>4. Medical Neglect: Emily has failed to take the child to the dentist since 2023 and has withheld all medical records, including vaccination history, which violates co-parenting duties and compromises the child’s health and welfare.</w:t>
      </w:r>
    </w:p>
    <w:p>
      <w:pPr>
        <w:pStyle w:val="Heading2"/>
      </w:pPr>
      <w:r>
        <w:t>G6. Requested Parenting Time Order</w:t>
      </w:r>
    </w:p>
    <w:p>
      <w:r>
        <w:t>I request that the court immediately order the following relief:</w:t>
        <w:br/>
        <w:br/>
        <w:t>1. Reinstatement of Week-On/Week-Off Parenting Time, effective immediately, with exchanges Fridays at 5:30 PM and Sundays at 5:30 PM, alternating weekly.</w:t>
        <w:br/>
        <w:t>2. Make-Up Parenting Time for the following withheld periods:</w:t>
        <w:br/>
        <w:t>- March 29–April 5, 2024</w:t>
        <w:br/>
        <w:t>- April 12–19, 2024</w:t>
        <w:br/>
        <w:t>- April 26–May 3, 2024</w:t>
        <w:br/>
        <w:t>Total: Three weeks.</w:t>
        <w:br/>
        <w:t>3. Sanctions under MCL 722.27a(9) for Emily’s willful denial of parenting time.</w:t>
        <w:br/>
        <w:t>4. Prohibition on Unilateral Changes to parenting time without court approval.</w:t>
        <w:br/>
        <w:t>5. Order requiring communication through AppClose only, with parenting time confirmed 48 hours in advance.</w:t>
        <w:br/>
        <w:t>6. Award of reasonable court costs due to repeated obstruction and contempt filings.</w:t>
      </w:r>
    </w:p>
    <w:p>
      <w:pPr>
        <w:pStyle w:val="Heading2"/>
      </w:pPr>
      <w:r>
        <w:t>Exhibit A – AppClose Screenshot (Withholding Over Easter)</w:t>
      </w:r>
    </w:p>
    <w:p>
      <w:r>
        <w:t>See attached AppClose message where Emily Watson refuses Easter parenting time and explicitly denies facilitating make-up time.</w:t>
      </w:r>
    </w:p>
    <w:p/>
    <w:p>
      <w:r>
        <w:t>Respectfully submitted,</w:t>
      </w:r>
    </w:p>
    <w:p>
      <w:r>
        <w:t>Andrew J. Pigors</w:t>
      </w:r>
    </w:p>
    <w:p>
      <w:r>
        <w:t>1977 Whitehall Road, Lot 17</w:t>
      </w:r>
    </w:p>
    <w:p>
      <w:r>
        <w:t>Muskegon, MI 49445</w:t>
      </w:r>
    </w:p>
    <w:p>
      <w:r>
        <w:t>Phone: 231-724-6251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