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Custody Order</w:t>
      </w:r>
    </w:p>
    <w:p>
      <w:r>
        <w:t>Case Name: Pigors v. Watson</w:t>
      </w:r>
    </w:p>
    <w:p>
      <w:r>
        <w:t>Case Number: 2024-001507-DC</w:t>
      </w:r>
    </w:p>
    <w:p>
      <w:r>
        <w:t>Court: 14th Circuit Court of Muskegon County, Michigan Family Court Division</w:t>
      </w:r>
    </w:p>
    <w:p>
      <w:r>
        <w:t>Judge: Honorable Jenny McNeill</w:t>
      </w:r>
    </w:p>
    <w:p/>
    <w:p>
      <w:pPr>
        <w:pStyle w:val="Heading2"/>
      </w:pPr>
      <w:r>
        <w:t>Custody Arrangement:</w:t>
      </w:r>
    </w:p>
    <w:p>
      <w:r>
        <w:t>1. 50/50 Joint Physical Custody: Lincoln will spend equal time with both parents, ensuring a balanced and nurturing relationship. The schedule will be as follows:</w:t>
        <w:br/>
        <w:br/>
        <w:t>- Week 1: Lincoln will reside with Andrew from Monday morning through Wednesday evening.</w:t>
        <w:br/>
        <w:t>- Week 2: Lincoln will reside with Emily from Wednesday evening through Friday evening.</w:t>
        <w:br/>
        <w:t>- Weekends: Alternate weekends between parents, with exchanges occurring at 5:30 PM on Fridays at the downtown Muskegon police station.</w:t>
        <w:br/>
      </w:r>
    </w:p>
    <w:p>
      <w:pPr>
        <w:pStyle w:val="Heading2"/>
      </w:pPr>
      <w:r>
        <w:t>Child Support:</w:t>
      </w:r>
    </w:p>
    <w:p>
      <w:r>
        <w:t>Child support will be recalculated based on the new custody arrangement and the financial resources of both parties, ensuring fairness and equity.</w:t>
      </w:r>
    </w:p>
    <w:p>
      <w:pPr>
        <w:pStyle w:val="Heading2"/>
      </w:pPr>
      <w:r>
        <w:t>Additional Provisions:</w:t>
      </w:r>
    </w:p>
    <w:p>
      <w:r>
        <w:t>1. Custody exchanges will take place at the downtown Muskegon police station on Fridays at 5:30 PM to ensure a safe and neutral environment.</w:t>
        <w:br/>
        <w:t>2. Both parents will be informed and involved in all major decisions regarding Lincoln’s health, education, and welfare.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