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 for Custody Modification.</w:t>
      </w:r>
    </w:p>
    <w:p>
      <w:r>
        <w:t>IN THE CIRCUIT COURT FOR THE 14th JUDICIAL CIRCUIT FAMILY DIVISION.</w:t>
      </w:r>
    </w:p>
    <w:p>
      <w:r>
        <w:t>MUSKEGON COUNTY, MICHIGAN.</w:t>
      </w:r>
    </w:p>
    <w:p>
      <w:r>
        <w:t>Case No. 2024-001507-DC.</w:t>
      </w:r>
    </w:p>
    <w:p>
      <w:r>
        <w:t>Honorable Judge Jenny McNeill.</w:t>
      </w:r>
    </w:p>
    <w:p>
      <w:pPr>
        <w:pStyle w:val="Heading2"/>
      </w:pPr>
      <w:r>
        <w:t>Order Modifying Custody and Parenting Time.</w:t>
      </w:r>
    </w:p>
    <w:p>
      <w:r>
        <w:t>This matter having come before the Court upon Plaintiff’s Motion for Custody Modification, and the Court being fully advised in the premises, IT IS HEREBY ORDERED that:</w:t>
      </w:r>
    </w:p>
    <w:p>
      <w:r>
        <w:t>1. The current custody arrangement is hereby modified.</w:t>
      </w:r>
    </w:p>
    <w:p>
      <w:r>
        <w:t>2. The parties shall share **joint physical and legal custody** of the minor child, Lincoln David Watson (LDW), born on November 9, 2022.</w:t>
      </w:r>
    </w:p>
    <w:p>
      <w:r>
        <w:t>3. Parenting time shall be equally divided between the Plaintiff, Andrew J. Pigors, and the Defendant, Emily A. Watson, in accordance with the attached parenting schedule. The schedule will allow for a 50/50 physical custody arrangement.</w:t>
      </w:r>
    </w:p>
    <w:p>
      <w:r>
        <w:t>4. The parties shall jointly make decisions regarding LDW’s education, health, extracurricular activities, and religious upbringing.</w:t>
      </w:r>
    </w:p>
    <w:p>
      <w:r>
        <w:t>5. Both parties shall utilize a co-parenting communication tool, such as OurFamilyWizard, to facilitate civil and effective communication regarding LDW’s needs and well-being.</w:t>
      </w:r>
    </w:p>
    <w:p>
      <w:r>
        <w:t>6. The current Personal Protection Order (PPO) issued against Andrew J. Pigors is hereby terminated, as it is no longer necessary or in the best interest of the minor child.</w:t>
      </w:r>
    </w:p>
    <w:p>
      <w:r>
        <w:t>7. The Court retains jurisdiction to review and amend this order as necessary in the future.</w:t>
      </w:r>
    </w:p>
    <w:p>
      <w:r>
        <w:t>_____________________________</w:t>
        <w:br/>
        <w:t>Honorable Judge Jenny McNeill.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