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RECLASSIFYING PARENTING TIME MOTION AS CUSTODY MODIFICATION</w:t>
      </w:r>
    </w:p>
    <w:p>
      <w:r>
        <w:t>This matter having come before the Court on Plaintiff’s Motion to Reclassify his pending Parenting Time Motion as a Custody Modification Motion, and the Court being fully advised in the premises:</w:t>
        <w:br/>
        <w:br/>
        <w:t>IT IS HEREBY ORDERED that:</w:t>
        <w:br/>
        <w:t>1. Plaintiff’s Motion to Modify Parenting Time filed on February 14, 2025 is reclassified and shall be treated as a Motion to Modify Custody pursuant to MCL 722.27(1)(c).</w:t>
        <w:br/>
        <w:t>2. The Court shall evaluate the motion consistent with the evidentiary standards governing changes to custody and Established Custodial Environments.</w:t>
        <w:br/>
        <w:t>3. This matter shall proceed to evidentiary hearing for de novo consideration.</w:t>
        <w:br/>
        <w:br/>
        <w:t>IT IS SO ORDERED.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