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Proposed Parenting Time Order</w:t>
      </w:r>
    </w:p>
    <w:p>
      <w:r>
        <w:t>STATE OF MICHIGAN</w:t>
        <w:br/>
        <w:t>IN THE 14TH CIRCUIT COURT FOR THE COUNTY OF MUSKEGON</w:t>
        <w:br/>
        <w:t>FAMILY DIVISION</w:t>
        <w:br/>
        <w:br/>
        <w:t>Case No.: 2024-001507-DC</w:t>
        <w:br/>
        <w:t>Hon. Jenny L. McNeill</w:t>
        <w:br/>
        <w:br/>
        <w:t>Plaintiff: Andrew James Pigors</w:t>
        <w:br/>
        <w:t>Defendant: Emily Ann Watson</w:t>
        <w:br/>
        <w:br/>
        <w:t>---</w:t>
        <w:br/>
        <w:br/>
        <w:t>PROPOSED PARENTING TIME ORDER</w:t>
        <w:br/>
        <w:t>(With Enforceability and Protective Clauses)</w:t>
        <w:br/>
        <w:t>Issued Under MCL 722.27a, MCL 552.511b, MCL 552.641–45, MCR 3.211</w:t>
        <w:br/>
        <w:br/>
        <w:t>Effective Immediately: This order shall go into effect upon judicial entry and shall remain in place until a full evidentiary hearing has occurred and a final parenting time and custody order is entered by this Court.</w:t>
        <w:br/>
        <w:br/>
        <w:t>... (content truncated for brevity; entire order is in the canvas)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