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to Reopen Custody Case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p>
      <w:r>
        <w:t>This request is made pursuant to Michigan Court Rules and the following legal statutes:</w:t>
      </w:r>
    </w:p>
    <w:p>
      <w:r>
        <w:t>1. **MCL 722.27** regarding custody modifications.</w:t>
      </w:r>
    </w:p>
    <w:p>
      <w:r>
        <w:t>2. **MCR 3.207** regarding motions and affidavits for child custody.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