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69677"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STATE OF MICHIGAN</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IN THE 14TH CIRCUIT COURT FOR THE COUNTY OF MUSKEGON</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FAMILY DIVISION</w:t>
      </w:r>
    </w:p>
    <w:p w14:paraId="78971145" w14:textId="358B6DDA"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Case No.: 2023-5907-PP (PPO)</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Related Custody Case No.: 2024-001507-DC (Custody)</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Hon. Judge Jenny McNeill</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14th Circuit Court, Family Division</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990 Terrace St, Muskegon, MI 49442</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Court Phone:</w:t>
      </w:r>
      <w:r w:rsidRPr="00D2634B">
        <w:rPr>
          <w:rFonts w:ascii="Times New Roman" w:eastAsia="Times New Roman" w:hAnsi="Times New Roman" w:cs="Times New Roman"/>
          <w:sz w:val="24"/>
          <w:szCs w:val="24"/>
        </w:rPr>
        <w:t xml:space="preserve"> 231-72</w:t>
      </w:r>
      <w:r>
        <w:rPr>
          <w:rFonts w:ascii="Times New Roman" w:eastAsia="Times New Roman" w:hAnsi="Times New Roman" w:cs="Times New Roman"/>
          <w:sz w:val="24"/>
          <w:szCs w:val="24"/>
        </w:rPr>
        <w:t>4</w:t>
      </w:r>
      <w:r w:rsidRPr="00D2634B">
        <w:rPr>
          <w:rFonts w:ascii="Times New Roman" w:eastAsia="Times New Roman" w:hAnsi="Times New Roman" w:cs="Times New Roman"/>
          <w:sz w:val="24"/>
          <w:szCs w:val="24"/>
        </w:rPr>
        <w:t>-62</w:t>
      </w:r>
      <w:r>
        <w:rPr>
          <w:rFonts w:ascii="Times New Roman" w:eastAsia="Times New Roman" w:hAnsi="Times New Roman" w:cs="Times New Roman"/>
          <w:sz w:val="24"/>
          <w:szCs w:val="24"/>
        </w:rPr>
        <w:t>58</w:t>
      </w:r>
    </w:p>
    <w:p w14:paraId="567E6D31"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ANDREW J. PIGORS</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Plaintiff in Custody Case</w:t>
      </w:r>
      <w:r w:rsidRPr="00D2634B">
        <w:rPr>
          <w:rFonts w:ascii="Times New Roman" w:eastAsia="Times New Roman" w:hAnsi="Times New Roman" w:cs="Times New Roman"/>
          <w:sz w:val="24"/>
          <w:szCs w:val="24"/>
        </w:rPr>
        <w:br/>
        <w:t>Address: 1977 Whitehall Rd, Lot 17</w:t>
      </w:r>
      <w:r w:rsidRPr="00D2634B">
        <w:rPr>
          <w:rFonts w:ascii="Times New Roman" w:eastAsia="Times New Roman" w:hAnsi="Times New Roman" w:cs="Times New Roman"/>
          <w:sz w:val="24"/>
          <w:szCs w:val="24"/>
        </w:rPr>
        <w:br/>
        <w:t>Muskegon, MI 49445</w:t>
      </w:r>
      <w:r w:rsidRPr="00D2634B">
        <w:rPr>
          <w:rFonts w:ascii="Times New Roman" w:eastAsia="Times New Roman" w:hAnsi="Times New Roman" w:cs="Times New Roman"/>
          <w:sz w:val="24"/>
          <w:szCs w:val="24"/>
        </w:rPr>
        <w:br/>
        <w:t>Email: andrewjpigors@gmail.com</w:t>
      </w:r>
      <w:r w:rsidRPr="00D2634B">
        <w:rPr>
          <w:rFonts w:ascii="Times New Roman" w:eastAsia="Times New Roman" w:hAnsi="Times New Roman" w:cs="Times New Roman"/>
          <w:sz w:val="24"/>
          <w:szCs w:val="24"/>
        </w:rPr>
        <w:br/>
        <w:t>Phone: 231-903-5690</w:t>
      </w:r>
    </w:p>
    <w:p w14:paraId="4B2FC4A5"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v.</w:t>
      </w:r>
    </w:p>
    <w:p w14:paraId="0297D19A" w14:textId="5CDE445A"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EMILY A. WATSON</w:t>
      </w:r>
      <w:r w:rsidRPr="00D2634B">
        <w:rPr>
          <w:rFonts w:ascii="Times New Roman" w:eastAsia="Times New Roman" w:hAnsi="Times New Roman" w:cs="Times New Roman"/>
          <w:sz w:val="24"/>
          <w:szCs w:val="24"/>
        </w:rPr>
        <w:br/>
      </w:r>
      <w:r w:rsidRPr="00D2634B">
        <w:rPr>
          <w:rFonts w:ascii="Times New Roman" w:eastAsia="Times New Roman" w:hAnsi="Times New Roman" w:cs="Times New Roman"/>
          <w:b/>
          <w:bCs/>
          <w:sz w:val="24"/>
          <w:szCs w:val="24"/>
        </w:rPr>
        <w:t>Defendant in Custody Case</w:t>
      </w:r>
      <w:r w:rsidRPr="00D2634B">
        <w:rPr>
          <w:rFonts w:ascii="Times New Roman" w:eastAsia="Times New Roman" w:hAnsi="Times New Roman" w:cs="Times New Roman"/>
          <w:sz w:val="24"/>
          <w:szCs w:val="24"/>
        </w:rPr>
        <w:br/>
        <w:t>Address: 216</w:t>
      </w:r>
      <w:r>
        <w:rPr>
          <w:rFonts w:ascii="Times New Roman" w:eastAsia="Times New Roman" w:hAnsi="Times New Roman" w:cs="Times New Roman"/>
          <w:sz w:val="24"/>
          <w:szCs w:val="24"/>
        </w:rPr>
        <w:t>0</w:t>
      </w:r>
      <w:r w:rsidRPr="00D2634B">
        <w:rPr>
          <w:rFonts w:ascii="Times New Roman" w:eastAsia="Times New Roman" w:hAnsi="Times New Roman" w:cs="Times New Roman"/>
          <w:sz w:val="24"/>
          <w:szCs w:val="24"/>
        </w:rPr>
        <w:t xml:space="preserve"> Garland Dr</w:t>
      </w:r>
      <w:r w:rsidRPr="00D2634B">
        <w:rPr>
          <w:rFonts w:ascii="Times New Roman" w:eastAsia="Times New Roman" w:hAnsi="Times New Roman" w:cs="Times New Roman"/>
          <w:sz w:val="24"/>
          <w:szCs w:val="24"/>
        </w:rPr>
        <w:br/>
        <w:t>Norton Shores, MI 49441</w:t>
      </w:r>
      <w:r w:rsidRPr="00D2634B">
        <w:rPr>
          <w:rFonts w:ascii="Times New Roman" w:eastAsia="Times New Roman" w:hAnsi="Times New Roman" w:cs="Times New Roman"/>
          <w:sz w:val="24"/>
          <w:szCs w:val="24"/>
        </w:rPr>
        <w:br/>
        <w:t xml:space="preserve">Email: </w:t>
      </w:r>
      <w:hyperlink r:id="rId5" w:history="1">
        <w:r w:rsidRPr="00D2634B">
          <w:rPr>
            <w:rFonts w:ascii="Times New Roman" w:eastAsia="Times New Roman" w:hAnsi="Times New Roman" w:cs="Times New Roman"/>
            <w:color w:val="0000FF"/>
            <w:sz w:val="24"/>
            <w:szCs w:val="24"/>
            <w:u w:val="single"/>
          </w:rPr>
          <w:t>watsone104@yahoo.com</w:t>
        </w:r>
      </w:hyperlink>
      <w:r w:rsidRPr="00D2634B">
        <w:rPr>
          <w:rFonts w:ascii="Times New Roman" w:eastAsia="Times New Roman" w:hAnsi="Times New Roman" w:cs="Times New Roman"/>
          <w:sz w:val="24"/>
          <w:szCs w:val="24"/>
        </w:rPr>
        <w:br/>
        <w:t>Phone: 231-683-7107</w:t>
      </w:r>
    </w:p>
    <w:p w14:paraId="1550A464"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pict w14:anchorId="7C3A6FAC">
          <v:rect id="_x0000_i1055" style="width:0;height:1.5pt" o:hralign="center" o:hrstd="t" o:hr="t" fillcolor="#a0a0a0" stroked="f"/>
        </w:pict>
      </w:r>
    </w:p>
    <w:p w14:paraId="51BF4095" w14:textId="77777777" w:rsidR="00D2634B" w:rsidRPr="00D2634B" w:rsidRDefault="00D2634B" w:rsidP="00D2634B">
      <w:pPr>
        <w:spacing w:after="0" w:line="240" w:lineRule="auto"/>
        <w:outlineLvl w:val="2"/>
        <w:rPr>
          <w:rFonts w:ascii="Times New Roman" w:eastAsia="Times New Roman" w:hAnsi="Times New Roman" w:cs="Times New Roman"/>
          <w:b/>
          <w:bCs/>
          <w:sz w:val="27"/>
          <w:szCs w:val="27"/>
        </w:rPr>
      </w:pPr>
      <w:r w:rsidRPr="00D2634B">
        <w:rPr>
          <w:rFonts w:ascii="Times New Roman" w:eastAsia="Times New Roman" w:hAnsi="Times New Roman" w:cs="Times New Roman"/>
          <w:b/>
          <w:bCs/>
          <w:sz w:val="27"/>
          <w:szCs w:val="27"/>
        </w:rPr>
        <w:t>MOTION TO REOPEN AND CONSOLIDATE CUSTODY CASE, RESTRICT INTERNATIONAL TRAVEL, MODIFY CUSTODY, PARENTING TIME, AND CHILD SUPPORT, AND REQUEST FOR FORENSIC EXAMINATION OF FINANCIAL ACCOUNTS</w:t>
      </w:r>
    </w:p>
    <w:p w14:paraId="311D8413"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INTRODUCTION</w:t>
      </w:r>
      <w:r w:rsidRPr="00D2634B">
        <w:rPr>
          <w:rFonts w:ascii="Times New Roman" w:eastAsia="Times New Roman" w:hAnsi="Times New Roman" w:cs="Times New Roman"/>
          <w:sz w:val="24"/>
          <w:szCs w:val="24"/>
        </w:rPr>
        <w:br/>
        <w:t xml:space="preserve">NOW COMES the Plaintiff, </w:t>
      </w:r>
      <w:r w:rsidRPr="00D2634B">
        <w:rPr>
          <w:rFonts w:ascii="Times New Roman" w:eastAsia="Times New Roman" w:hAnsi="Times New Roman" w:cs="Times New Roman"/>
          <w:b/>
          <w:bCs/>
          <w:sz w:val="24"/>
          <w:szCs w:val="24"/>
        </w:rPr>
        <w:t xml:space="preserve">Andrew J. </w:t>
      </w:r>
      <w:proofErr w:type="spellStart"/>
      <w:r w:rsidRPr="00D2634B">
        <w:rPr>
          <w:rFonts w:ascii="Times New Roman" w:eastAsia="Times New Roman" w:hAnsi="Times New Roman" w:cs="Times New Roman"/>
          <w:b/>
          <w:bCs/>
          <w:sz w:val="24"/>
          <w:szCs w:val="24"/>
        </w:rPr>
        <w:t>Pigors</w:t>
      </w:r>
      <w:proofErr w:type="spellEnd"/>
      <w:r w:rsidRPr="00D2634B">
        <w:rPr>
          <w:rFonts w:ascii="Times New Roman" w:eastAsia="Times New Roman" w:hAnsi="Times New Roman" w:cs="Times New Roman"/>
          <w:sz w:val="24"/>
          <w:szCs w:val="24"/>
        </w:rPr>
        <w:t>, by and through his counsel, to submit this motion seeking to reopen and consolidate custody case 2024-001507-DC with related case 2023-5907-PP, to modify parenting time and child support, to restrict international travel for LDW, and to request a forensic examination of the Defendant’s financial accounts and insurance records. This motion is necessitated by ongoing custodial interference, documented neglect, alienating behaviors, and financial misrepresentations that threaten LDW’s best interests, as prescribed by Michigan law and firmly aligned with Plaintiff’s ongoing commitment to providing a nurturing, stable, and supportive environment for LDW.</w:t>
      </w:r>
    </w:p>
    <w:p w14:paraId="54608E9D"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STATEMENT OF RELIEF REQUESTED</w:t>
      </w:r>
      <w:r w:rsidRPr="00D2634B">
        <w:rPr>
          <w:rFonts w:ascii="Times New Roman" w:eastAsia="Times New Roman" w:hAnsi="Times New Roman" w:cs="Times New Roman"/>
          <w:sz w:val="24"/>
          <w:szCs w:val="24"/>
        </w:rPr>
        <w:br/>
        <w:t>Plaintiff respectfully requests that this Honorable Court:</w:t>
      </w:r>
    </w:p>
    <w:p w14:paraId="174C0257"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Reopen Custody Case No. 2024-001507-DC</w:t>
      </w:r>
      <w:r w:rsidRPr="00D2634B">
        <w:rPr>
          <w:rFonts w:ascii="Times New Roman" w:eastAsia="Times New Roman" w:hAnsi="Times New Roman" w:cs="Times New Roman"/>
          <w:sz w:val="24"/>
          <w:szCs w:val="24"/>
        </w:rPr>
        <w:t xml:space="preserve"> to reevaluate custody and modify parenting time based on new evidence.</w:t>
      </w:r>
    </w:p>
    <w:p w14:paraId="5A028D42"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Consolidate Custody Case No. 2024-001507-DC</w:t>
      </w:r>
      <w:r w:rsidRPr="00D2634B">
        <w:rPr>
          <w:rFonts w:ascii="Times New Roman" w:eastAsia="Times New Roman" w:hAnsi="Times New Roman" w:cs="Times New Roman"/>
          <w:sz w:val="24"/>
          <w:szCs w:val="24"/>
        </w:rPr>
        <w:t xml:space="preserve"> with the existing PPO case for a unified approach to related issues.</w:t>
      </w:r>
    </w:p>
    <w:p w14:paraId="2EF20C06"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Restrict International Travel for LDW</w:t>
      </w:r>
      <w:r w:rsidRPr="00D2634B">
        <w:rPr>
          <w:rFonts w:ascii="Times New Roman" w:eastAsia="Times New Roman" w:hAnsi="Times New Roman" w:cs="Times New Roman"/>
          <w:sz w:val="24"/>
          <w:szCs w:val="24"/>
        </w:rPr>
        <w:t xml:space="preserve"> by prohibiting travel to non-Hague Convention countries to prevent custodial interference.</w:t>
      </w:r>
    </w:p>
    <w:p w14:paraId="16C3FD00"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Modify Parenting Time and Custody Arrangements</w:t>
      </w:r>
      <w:r w:rsidRPr="00D2634B">
        <w:rPr>
          <w:rFonts w:ascii="Times New Roman" w:eastAsia="Times New Roman" w:hAnsi="Times New Roman" w:cs="Times New Roman"/>
          <w:sz w:val="24"/>
          <w:szCs w:val="24"/>
        </w:rPr>
        <w:t xml:space="preserve"> to provide Plaintiff with primary custody or equal joint custody to prevent further alienation of LDW.</w:t>
      </w:r>
    </w:p>
    <w:p w14:paraId="77CDB307"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lastRenderedPageBreak/>
        <w:t>Modify Child Support Calculations</w:t>
      </w:r>
      <w:r w:rsidRPr="00D2634B">
        <w:rPr>
          <w:rFonts w:ascii="Times New Roman" w:eastAsia="Times New Roman" w:hAnsi="Times New Roman" w:cs="Times New Roman"/>
          <w:sz w:val="24"/>
          <w:szCs w:val="24"/>
        </w:rPr>
        <w:t xml:space="preserve"> to reflect accurate financial contributions from both parties, considering misrepresented income from Emily’s multiple financial sources.</w:t>
      </w:r>
    </w:p>
    <w:p w14:paraId="2959FF11" w14:textId="21ED365D" w:rsidR="00D2634B" w:rsidRDefault="00D2634B" w:rsidP="00D2634B">
      <w:pPr>
        <w:numPr>
          <w:ilvl w:val="0"/>
          <w:numId w:val="1"/>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Order a Forensic Examination of Emily Watson’s Financial Accounts</w:t>
      </w:r>
      <w:r w:rsidRPr="00D2634B">
        <w:rPr>
          <w:rFonts w:ascii="Times New Roman" w:eastAsia="Times New Roman" w:hAnsi="Times New Roman" w:cs="Times New Roman"/>
          <w:sz w:val="24"/>
          <w:szCs w:val="24"/>
        </w:rPr>
        <w:t xml:space="preserve"> to verify her insurance costs, additional sources of income, and use of multiple bank accounts, ensuring transparency and fair child support calculations.</w:t>
      </w:r>
    </w:p>
    <w:p w14:paraId="244B57BE" w14:textId="77777777" w:rsidR="00D2634B" w:rsidRPr="00D2634B" w:rsidRDefault="00D2634B" w:rsidP="00D2634B">
      <w:pPr>
        <w:numPr>
          <w:ilvl w:val="0"/>
          <w:numId w:val="1"/>
        </w:numPr>
        <w:spacing w:after="0" w:line="240" w:lineRule="auto"/>
        <w:rPr>
          <w:rFonts w:ascii="Times New Roman" w:eastAsia="Times New Roman" w:hAnsi="Times New Roman" w:cs="Times New Roman"/>
          <w:sz w:val="24"/>
          <w:szCs w:val="24"/>
        </w:rPr>
      </w:pPr>
    </w:p>
    <w:p w14:paraId="7C9AFBD3" w14:textId="77777777" w:rsidR="00D2634B" w:rsidRPr="00D2634B" w:rsidRDefault="00D2634B" w:rsidP="00D2634B">
      <w:pPr>
        <w:spacing w:after="0" w:line="240" w:lineRule="auto"/>
        <w:outlineLvl w:val="2"/>
        <w:rPr>
          <w:rFonts w:ascii="Times New Roman" w:eastAsia="Times New Roman" w:hAnsi="Times New Roman" w:cs="Times New Roman"/>
          <w:b/>
          <w:bCs/>
          <w:sz w:val="27"/>
          <w:szCs w:val="27"/>
        </w:rPr>
      </w:pPr>
      <w:r w:rsidRPr="00D2634B">
        <w:rPr>
          <w:rFonts w:ascii="Times New Roman" w:eastAsia="Times New Roman" w:hAnsi="Times New Roman" w:cs="Times New Roman"/>
          <w:b/>
          <w:bCs/>
          <w:sz w:val="27"/>
          <w:szCs w:val="27"/>
        </w:rPr>
        <w:t>FACTUAL AND LEGAL GROUNDS</w:t>
      </w:r>
    </w:p>
    <w:p w14:paraId="60BBC6E2"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1. Reopen Custody Case No. 2024-001507-DC for Evaluation of Custody and Modification of Parenting Time</w:t>
      </w:r>
    </w:p>
    <w:p w14:paraId="1EC9C869"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Under </w:t>
      </w:r>
      <w:r w:rsidRPr="00D2634B">
        <w:rPr>
          <w:rFonts w:ascii="Times New Roman" w:eastAsia="Times New Roman" w:hAnsi="Times New Roman" w:cs="Times New Roman"/>
          <w:b/>
          <w:bCs/>
          <w:sz w:val="24"/>
          <w:szCs w:val="24"/>
        </w:rPr>
        <w:t>MCL 722.27(1)(c)</w:t>
      </w:r>
      <w:r w:rsidRPr="00D2634B">
        <w:rPr>
          <w:rFonts w:ascii="Times New Roman" w:eastAsia="Times New Roman" w:hAnsi="Times New Roman" w:cs="Times New Roman"/>
          <w:sz w:val="24"/>
          <w:szCs w:val="24"/>
        </w:rPr>
        <w:t>, the Court is authorized to modify custody based on a material change in circumstances that prioritize the child’s best interests. Here, Plaintiff has invested substantial personal and financial resources into creating a stable, safe, and developmentally supportive environment for LDW, including consistent healthcare monitoring, emotional support, and a secure home where LDW is encouraged to grow and feel valued. Plaintiff has further remodeled his home specifically to enhance comfort for LDW, retained records of expenditures to demonstrate this commitment, and maintained detailed documentation to substantiate his responsible and proactive role as a father.</w:t>
      </w:r>
    </w:p>
    <w:p w14:paraId="3E1A24BC"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In contrast, Defendant has engaged in actions that undermine this stability and negatively impact LDW’s welfare, including but not limited to:</w:t>
      </w:r>
    </w:p>
    <w:p w14:paraId="0C0009CE" w14:textId="77777777" w:rsidR="00D2634B" w:rsidRPr="00D2634B" w:rsidRDefault="00D2634B" w:rsidP="00D2634B">
      <w:pPr>
        <w:numPr>
          <w:ilvl w:val="0"/>
          <w:numId w:val="2"/>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Alienating Behaviors and Interference</w:t>
      </w:r>
      <w:r w:rsidRPr="00D2634B">
        <w:rPr>
          <w:rFonts w:ascii="Times New Roman" w:eastAsia="Times New Roman" w:hAnsi="Times New Roman" w:cs="Times New Roman"/>
          <w:sz w:val="24"/>
          <w:szCs w:val="24"/>
        </w:rPr>
        <w:t>: Plaintiff has documented consistent evidence of Emily’s efforts to sever and impair LDW’s relationship with Plaintiff. For example, Emily has:</w:t>
      </w:r>
    </w:p>
    <w:p w14:paraId="7884DE94" w14:textId="77777777" w:rsidR="00D2634B" w:rsidRPr="00D2634B" w:rsidRDefault="00D2634B" w:rsidP="00D2634B">
      <w:pPr>
        <w:numPr>
          <w:ilvl w:val="1"/>
          <w:numId w:val="2"/>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Scheduled Vacations During Plaintiff’s Parenting Time</w:t>
      </w:r>
      <w:r w:rsidRPr="00D2634B">
        <w:rPr>
          <w:rFonts w:ascii="Times New Roman" w:eastAsia="Times New Roman" w:hAnsi="Times New Roman" w:cs="Times New Roman"/>
          <w:sz w:val="24"/>
          <w:szCs w:val="24"/>
        </w:rPr>
        <w:t xml:space="preserve">: By arranging vacations to deprive Plaintiff of scheduled parenting time and subsequently refusing to allow makeup days, Emily has obstructed Plaintiff’s lawful access to LDW, thereby fostering prolonged periods where LDW is denied interaction with his father. Such actions violate </w:t>
      </w:r>
      <w:r w:rsidRPr="00D2634B">
        <w:rPr>
          <w:rFonts w:ascii="Times New Roman" w:eastAsia="Times New Roman" w:hAnsi="Times New Roman" w:cs="Times New Roman"/>
          <w:b/>
          <w:bCs/>
          <w:sz w:val="24"/>
          <w:szCs w:val="24"/>
        </w:rPr>
        <w:t>MCL 722.27a</w:t>
      </w:r>
      <w:r w:rsidRPr="00D2634B">
        <w:rPr>
          <w:rFonts w:ascii="Times New Roman" w:eastAsia="Times New Roman" w:hAnsi="Times New Roman" w:cs="Times New Roman"/>
          <w:sz w:val="24"/>
          <w:szCs w:val="24"/>
        </w:rPr>
        <w:t xml:space="preserve">, which mandates reasonable parenting time to foster the child’s relationship with both parents. The Michigan Court of Appeals in </w:t>
      </w:r>
      <w:r w:rsidRPr="00D2634B">
        <w:rPr>
          <w:rFonts w:ascii="Times New Roman" w:eastAsia="Times New Roman" w:hAnsi="Times New Roman" w:cs="Times New Roman"/>
          <w:b/>
          <w:bCs/>
          <w:sz w:val="24"/>
          <w:szCs w:val="24"/>
        </w:rPr>
        <w:t xml:space="preserve">Theresa A. Johnson v. Lawrence S. Johnson, 224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595 (1997)</w:t>
      </w:r>
      <w:r w:rsidRPr="00D2634B">
        <w:rPr>
          <w:rFonts w:ascii="Times New Roman" w:eastAsia="Times New Roman" w:hAnsi="Times New Roman" w:cs="Times New Roman"/>
          <w:sz w:val="24"/>
          <w:szCs w:val="24"/>
        </w:rPr>
        <w:t xml:space="preserve"> held that custody arrangements should uphold the child’s connection with both parents.</w:t>
      </w:r>
    </w:p>
    <w:p w14:paraId="1C5BBD31" w14:textId="77777777" w:rsidR="00D2634B" w:rsidRPr="00D2634B" w:rsidRDefault="00D2634B" w:rsidP="00D2634B">
      <w:pPr>
        <w:numPr>
          <w:ilvl w:val="1"/>
          <w:numId w:val="2"/>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Unexplained Injuries</w:t>
      </w:r>
      <w:r w:rsidRPr="00D2634B">
        <w:rPr>
          <w:rFonts w:ascii="Times New Roman" w:eastAsia="Times New Roman" w:hAnsi="Times New Roman" w:cs="Times New Roman"/>
          <w:sz w:val="24"/>
          <w:szCs w:val="24"/>
        </w:rPr>
        <w:t xml:space="preserve">: Documented evidence shows that LDW has arrived at exchanges with bruises, welts, and, most recently, a black eye on October 17, 2024, suggesting potential neglect or lack of supervision in Emily’s household. This pattern raises concerns regarding her fitness as a custodial parent as per </w:t>
      </w:r>
      <w:r w:rsidRPr="00D2634B">
        <w:rPr>
          <w:rFonts w:ascii="Times New Roman" w:eastAsia="Times New Roman" w:hAnsi="Times New Roman" w:cs="Times New Roman"/>
          <w:b/>
          <w:bCs/>
          <w:sz w:val="24"/>
          <w:szCs w:val="24"/>
        </w:rPr>
        <w:t>MCL 722.23(c)</w:t>
      </w:r>
      <w:r w:rsidRPr="00D2634B">
        <w:rPr>
          <w:rFonts w:ascii="Times New Roman" w:eastAsia="Times New Roman" w:hAnsi="Times New Roman" w:cs="Times New Roman"/>
          <w:sz w:val="24"/>
          <w:szCs w:val="24"/>
        </w:rPr>
        <w:t>, which underscores the significance of the child’s safety and the physical environment in determining custody.</w:t>
      </w:r>
    </w:p>
    <w:p w14:paraId="0675CA29"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Given the gravity of these documented concerns, Plaintiff respectfully urges this Court to reopen the custody case to re-assess parenting time arrangements and to consider assigning primary custody or equal shared custody to Plaintiff.</w:t>
      </w:r>
    </w:p>
    <w:p w14:paraId="6FD933B3"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2. Consolidation of Custody and PPO Cases</w:t>
      </w:r>
    </w:p>
    <w:p w14:paraId="7AA14BB1"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Pursuant to </w:t>
      </w:r>
      <w:r w:rsidRPr="00D2634B">
        <w:rPr>
          <w:rFonts w:ascii="Times New Roman" w:eastAsia="Times New Roman" w:hAnsi="Times New Roman" w:cs="Times New Roman"/>
          <w:b/>
          <w:bCs/>
          <w:sz w:val="24"/>
          <w:szCs w:val="24"/>
        </w:rPr>
        <w:t>MCR 2.505</w:t>
      </w:r>
      <w:r w:rsidRPr="00D2634B">
        <w:rPr>
          <w:rFonts w:ascii="Times New Roman" w:eastAsia="Times New Roman" w:hAnsi="Times New Roman" w:cs="Times New Roman"/>
          <w:sz w:val="24"/>
          <w:szCs w:val="24"/>
        </w:rPr>
        <w:t xml:space="preserve">, consolidation is appropriate when cases are closely related in terms of facts, issues, or parties. The custody and PPO cases at hand are interwoven, involving interconnected matters of custodial rights, harassment, and LDW’s emotional and physical well-being. Consolidating these cases will streamline judicial review, enhance procedural efficiency, and prevent potential conflicts in rulings that could undermine LDW’s best interests. A unified </w:t>
      </w:r>
      <w:r w:rsidRPr="00D2634B">
        <w:rPr>
          <w:rFonts w:ascii="Times New Roman" w:eastAsia="Times New Roman" w:hAnsi="Times New Roman" w:cs="Times New Roman"/>
          <w:sz w:val="24"/>
          <w:szCs w:val="24"/>
        </w:rPr>
        <w:lastRenderedPageBreak/>
        <w:t>proceeding will allow the Court to make holistic determinations, addressing all issues simultaneously.</w:t>
      </w:r>
    </w:p>
    <w:p w14:paraId="18E1B446"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3. Restrict International Travel to Non-Hague Convention Countries</w:t>
      </w:r>
    </w:p>
    <w:p w14:paraId="25CD955B"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To prevent potential custodial interference, Plaintiff requests a prohibition on LDW’s international travel to non-Hague Convention countries, as provided by </w:t>
      </w:r>
      <w:r w:rsidRPr="00D2634B">
        <w:rPr>
          <w:rFonts w:ascii="Times New Roman" w:eastAsia="Times New Roman" w:hAnsi="Times New Roman" w:cs="Times New Roman"/>
          <w:b/>
          <w:bCs/>
          <w:sz w:val="24"/>
          <w:szCs w:val="24"/>
        </w:rPr>
        <w:t>MCL 722.27a(4)</w:t>
      </w:r>
      <w:r w:rsidRPr="00D2634B">
        <w:rPr>
          <w:rFonts w:ascii="Times New Roman" w:eastAsia="Times New Roman" w:hAnsi="Times New Roman" w:cs="Times New Roman"/>
          <w:sz w:val="24"/>
          <w:szCs w:val="24"/>
        </w:rPr>
        <w:t>. Plaintiff has substantial grounds to believe that Emily’s recent refusal to coordinate travel plans, coupled with her denial of makeup parenting time, signifies potential plans to remove LDW permanently from Plaintiff’s parental access, especially given the hostile actions Plaintiff has documented.</w:t>
      </w:r>
    </w:p>
    <w:p w14:paraId="5AE7992D"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The Michigan Court of Appeals in </w:t>
      </w:r>
      <w:r w:rsidRPr="00D2634B">
        <w:rPr>
          <w:rFonts w:ascii="Times New Roman" w:eastAsia="Times New Roman" w:hAnsi="Times New Roman" w:cs="Times New Roman"/>
          <w:b/>
          <w:bCs/>
          <w:sz w:val="24"/>
          <w:szCs w:val="24"/>
        </w:rPr>
        <w:t xml:space="preserve">Spires v. Bergman, 276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432 (2007)</w:t>
      </w:r>
      <w:r w:rsidRPr="00D2634B">
        <w:rPr>
          <w:rFonts w:ascii="Times New Roman" w:eastAsia="Times New Roman" w:hAnsi="Times New Roman" w:cs="Times New Roman"/>
          <w:sz w:val="24"/>
          <w:szCs w:val="24"/>
        </w:rPr>
        <w:t xml:space="preserve"> supported the imposition of travel restrictions in custody cases to protect the child’s relationship with both parents. Many non-Hague Convention countries do not enforce U.S. custody orders or uphold the parental rights granted by American courts. Restricting LDW’s international travel to such countries is therefore essential to safeguarding Plaintiff’s parental rights and ensuring LDW’s safety.</w:t>
      </w:r>
    </w:p>
    <w:p w14:paraId="01EC3A61"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4. Modification of Parenting Time and Custody</w:t>
      </w:r>
    </w:p>
    <w:p w14:paraId="5E884559"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Plaintiff respectfully requests a modification in the current custody arrangement to grant either primary custody or equal parenting time to Plaintiff. This modification is warranted by Emily’s ongoing alienating behaviors, documented neglect, and refusal to foster a co-parenting relationship, which negatively affect LDW’s emotional and developmental needs.</w:t>
      </w:r>
    </w:p>
    <w:p w14:paraId="2CD94452" w14:textId="77777777" w:rsidR="00D2634B" w:rsidRPr="00D2634B" w:rsidRDefault="00D2634B" w:rsidP="00D2634B">
      <w:pPr>
        <w:numPr>
          <w:ilvl w:val="0"/>
          <w:numId w:val="3"/>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Refusal to Inform Plaintiff of Health and Educational Decisions</w:t>
      </w:r>
      <w:r w:rsidRPr="00D2634B">
        <w:rPr>
          <w:rFonts w:ascii="Times New Roman" w:eastAsia="Times New Roman" w:hAnsi="Times New Roman" w:cs="Times New Roman"/>
          <w:sz w:val="24"/>
          <w:szCs w:val="24"/>
        </w:rPr>
        <w:t xml:space="preserve">: Emily has consistently disregarded Plaintiff’s legal right to be involved in critical health and educational decisions regarding LDW, contravening </w:t>
      </w:r>
      <w:r w:rsidRPr="00D2634B">
        <w:rPr>
          <w:rFonts w:ascii="Times New Roman" w:eastAsia="Times New Roman" w:hAnsi="Times New Roman" w:cs="Times New Roman"/>
          <w:b/>
          <w:bCs/>
          <w:sz w:val="24"/>
          <w:szCs w:val="24"/>
        </w:rPr>
        <w:t>MCL 722.26a</w:t>
      </w:r>
      <w:r w:rsidRPr="00D2634B">
        <w:rPr>
          <w:rFonts w:ascii="Times New Roman" w:eastAsia="Times New Roman" w:hAnsi="Times New Roman" w:cs="Times New Roman"/>
          <w:sz w:val="24"/>
          <w:szCs w:val="24"/>
        </w:rPr>
        <w:t xml:space="preserve">, which mandates parental cooperation in joint custody arrangements. The precedent set in </w:t>
      </w:r>
      <w:r w:rsidRPr="00D2634B">
        <w:rPr>
          <w:rFonts w:ascii="Times New Roman" w:eastAsia="Times New Roman" w:hAnsi="Times New Roman" w:cs="Times New Roman"/>
          <w:b/>
          <w:bCs/>
          <w:sz w:val="24"/>
          <w:szCs w:val="24"/>
        </w:rPr>
        <w:t>Lentz v. Lentz</w:t>
      </w:r>
      <w:r w:rsidRPr="00D2634B">
        <w:rPr>
          <w:rFonts w:ascii="Times New Roman" w:eastAsia="Times New Roman" w:hAnsi="Times New Roman" w:cs="Times New Roman"/>
          <w:sz w:val="24"/>
          <w:szCs w:val="24"/>
        </w:rPr>
        <w:t xml:space="preserve"> reinforces the necessity for transparent communication between parents holding joint custody over key parenting issues.</w:t>
      </w:r>
    </w:p>
    <w:p w14:paraId="261ED83B" w14:textId="77777777" w:rsidR="00D2634B" w:rsidRPr="00D2634B" w:rsidRDefault="00D2634B" w:rsidP="00D2634B">
      <w:pPr>
        <w:numPr>
          <w:ilvl w:val="0"/>
          <w:numId w:val="3"/>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Documented Health and Safety Concerns</w:t>
      </w:r>
      <w:r w:rsidRPr="00D2634B">
        <w:rPr>
          <w:rFonts w:ascii="Times New Roman" w:eastAsia="Times New Roman" w:hAnsi="Times New Roman" w:cs="Times New Roman"/>
          <w:sz w:val="24"/>
          <w:szCs w:val="24"/>
        </w:rPr>
        <w:t xml:space="preserve">: In </w:t>
      </w:r>
      <w:proofErr w:type="spellStart"/>
      <w:r w:rsidRPr="00D2634B">
        <w:rPr>
          <w:rFonts w:ascii="Times New Roman" w:eastAsia="Times New Roman" w:hAnsi="Times New Roman" w:cs="Times New Roman"/>
          <w:b/>
          <w:bCs/>
          <w:sz w:val="24"/>
          <w:szCs w:val="24"/>
        </w:rPr>
        <w:t>Vodvarka</w:t>
      </w:r>
      <w:proofErr w:type="spellEnd"/>
      <w:r w:rsidRPr="00D2634B">
        <w:rPr>
          <w:rFonts w:ascii="Times New Roman" w:eastAsia="Times New Roman" w:hAnsi="Times New Roman" w:cs="Times New Roman"/>
          <w:b/>
          <w:bCs/>
          <w:sz w:val="24"/>
          <w:szCs w:val="24"/>
        </w:rPr>
        <w:t xml:space="preserve"> v. </w:t>
      </w:r>
      <w:proofErr w:type="spellStart"/>
      <w:r w:rsidRPr="00D2634B">
        <w:rPr>
          <w:rFonts w:ascii="Times New Roman" w:eastAsia="Times New Roman" w:hAnsi="Times New Roman" w:cs="Times New Roman"/>
          <w:b/>
          <w:bCs/>
          <w:sz w:val="24"/>
          <w:szCs w:val="24"/>
        </w:rPr>
        <w:t>Grasmeyer</w:t>
      </w:r>
      <w:proofErr w:type="spellEnd"/>
      <w:r w:rsidRPr="00D2634B">
        <w:rPr>
          <w:rFonts w:ascii="Times New Roman" w:eastAsia="Times New Roman" w:hAnsi="Times New Roman" w:cs="Times New Roman"/>
          <w:b/>
          <w:bCs/>
          <w:sz w:val="24"/>
          <w:szCs w:val="24"/>
        </w:rPr>
        <w:t xml:space="preserve">, 259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499 (2003)</w:t>
      </w:r>
      <w:r w:rsidRPr="00D2634B">
        <w:rPr>
          <w:rFonts w:ascii="Times New Roman" w:eastAsia="Times New Roman" w:hAnsi="Times New Roman" w:cs="Times New Roman"/>
          <w:sz w:val="24"/>
          <w:szCs w:val="24"/>
        </w:rPr>
        <w:t xml:space="preserve">, the Court emphasized the importance of a stable, safe environment in custodial decisions. Plaintiff has substantiated his concerns over LDW’s welfare with documented evidence of physical injuries and emotional distress, reinforcing that the current custodial arrangement is not meeting LDW’s best interests under </w:t>
      </w:r>
      <w:r w:rsidRPr="00D2634B">
        <w:rPr>
          <w:rFonts w:ascii="Times New Roman" w:eastAsia="Times New Roman" w:hAnsi="Times New Roman" w:cs="Times New Roman"/>
          <w:b/>
          <w:bCs/>
          <w:sz w:val="24"/>
          <w:szCs w:val="24"/>
        </w:rPr>
        <w:t>MCL 722.23</w:t>
      </w:r>
      <w:r w:rsidRPr="00D2634B">
        <w:rPr>
          <w:rFonts w:ascii="Times New Roman" w:eastAsia="Times New Roman" w:hAnsi="Times New Roman" w:cs="Times New Roman"/>
          <w:sz w:val="24"/>
          <w:szCs w:val="24"/>
        </w:rPr>
        <w:t>.</w:t>
      </w:r>
    </w:p>
    <w:p w14:paraId="085A0C21"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5. Modification of Child Support Calculations</w:t>
      </w:r>
    </w:p>
    <w:p w14:paraId="0190066A"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Plaintiff requests a recalculation of child support to accurately reflect Defendant’s true financial circumstances, including support from her brother Cody and additional payments from another child’s father. Furthermore, Emily’s employer-provided insurance benefits cover a substantial portion of her health expenses, yet she has inaccurately reported these as personal expenses in prior calculations, directly impacting child support determinations.</w:t>
      </w:r>
    </w:p>
    <w:p w14:paraId="0D52BB5F" w14:textId="77777777" w:rsidR="00D2634B" w:rsidRPr="00D2634B" w:rsidRDefault="00D2634B" w:rsidP="00D2634B">
      <w:pPr>
        <w:numPr>
          <w:ilvl w:val="0"/>
          <w:numId w:val="4"/>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Transparency in Financial Reporting</w:t>
      </w:r>
      <w:r w:rsidRPr="00D2634B">
        <w:rPr>
          <w:rFonts w:ascii="Times New Roman" w:eastAsia="Times New Roman" w:hAnsi="Times New Roman" w:cs="Times New Roman"/>
          <w:sz w:val="24"/>
          <w:szCs w:val="24"/>
        </w:rPr>
        <w:t xml:space="preserve">: Both </w:t>
      </w:r>
      <w:r w:rsidRPr="00D2634B">
        <w:rPr>
          <w:rFonts w:ascii="Times New Roman" w:eastAsia="Times New Roman" w:hAnsi="Times New Roman" w:cs="Times New Roman"/>
          <w:b/>
          <w:bCs/>
          <w:sz w:val="24"/>
          <w:szCs w:val="24"/>
        </w:rPr>
        <w:t>MCL 552.602</w:t>
      </w:r>
      <w:r w:rsidRPr="00D2634B">
        <w:rPr>
          <w:rFonts w:ascii="Times New Roman" w:eastAsia="Times New Roman" w:hAnsi="Times New Roman" w:cs="Times New Roman"/>
          <w:sz w:val="24"/>
          <w:szCs w:val="24"/>
        </w:rPr>
        <w:t xml:space="preserve"> and the Michigan Child Support Formula Manual require full and accurate financial disclosures from both parties to ensure equitable child support determinations. In </w:t>
      </w:r>
      <w:proofErr w:type="spellStart"/>
      <w:r w:rsidRPr="00D2634B">
        <w:rPr>
          <w:rFonts w:ascii="Times New Roman" w:eastAsia="Times New Roman" w:hAnsi="Times New Roman" w:cs="Times New Roman"/>
          <w:b/>
          <w:bCs/>
          <w:sz w:val="24"/>
          <w:szCs w:val="24"/>
        </w:rPr>
        <w:t>Riemersma</w:t>
      </w:r>
      <w:proofErr w:type="spellEnd"/>
      <w:r w:rsidRPr="00D2634B">
        <w:rPr>
          <w:rFonts w:ascii="Times New Roman" w:eastAsia="Times New Roman" w:hAnsi="Times New Roman" w:cs="Times New Roman"/>
          <w:b/>
          <w:bCs/>
          <w:sz w:val="24"/>
          <w:szCs w:val="24"/>
        </w:rPr>
        <w:t xml:space="preserve"> v. </w:t>
      </w:r>
      <w:proofErr w:type="spellStart"/>
      <w:r w:rsidRPr="00D2634B">
        <w:rPr>
          <w:rFonts w:ascii="Times New Roman" w:eastAsia="Times New Roman" w:hAnsi="Times New Roman" w:cs="Times New Roman"/>
          <w:b/>
          <w:bCs/>
          <w:sz w:val="24"/>
          <w:szCs w:val="24"/>
        </w:rPr>
        <w:t>Riemersma</w:t>
      </w:r>
      <w:proofErr w:type="spellEnd"/>
      <w:r w:rsidRPr="00D2634B">
        <w:rPr>
          <w:rFonts w:ascii="Times New Roman" w:eastAsia="Times New Roman" w:hAnsi="Times New Roman" w:cs="Times New Roman"/>
          <w:b/>
          <w:bCs/>
          <w:sz w:val="24"/>
          <w:szCs w:val="24"/>
        </w:rPr>
        <w:t xml:space="preserve">, 314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632 (2016)</w:t>
      </w:r>
      <w:r w:rsidRPr="00D2634B">
        <w:rPr>
          <w:rFonts w:ascii="Times New Roman" w:eastAsia="Times New Roman" w:hAnsi="Times New Roman" w:cs="Times New Roman"/>
          <w:sz w:val="24"/>
          <w:szCs w:val="24"/>
        </w:rPr>
        <w:t>, the Court held that undisclosed or misrepresented income and benefits are grounds for recalculating support, affirming the need for accuracy in support calculations.</w:t>
      </w:r>
    </w:p>
    <w:p w14:paraId="39EADB18" w14:textId="77777777" w:rsidR="00D2634B" w:rsidRPr="00D2634B" w:rsidRDefault="00D2634B" w:rsidP="00D2634B">
      <w:pPr>
        <w:numPr>
          <w:ilvl w:val="0"/>
          <w:numId w:val="4"/>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Misrepresentation of Insurance Costs</w:t>
      </w:r>
      <w:r w:rsidRPr="00D2634B">
        <w:rPr>
          <w:rFonts w:ascii="Times New Roman" w:eastAsia="Times New Roman" w:hAnsi="Times New Roman" w:cs="Times New Roman"/>
          <w:sz w:val="24"/>
          <w:szCs w:val="24"/>
        </w:rPr>
        <w:t xml:space="preserve">: Defendant’s insurance expenses are predominantly covered as a county employee benefit, and her claims of inflated insurance costs are inconsistent with Michigan’s standards for child support transparency. A </w:t>
      </w:r>
      <w:r w:rsidRPr="00D2634B">
        <w:rPr>
          <w:rFonts w:ascii="Times New Roman" w:eastAsia="Times New Roman" w:hAnsi="Times New Roman" w:cs="Times New Roman"/>
          <w:sz w:val="24"/>
          <w:szCs w:val="24"/>
        </w:rPr>
        <w:lastRenderedPageBreak/>
        <w:t>thorough review will ensure that all calculations are reflective of each party’s true financial capacity and contribution to LDW’s needs.</w:t>
      </w:r>
    </w:p>
    <w:p w14:paraId="01E3F3D0" w14:textId="77777777" w:rsidR="00D2634B" w:rsidRPr="00D2634B" w:rsidRDefault="00D2634B" w:rsidP="00D2634B">
      <w:pPr>
        <w:spacing w:after="0" w:line="240" w:lineRule="auto"/>
        <w:outlineLvl w:val="3"/>
        <w:rPr>
          <w:rFonts w:ascii="Times New Roman" w:eastAsia="Times New Roman" w:hAnsi="Times New Roman" w:cs="Times New Roman"/>
          <w:b/>
          <w:bCs/>
          <w:sz w:val="24"/>
          <w:szCs w:val="24"/>
        </w:rPr>
      </w:pPr>
      <w:r w:rsidRPr="00D2634B">
        <w:rPr>
          <w:rFonts w:ascii="Times New Roman" w:eastAsia="Times New Roman" w:hAnsi="Times New Roman" w:cs="Times New Roman"/>
          <w:b/>
          <w:bCs/>
          <w:sz w:val="24"/>
          <w:szCs w:val="24"/>
        </w:rPr>
        <w:t>6. Forensic Examination of Emily’s Financial Accounts and Insurance Payments</w:t>
      </w:r>
    </w:p>
    <w:p w14:paraId="210D2451"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To ensure child support transparency and prevent further financial misrepresentations, Plaintiff requests a forensic examination of Emily’s financial accounts, insurance records, and sources of additional income. This investigation is aligned with </w:t>
      </w:r>
      <w:r w:rsidRPr="00D2634B">
        <w:rPr>
          <w:rFonts w:ascii="Times New Roman" w:eastAsia="Times New Roman" w:hAnsi="Times New Roman" w:cs="Times New Roman"/>
          <w:b/>
          <w:bCs/>
          <w:sz w:val="24"/>
          <w:szCs w:val="24"/>
        </w:rPr>
        <w:t>MCL 552.517</w:t>
      </w:r>
      <w:r w:rsidRPr="00D2634B">
        <w:rPr>
          <w:rFonts w:ascii="Times New Roman" w:eastAsia="Times New Roman" w:hAnsi="Times New Roman" w:cs="Times New Roman"/>
          <w:sz w:val="24"/>
          <w:szCs w:val="24"/>
        </w:rPr>
        <w:t>, which empowers the Court to examine a party’s financial status if child support determinations are impacted by potential financial misrepresentations.</w:t>
      </w:r>
    </w:p>
    <w:p w14:paraId="10370249" w14:textId="77777777" w:rsidR="00D2634B" w:rsidRPr="00D2634B" w:rsidRDefault="00D2634B" w:rsidP="00D2634B">
      <w:pPr>
        <w:numPr>
          <w:ilvl w:val="0"/>
          <w:numId w:val="5"/>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Multiple Bank Accounts and Undisclosed Income</w:t>
      </w:r>
      <w:r w:rsidRPr="00D2634B">
        <w:rPr>
          <w:rFonts w:ascii="Times New Roman" w:eastAsia="Times New Roman" w:hAnsi="Times New Roman" w:cs="Times New Roman"/>
          <w:sz w:val="24"/>
          <w:szCs w:val="24"/>
        </w:rPr>
        <w:t xml:space="preserve">: There is evidence that Emily accesses multiple bank accounts and receives financial support from her brother Cody and other sources not disclosed to the Court. An examination will ensure transparency and prevent further inaccuracies in child support calculations, as upheld in </w:t>
      </w:r>
      <w:r w:rsidRPr="00D2634B">
        <w:rPr>
          <w:rFonts w:ascii="Times New Roman" w:eastAsia="Times New Roman" w:hAnsi="Times New Roman" w:cs="Times New Roman"/>
          <w:b/>
          <w:bCs/>
          <w:sz w:val="24"/>
          <w:szCs w:val="24"/>
        </w:rPr>
        <w:t xml:space="preserve">Thompson v. Thompson, 261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353 (2004)</w:t>
      </w:r>
      <w:r w:rsidRPr="00D2634B">
        <w:rPr>
          <w:rFonts w:ascii="Times New Roman" w:eastAsia="Times New Roman" w:hAnsi="Times New Roman" w:cs="Times New Roman"/>
          <w:sz w:val="24"/>
          <w:szCs w:val="24"/>
        </w:rPr>
        <w:t>, where the Court found that misrepresented financial information necessitates support recalculations.</w:t>
      </w:r>
    </w:p>
    <w:p w14:paraId="295F603F" w14:textId="77777777" w:rsidR="00D2634B" w:rsidRPr="00D2634B" w:rsidRDefault="00D2634B" w:rsidP="00D2634B">
      <w:pPr>
        <w:numPr>
          <w:ilvl w:val="0"/>
          <w:numId w:val="5"/>
        </w:num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Verification of Insurance Costs</w:t>
      </w:r>
      <w:r w:rsidRPr="00D2634B">
        <w:rPr>
          <w:rFonts w:ascii="Times New Roman" w:eastAsia="Times New Roman" w:hAnsi="Times New Roman" w:cs="Times New Roman"/>
          <w:sz w:val="24"/>
          <w:szCs w:val="24"/>
        </w:rPr>
        <w:t>: Given the substantial county-provided insurance coverage Defendant receives, Plaintiff requests verification of her actual insurance expenses to correct any discrepancies affecting child support determinations.</w:t>
      </w:r>
    </w:p>
    <w:p w14:paraId="4AFC0D6E"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pict w14:anchorId="68DB108B">
          <v:rect id="_x0000_i1056" style="width:0;height:1.5pt" o:hralign="center" o:hrstd="t" o:hr="t" fillcolor="#a0a0a0" stroked="f"/>
        </w:pict>
      </w:r>
    </w:p>
    <w:p w14:paraId="429C05CF" w14:textId="77777777" w:rsidR="00D2634B" w:rsidRPr="00D2634B" w:rsidRDefault="00D2634B" w:rsidP="00D2634B">
      <w:pPr>
        <w:spacing w:after="0" w:line="240" w:lineRule="auto"/>
        <w:outlineLvl w:val="2"/>
        <w:rPr>
          <w:rFonts w:ascii="Times New Roman" w:eastAsia="Times New Roman" w:hAnsi="Times New Roman" w:cs="Times New Roman"/>
          <w:b/>
          <w:bCs/>
          <w:sz w:val="27"/>
          <w:szCs w:val="27"/>
        </w:rPr>
      </w:pPr>
      <w:r w:rsidRPr="00D2634B">
        <w:rPr>
          <w:rFonts w:ascii="Times New Roman" w:eastAsia="Times New Roman" w:hAnsi="Times New Roman" w:cs="Times New Roman"/>
          <w:b/>
          <w:bCs/>
          <w:sz w:val="27"/>
          <w:szCs w:val="27"/>
        </w:rPr>
        <w:t>CONCLUSION</w:t>
      </w:r>
    </w:p>
    <w:p w14:paraId="7697AFA9"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Plaintiff </w:t>
      </w:r>
      <w:r w:rsidRPr="00D2634B">
        <w:rPr>
          <w:rFonts w:ascii="Times New Roman" w:eastAsia="Times New Roman" w:hAnsi="Times New Roman" w:cs="Times New Roman"/>
          <w:b/>
          <w:bCs/>
          <w:sz w:val="24"/>
          <w:szCs w:val="24"/>
        </w:rPr>
        <w:t xml:space="preserve">Andrew J. </w:t>
      </w:r>
      <w:proofErr w:type="spellStart"/>
      <w:r w:rsidRPr="00D2634B">
        <w:rPr>
          <w:rFonts w:ascii="Times New Roman" w:eastAsia="Times New Roman" w:hAnsi="Times New Roman" w:cs="Times New Roman"/>
          <w:b/>
          <w:bCs/>
          <w:sz w:val="24"/>
          <w:szCs w:val="24"/>
        </w:rPr>
        <w:t>Pigors</w:t>
      </w:r>
      <w:proofErr w:type="spellEnd"/>
      <w:r w:rsidRPr="00D2634B">
        <w:rPr>
          <w:rFonts w:ascii="Times New Roman" w:eastAsia="Times New Roman" w:hAnsi="Times New Roman" w:cs="Times New Roman"/>
          <w:sz w:val="24"/>
          <w:szCs w:val="24"/>
        </w:rPr>
        <w:t xml:space="preserve"> has exemplified unwavering dedication to LDW’s well-being, providing a stable and nurturing environment that emphasizes the best interests of the child under </w:t>
      </w:r>
      <w:r w:rsidRPr="00D2634B">
        <w:rPr>
          <w:rFonts w:ascii="Times New Roman" w:eastAsia="Times New Roman" w:hAnsi="Times New Roman" w:cs="Times New Roman"/>
          <w:b/>
          <w:bCs/>
          <w:sz w:val="24"/>
          <w:szCs w:val="24"/>
        </w:rPr>
        <w:t>MCL 722.23</w:t>
      </w:r>
      <w:r w:rsidRPr="00D2634B">
        <w:rPr>
          <w:rFonts w:ascii="Times New Roman" w:eastAsia="Times New Roman" w:hAnsi="Times New Roman" w:cs="Times New Roman"/>
          <w:sz w:val="24"/>
          <w:szCs w:val="24"/>
        </w:rPr>
        <w:t xml:space="preserve">. Defendant </w:t>
      </w:r>
      <w:r w:rsidRPr="00D2634B">
        <w:rPr>
          <w:rFonts w:ascii="Times New Roman" w:eastAsia="Times New Roman" w:hAnsi="Times New Roman" w:cs="Times New Roman"/>
          <w:b/>
          <w:bCs/>
          <w:sz w:val="24"/>
          <w:szCs w:val="24"/>
        </w:rPr>
        <w:t>Emily Watson</w:t>
      </w:r>
      <w:r w:rsidRPr="00D2634B">
        <w:rPr>
          <w:rFonts w:ascii="Times New Roman" w:eastAsia="Times New Roman" w:hAnsi="Times New Roman" w:cs="Times New Roman"/>
          <w:sz w:val="24"/>
          <w:szCs w:val="24"/>
        </w:rPr>
        <w:t xml:space="preserve"> has engaged in conduct that undermines this dedication through alienation tactics, custodial interference, financial misrepresentation, and neglectful behaviors that jeopardize LDW’s welfare. Plaintiff respectfully requests that this Court grant the following relief to secure LDW’s best interests:</w:t>
      </w:r>
    </w:p>
    <w:p w14:paraId="0106333A" w14:textId="77777777" w:rsidR="00D2634B" w:rsidRPr="00D2634B" w:rsidRDefault="00D2634B" w:rsidP="00D2634B">
      <w:pPr>
        <w:spacing w:before="100" w:beforeAutospacing="1" w:after="100" w:afterAutospacing="1" w:line="240" w:lineRule="auto"/>
        <w:outlineLvl w:val="2"/>
        <w:rPr>
          <w:rFonts w:ascii="Times New Roman" w:eastAsia="Times New Roman" w:hAnsi="Times New Roman" w:cs="Times New Roman"/>
          <w:b/>
          <w:bCs/>
          <w:sz w:val="27"/>
          <w:szCs w:val="27"/>
        </w:rPr>
      </w:pPr>
      <w:r w:rsidRPr="00D2634B">
        <w:rPr>
          <w:rFonts w:ascii="Times New Roman" w:eastAsia="Times New Roman" w:hAnsi="Times New Roman" w:cs="Times New Roman"/>
          <w:b/>
          <w:bCs/>
          <w:sz w:val="27"/>
          <w:szCs w:val="27"/>
        </w:rPr>
        <w:t>REQUESTS FOR RELIEF</w:t>
      </w:r>
    </w:p>
    <w:p w14:paraId="65E7F97B" w14:textId="77777777" w:rsidR="00D2634B" w:rsidRPr="00D2634B" w:rsidRDefault="00D2634B" w:rsidP="00D2634B">
      <w:p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Based on irrefutable evidence and in accordance with Michigan’s statutory requirements and case law, Plaintiff firmly asserts the following requests for relief from this Honorable Court:</w:t>
      </w:r>
    </w:p>
    <w:p w14:paraId="0F5AD37B"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Reopen Custody Case No. 2024-001507-DC for a Comprehensive and Decisive Reevaluation of Custody and Parenting Time Arrangements:</w:t>
      </w:r>
    </w:p>
    <w:p w14:paraId="2A6FD4ED"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The compelling evidence of ongoing alienation and neglect in Defendant’s care demands that this Court conduct a thorough reevaluation of custody arrangements. Under </w:t>
      </w:r>
      <w:r w:rsidRPr="00D2634B">
        <w:rPr>
          <w:rFonts w:ascii="Times New Roman" w:eastAsia="Times New Roman" w:hAnsi="Times New Roman" w:cs="Times New Roman"/>
          <w:b/>
          <w:bCs/>
          <w:sz w:val="24"/>
          <w:szCs w:val="24"/>
        </w:rPr>
        <w:t>MCL 722.27(1)(c)</w:t>
      </w:r>
      <w:r w:rsidRPr="00D2634B">
        <w:rPr>
          <w:rFonts w:ascii="Times New Roman" w:eastAsia="Times New Roman" w:hAnsi="Times New Roman" w:cs="Times New Roman"/>
          <w:sz w:val="24"/>
          <w:szCs w:val="24"/>
        </w:rPr>
        <w:t>, this Court holds the authority—and the duty—to modify custody where significant changes in circumstances directly threaten the child’s welfare. Plaintiff has, time and again, exhibited a steadfast commitment to LDW’s well-being through substantial and consistent involvement, which stands in stark contrast to Defendant’s harmful conduct.</w:t>
      </w:r>
    </w:p>
    <w:p w14:paraId="1F484744"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respectfully urges this Court to reopen the custody case to assign primary custody to Plaintiff or, alternatively, equal shared custody, given the urgency of protecting LDW’s emotional and physical welfare. A child-centered, rigorous reassessment, as supported by </w:t>
      </w:r>
      <w:r w:rsidRPr="00D2634B">
        <w:rPr>
          <w:rFonts w:ascii="Times New Roman" w:eastAsia="Times New Roman" w:hAnsi="Times New Roman" w:cs="Times New Roman"/>
          <w:b/>
          <w:bCs/>
          <w:sz w:val="24"/>
          <w:szCs w:val="24"/>
        </w:rPr>
        <w:t xml:space="preserve">Theresa A. Johnson v. </w:t>
      </w:r>
      <w:r w:rsidRPr="00D2634B">
        <w:rPr>
          <w:rFonts w:ascii="Times New Roman" w:eastAsia="Times New Roman" w:hAnsi="Times New Roman" w:cs="Times New Roman"/>
          <w:b/>
          <w:bCs/>
          <w:sz w:val="24"/>
          <w:szCs w:val="24"/>
        </w:rPr>
        <w:lastRenderedPageBreak/>
        <w:t xml:space="preserve">Lawrence S. Johnson, 224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595 (1997)</w:t>
      </w:r>
      <w:r w:rsidRPr="00D2634B">
        <w:rPr>
          <w:rFonts w:ascii="Times New Roman" w:eastAsia="Times New Roman" w:hAnsi="Times New Roman" w:cs="Times New Roman"/>
          <w:sz w:val="24"/>
          <w:szCs w:val="24"/>
        </w:rPr>
        <w:t>, is warranted to preserve LDW’s right to stability and a positive relationship with both parents.</w:t>
      </w:r>
    </w:p>
    <w:p w14:paraId="32E2B3E7"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Consolidate Custody Case No. 2024-001507-DC with PPO Case No. 2023-5907-PP for Cohesive and Efficient Adjudication of Interrelated Issues:</w:t>
      </w:r>
    </w:p>
    <w:p w14:paraId="3E1C613C"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The PPO and custody cases intersect on crucial matters of LDW’s safety, stability, and Plaintiff’s parenting rights. Consolidating these cases, as permitted by </w:t>
      </w:r>
      <w:r w:rsidRPr="00D2634B">
        <w:rPr>
          <w:rFonts w:ascii="Times New Roman" w:eastAsia="Times New Roman" w:hAnsi="Times New Roman" w:cs="Times New Roman"/>
          <w:b/>
          <w:bCs/>
          <w:sz w:val="24"/>
          <w:szCs w:val="24"/>
        </w:rPr>
        <w:t>MCR 2.505</w:t>
      </w:r>
      <w:r w:rsidRPr="00D2634B">
        <w:rPr>
          <w:rFonts w:ascii="Times New Roman" w:eastAsia="Times New Roman" w:hAnsi="Times New Roman" w:cs="Times New Roman"/>
          <w:sz w:val="24"/>
          <w:szCs w:val="24"/>
        </w:rPr>
        <w:t>, allows for a streamlined review that encompasses all relevant facts and prevents any fragmented decision-making that could undermine LDW’s welfare.</w:t>
      </w:r>
    </w:p>
    <w:p w14:paraId="61CB1D1A"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formally requests that this Court consolidate both cases to enable a unified and consistent judicial approach to the interwoven issues of custody, alienation, and harassment. This consolidation serves the Court’s mandate to make well-informed rulings that protect LDW’s best interests comprehensively.</w:t>
      </w:r>
    </w:p>
    <w:p w14:paraId="48285446"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Impose an Immediate Restriction on LDW’s International Travel to Non-Hague Convention Countries:</w:t>
      </w:r>
    </w:p>
    <w:p w14:paraId="4E35D580"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The potential for custodial interference is underscored by Defendant’s recent refusal to disclose travel plans and her history of denying Plaintiff’s parenting time without cause. Under </w:t>
      </w:r>
      <w:r w:rsidRPr="00D2634B">
        <w:rPr>
          <w:rFonts w:ascii="Times New Roman" w:eastAsia="Times New Roman" w:hAnsi="Times New Roman" w:cs="Times New Roman"/>
          <w:b/>
          <w:bCs/>
          <w:sz w:val="24"/>
          <w:szCs w:val="24"/>
        </w:rPr>
        <w:t>MCL 722.27a(4)</w:t>
      </w:r>
      <w:r w:rsidRPr="00D2634B">
        <w:rPr>
          <w:rFonts w:ascii="Times New Roman" w:eastAsia="Times New Roman" w:hAnsi="Times New Roman" w:cs="Times New Roman"/>
          <w:sz w:val="24"/>
          <w:szCs w:val="24"/>
        </w:rPr>
        <w:t xml:space="preserve">, Plaintiff urges this Court to exercise its authority to restrict travel to non-Hague Convention countries, where Plaintiff’s rights could be irreparably compromised. </w:t>
      </w:r>
      <w:r w:rsidRPr="00D2634B">
        <w:rPr>
          <w:rFonts w:ascii="Times New Roman" w:eastAsia="Times New Roman" w:hAnsi="Times New Roman" w:cs="Times New Roman"/>
          <w:b/>
          <w:bCs/>
          <w:sz w:val="24"/>
          <w:szCs w:val="24"/>
        </w:rPr>
        <w:t xml:space="preserve">Spires v. Bergman, 276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432 (2007)</w:t>
      </w:r>
      <w:r w:rsidRPr="00D2634B">
        <w:rPr>
          <w:rFonts w:ascii="Times New Roman" w:eastAsia="Times New Roman" w:hAnsi="Times New Roman" w:cs="Times New Roman"/>
          <w:sz w:val="24"/>
          <w:szCs w:val="24"/>
        </w:rPr>
        <w:t xml:space="preserve"> upholds the legitimacy of travel restrictions to prevent threats to parental bonds and ensure the child’s safety.</w:t>
      </w:r>
    </w:p>
    <w:p w14:paraId="024C61B3"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seeks a Court order that prohibits Defendant from traveling internationally with LDW to any non-Hague Convention jurisdiction. Additionally, Plaintiff requests that Defendant be mandated to provide all travel itineraries and obtain prior Court approval for any international travel, thereby securing LDW’s safety and Plaintiff’s custodial rights.</w:t>
      </w:r>
    </w:p>
    <w:p w14:paraId="474CCD78"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Modify Parenting Time and Custody Arrangements to Award Primary Custody or Equal Parenting Time to Plaintiff:</w:t>
      </w:r>
    </w:p>
    <w:p w14:paraId="68734C56"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Defendant’s relentless pattern of alienation, as well as documented neglect and exclusionary behavior, demonstrate her unwillingness to foster a healthy co-parenting environment as required by </w:t>
      </w:r>
      <w:r w:rsidRPr="00D2634B">
        <w:rPr>
          <w:rFonts w:ascii="Times New Roman" w:eastAsia="Times New Roman" w:hAnsi="Times New Roman" w:cs="Times New Roman"/>
          <w:b/>
          <w:bCs/>
          <w:sz w:val="24"/>
          <w:szCs w:val="24"/>
        </w:rPr>
        <w:t>MCL 722.26a</w:t>
      </w:r>
      <w:r w:rsidRPr="00D2634B">
        <w:rPr>
          <w:rFonts w:ascii="Times New Roman" w:eastAsia="Times New Roman" w:hAnsi="Times New Roman" w:cs="Times New Roman"/>
          <w:sz w:val="24"/>
          <w:szCs w:val="24"/>
        </w:rPr>
        <w:t>. Plaintiff’s contributions to LDW’s health, education, and emotional support starkly contrast Defendant’s disregard for shared decision-making and her failure to prioritize LDW’s well-being.</w:t>
      </w:r>
    </w:p>
    <w:p w14:paraId="2A44649F"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demands a reassignment of primary or equal joint custody, enabling Plaintiff to ensure a stable and supportive environment for LDW. This modification is essential to counteract the harm caused by Defendant’s actions and aligns with </w:t>
      </w:r>
      <w:proofErr w:type="spellStart"/>
      <w:r w:rsidRPr="00D2634B">
        <w:rPr>
          <w:rFonts w:ascii="Times New Roman" w:eastAsia="Times New Roman" w:hAnsi="Times New Roman" w:cs="Times New Roman"/>
          <w:b/>
          <w:bCs/>
          <w:sz w:val="24"/>
          <w:szCs w:val="24"/>
        </w:rPr>
        <w:t>Vodvarka</w:t>
      </w:r>
      <w:proofErr w:type="spellEnd"/>
      <w:r w:rsidRPr="00D2634B">
        <w:rPr>
          <w:rFonts w:ascii="Times New Roman" w:eastAsia="Times New Roman" w:hAnsi="Times New Roman" w:cs="Times New Roman"/>
          <w:b/>
          <w:bCs/>
          <w:sz w:val="24"/>
          <w:szCs w:val="24"/>
        </w:rPr>
        <w:t xml:space="preserve"> v. </w:t>
      </w:r>
      <w:proofErr w:type="spellStart"/>
      <w:r w:rsidRPr="00D2634B">
        <w:rPr>
          <w:rFonts w:ascii="Times New Roman" w:eastAsia="Times New Roman" w:hAnsi="Times New Roman" w:cs="Times New Roman"/>
          <w:b/>
          <w:bCs/>
          <w:sz w:val="24"/>
          <w:szCs w:val="24"/>
        </w:rPr>
        <w:t>Grasmeyer</w:t>
      </w:r>
      <w:proofErr w:type="spellEnd"/>
      <w:r w:rsidRPr="00D2634B">
        <w:rPr>
          <w:rFonts w:ascii="Times New Roman" w:eastAsia="Times New Roman" w:hAnsi="Times New Roman" w:cs="Times New Roman"/>
          <w:b/>
          <w:bCs/>
          <w:sz w:val="24"/>
          <w:szCs w:val="24"/>
        </w:rPr>
        <w:t xml:space="preserve">, 259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499 (2003)</w:t>
      </w:r>
      <w:r w:rsidRPr="00D2634B">
        <w:rPr>
          <w:rFonts w:ascii="Times New Roman" w:eastAsia="Times New Roman" w:hAnsi="Times New Roman" w:cs="Times New Roman"/>
          <w:sz w:val="24"/>
          <w:szCs w:val="24"/>
        </w:rPr>
        <w:t>, which prioritizes child stability in all custody determinations.</w:t>
      </w:r>
    </w:p>
    <w:p w14:paraId="1CD4F863"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Recalculate Child Support Obligations with Accurate Income Reporting and Expense Disclosure:</w:t>
      </w:r>
    </w:p>
    <w:p w14:paraId="3149B287"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Defendant’s misrepresentation of income—through hidden financial contributions and inflated insurance claims—undermines fair child support calculations. Full transparency, as mandated by </w:t>
      </w:r>
      <w:r w:rsidRPr="00D2634B">
        <w:rPr>
          <w:rFonts w:ascii="Times New Roman" w:eastAsia="Times New Roman" w:hAnsi="Times New Roman" w:cs="Times New Roman"/>
          <w:b/>
          <w:bCs/>
          <w:sz w:val="24"/>
          <w:szCs w:val="24"/>
        </w:rPr>
        <w:t>MCL 552.602</w:t>
      </w:r>
      <w:r w:rsidRPr="00D2634B">
        <w:rPr>
          <w:rFonts w:ascii="Times New Roman" w:eastAsia="Times New Roman" w:hAnsi="Times New Roman" w:cs="Times New Roman"/>
          <w:sz w:val="24"/>
          <w:szCs w:val="24"/>
        </w:rPr>
        <w:t xml:space="preserve"> and </w:t>
      </w:r>
      <w:r w:rsidRPr="00D2634B">
        <w:rPr>
          <w:rFonts w:ascii="Times New Roman" w:eastAsia="Times New Roman" w:hAnsi="Times New Roman" w:cs="Times New Roman"/>
          <w:sz w:val="24"/>
          <w:szCs w:val="24"/>
        </w:rPr>
        <w:lastRenderedPageBreak/>
        <w:t xml:space="preserve">Michigan’s Child Support Formula Manual, is essential to prevent undue financial burden on either parent and ensure equitable contributions to LDW’s needs. Defendant’s conduct contradicts standards set in </w:t>
      </w:r>
      <w:proofErr w:type="spellStart"/>
      <w:r w:rsidRPr="00D2634B">
        <w:rPr>
          <w:rFonts w:ascii="Times New Roman" w:eastAsia="Times New Roman" w:hAnsi="Times New Roman" w:cs="Times New Roman"/>
          <w:b/>
          <w:bCs/>
          <w:sz w:val="24"/>
          <w:szCs w:val="24"/>
        </w:rPr>
        <w:t>Riemersma</w:t>
      </w:r>
      <w:proofErr w:type="spellEnd"/>
      <w:r w:rsidRPr="00D2634B">
        <w:rPr>
          <w:rFonts w:ascii="Times New Roman" w:eastAsia="Times New Roman" w:hAnsi="Times New Roman" w:cs="Times New Roman"/>
          <w:b/>
          <w:bCs/>
          <w:sz w:val="24"/>
          <w:szCs w:val="24"/>
        </w:rPr>
        <w:t xml:space="preserve"> v. </w:t>
      </w:r>
      <w:proofErr w:type="spellStart"/>
      <w:r w:rsidRPr="00D2634B">
        <w:rPr>
          <w:rFonts w:ascii="Times New Roman" w:eastAsia="Times New Roman" w:hAnsi="Times New Roman" w:cs="Times New Roman"/>
          <w:b/>
          <w:bCs/>
          <w:sz w:val="24"/>
          <w:szCs w:val="24"/>
        </w:rPr>
        <w:t>Riemersma</w:t>
      </w:r>
      <w:proofErr w:type="spellEnd"/>
      <w:r w:rsidRPr="00D2634B">
        <w:rPr>
          <w:rFonts w:ascii="Times New Roman" w:eastAsia="Times New Roman" w:hAnsi="Times New Roman" w:cs="Times New Roman"/>
          <w:b/>
          <w:bCs/>
          <w:sz w:val="24"/>
          <w:szCs w:val="24"/>
        </w:rPr>
        <w:t xml:space="preserve">, 314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632 (2016)</w:t>
      </w:r>
      <w:r w:rsidRPr="00D2634B">
        <w:rPr>
          <w:rFonts w:ascii="Times New Roman" w:eastAsia="Times New Roman" w:hAnsi="Times New Roman" w:cs="Times New Roman"/>
          <w:sz w:val="24"/>
          <w:szCs w:val="24"/>
        </w:rPr>
        <w:t>, which emphasizes complete disclosure in support determinations.</w:t>
      </w:r>
    </w:p>
    <w:p w14:paraId="7352A03C"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demands an immediate recalculation of child support based on Defendant’s actual income and expenses, including unreported financial support from third parties. Accurate support calculations are fundamental to fair and balanced support responsibilities that genuinely reflect both parents’ financial capacities.</w:t>
      </w:r>
    </w:p>
    <w:p w14:paraId="43DA0AAB"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Order a Forensic Examination of Defendant’s Financial Accounts and Insurance Payments to Ensure Full Financial Transparency:</w:t>
      </w:r>
    </w:p>
    <w:p w14:paraId="1ED8191D"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In light of the discrepancies and likely undisclosed income streams from Defendant’s multiple accounts, Plaintiff seeks a forensic audit of her bank records, insurance statements, and sources of income. </w:t>
      </w:r>
      <w:r w:rsidRPr="00D2634B">
        <w:rPr>
          <w:rFonts w:ascii="Times New Roman" w:eastAsia="Times New Roman" w:hAnsi="Times New Roman" w:cs="Times New Roman"/>
          <w:b/>
          <w:bCs/>
          <w:sz w:val="24"/>
          <w:szCs w:val="24"/>
        </w:rPr>
        <w:t>MCL 552.517</w:t>
      </w:r>
      <w:r w:rsidRPr="00D2634B">
        <w:rPr>
          <w:rFonts w:ascii="Times New Roman" w:eastAsia="Times New Roman" w:hAnsi="Times New Roman" w:cs="Times New Roman"/>
          <w:sz w:val="24"/>
          <w:szCs w:val="24"/>
        </w:rPr>
        <w:t xml:space="preserve"> authorizes this Court to order financial investigations where there are concerns about the accuracy of disclosed financial resources, and </w:t>
      </w:r>
      <w:r w:rsidRPr="00D2634B">
        <w:rPr>
          <w:rFonts w:ascii="Times New Roman" w:eastAsia="Times New Roman" w:hAnsi="Times New Roman" w:cs="Times New Roman"/>
          <w:b/>
          <w:bCs/>
          <w:sz w:val="24"/>
          <w:szCs w:val="24"/>
        </w:rPr>
        <w:t xml:space="preserve">Thompson v. Thompson, 261 </w:t>
      </w:r>
      <w:proofErr w:type="spellStart"/>
      <w:r w:rsidRPr="00D2634B">
        <w:rPr>
          <w:rFonts w:ascii="Times New Roman" w:eastAsia="Times New Roman" w:hAnsi="Times New Roman" w:cs="Times New Roman"/>
          <w:b/>
          <w:bCs/>
          <w:sz w:val="24"/>
          <w:szCs w:val="24"/>
        </w:rPr>
        <w:t>Mich</w:t>
      </w:r>
      <w:proofErr w:type="spellEnd"/>
      <w:r w:rsidRPr="00D2634B">
        <w:rPr>
          <w:rFonts w:ascii="Times New Roman" w:eastAsia="Times New Roman" w:hAnsi="Times New Roman" w:cs="Times New Roman"/>
          <w:b/>
          <w:bCs/>
          <w:sz w:val="24"/>
          <w:szCs w:val="24"/>
        </w:rPr>
        <w:t xml:space="preserve"> App 353 (2004)</w:t>
      </w:r>
      <w:r w:rsidRPr="00D2634B">
        <w:rPr>
          <w:rFonts w:ascii="Times New Roman" w:eastAsia="Times New Roman" w:hAnsi="Times New Roman" w:cs="Times New Roman"/>
          <w:sz w:val="24"/>
          <w:szCs w:val="24"/>
        </w:rPr>
        <w:t xml:space="preserve"> supports recalculations where there are misrepresentations.</w:t>
      </w:r>
    </w:p>
    <w:p w14:paraId="634842F4"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formally requests a forensic investigation of Defendant’s finances to verify her actual income and insurance payments. This audit will ensure that Defendant’s financial responsibilities are accurately represented in support calculations and prevent future misrepresentation.</w:t>
      </w:r>
    </w:p>
    <w:p w14:paraId="663D672D"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Mandate Court-Ordered Updates on LDW’s Health, Education, and Welfare with Penalties for Non-Compliance:</w:t>
      </w:r>
    </w:p>
    <w:p w14:paraId="5CAC0FB3"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Defendant has consistently obstructed Plaintiff’s efforts to remain informed about LDW’s health and educational progress, a fundamental right under joint custody. </w:t>
      </w:r>
      <w:r w:rsidRPr="00D2634B">
        <w:rPr>
          <w:rFonts w:ascii="Times New Roman" w:eastAsia="Times New Roman" w:hAnsi="Times New Roman" w:cs="Times New Roman"/>
          <w:b/>
          <w:bCs/>
          <w:sz w:val="24"/>
          <w:szCs w:val="24"/>
        </w:rPr>
        <w:t>MCL 722.26a</w:t>
      </w:r>
      <w:r w:rsidRPr="00D2634B">
        <w:rPr>
          <w:rFonts w:ascii="Times New Roman" w:eastAsia="Times New Roman" w:hAnsi="Times New Roman" w:cs="Times New Roman"/>
          <w:sz w:val="24"/>
          <w:szCs w:val="24"/>
        </w:rPr>
        <w:t xml:space="preserve"> mandates cooperative co-parenting for shared decision-making, which Defendant has repeatedly failed to honor.</w:t>
      </w:r>
    </w:p>
    <w:p w14:paraId="4FE32483"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requests that the Court mandate Defendant to provide regular updates regarding LDW’s health, education, and well-being. Furthermore, Plaintiff seeks Court-imposed penalties for any non-compliance, ensuring that Plaintiff remains a fully informed and engaged parent as the law prescribes.</w:t>
      </w:r>
    </w:p>
    <w:p w14:paraId="57FC914D" w14:textId="77777777" w:rsidR="00D2634B" w:rsidRPr="00D2634B" w:rsidRDefault="00D2634B" w:rsidP="00D263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Appoint a Guardian ad Litem (GAL) to Independently Represent LDW’s Best Interests:</w:t>
      </w:r>
    </w:p>
    <w:p w14:paraId="0F5F1D67"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Justification:</w:t>
      </w:r>
      <w:r w:rsidRPr="00D2634B">
        <w:rPr>
          <w:rFonts w:ascii="Times New Roman" w:eastAsia="Times New Roman" w:hAnsi="Times New Roman" w:cs="Times New Roman"/>
          <w:sz w:val="24"/>
          <w:szCs w:val="24"/>
        </w:rPr>
        <w:t xml:space="preserve"> Given the high-conflict nature of this case and Defendant’s obstructive behaviors, an independent advocate for LDW is essential to assess and protect his best interests impartially. </w:t>
      </w:r>
      <w:r w:rsidRPr="00D2634B">
        <w:rPr>
          <w:rFonts w:ascii="Times New Roman" w:eastAsia="Times New Roman" w:hAnsi="Times New Roman" w:cs="Times New Roman"/>
          <w:b/>
          <w:bCs/>
          <w:sz w:val="24"/>
          <w:szCs w:val="24"/>
        </w:rPr>
        <w:t>MCL 722.24(2)</w:t>
      </w:r>
      <w:r w:rsidRPr="00D2634B">
        <w:rPr>
          <w:rFonts w:ascii="Times New Roman" w:eastAsia="Times New Roman" w:hAnsi="Times New Roman" w:cs="Times New Roman"/>
          <w:sz w:val="24"/>
          <w:szCs w:val="24"/>
        </w:rPr>
        <w:t xml:space="preserve"> allows for GAL appointment where the child’s welfare is at stake and benefits from independent evaluation.</w:t>
      </w:r>
    </w:p>
    <w:p w14:paraId="4EF7B782" w14:textId="77777777" w:rsidR="00D2634B" w:rsidRPr="00D2634B" w:rsidRDefault="00D2634B" w:rsidP="00D2634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Relief Sought:</w:t>
      </w:r>
      <w:r w:rsidRPr="00D2634B">
        <w:rPr>
          <w:rFonts w:ascii="Times New Roman" w:eastAsia="Times New Roman" w:hAnsi="Times New Roman" w:cs="Times New Roman"/>
          <w:sz w:val="24"/>
          <w:szCs w:val="24"/>
        </w:rPr>
        <w:t xml:space="preserve"> Plaintiff requests the appointment of a GAL to conduct an independent assessment of LDW’s living conditions, emotional well-being, and relationship with both parents. This additional layer of oversight will provide the Court with a comprehensive understanding of LDW’s needs and protect him from undue influence or neglect.</w:t>
      </w:r>
    </w:p>
    <w:p w14:paraId="1047CDD2" w14:textId="77777777" w:rsidR="00D2634B" w:rsidRPr="00D2634B" w:rsidRDefault="00D2634B" w:rsidP="00D2634B">
      <w:pPr>
        <w:spacing w:before="100" w:beforeAutospacing="1" w:after="100" w:afterAutospacing="1" w:line="240" w:lineRule="auto"/>
        <w:outlineLvl w:val="2"/>
        <w:rPr>
          <w:rFonts w:ascii="Times New Roman" w:eastAsia="Times New Roman" w:hAnsi="Times New Roman" w:cs="Times New Roman"/>
          <w:b/>
          <w:bCs/>
          <w:sz w:val="27"/>
          <w:szCs w:val="27"/>
        </w:rPr>
      </w:pPr>
      <w:r w:rsidRPr="00D2634B">
        <w:rPr>
          <w:rFonts w:ascii="Times New Roman" w:eastAsia="Times New Roman" w:hAnsi="Times New Roman" w:cs="Times New Roman"/>
          <w:b/>
          <w:bCs/>
          <w:sz w:val="27"/>
          <w:szCs w:val="27"/>
        </w:rPr>
        <w:t>Conclusion</w:t>
      </w:r>
    </w:p>
    <w:p w14:paraId="2DAFB1BB" w14:textId="77777777" w:rsidR="00D2634B" w:rsidRPr="00D2634B" w:rsidRDefault="00D2634B" w:rsidP="00D2634B">
      <w:p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lastRenderedPageBreak/>
        <w:t xml:space="preserve">Plaintiff Andrew J. </w:t>
      </w:r>
      <w:proofErr w:type="spellStart"/>
      <w:r w:rsidRPr="00D2634B">
        <w:rPr>
          <w:rFonts w:ascii="Times New Roman" w:eastAsia="Times New Roman" w:hAnsi="Times New Roman" w:cs="Times New Roman"/>
          <w:sz w:val="24"/>
          <w:szCs w:val="24"/>
        </w:rPr>
        <w:t>Pigors</w:t>
      </w:r>
      <w:proofErr w:type="spellEnd"/>
      <w:r w:rsidRPr="00D2634B">
        <w:rPr>
          <w:rFonts w:ascii="Times New Roman" w:eastAsia="Times New Roman" w:hAnsi="Times New Roman" w:cs="Times New Roman"/>
          <w:sz w:val="24"/>
          <w:szCs w:val="24"/>
        </w:rPr>
        <w:t xml:space="preserve"> has consistently demonstrated his unwavering commitment to ensuring LDW’s well-being and maintaining a nurturing, stable environment for his son. Defendant Emily Watson, however, has engaged in conduct that undermines LDW’s welfare and Plaintiff’s rights. Plaintiff urges this Court to act decisively in granting each of the requested relief measures, as Michigan law demands, to restore stability, transparency, and a positive co-parenting relationship for the benefit of LDW.</w:t>
      </w:r>
    </w:p>
    <w:p w14:paraId="48420E80" w14:textId="77777777" w:rsidR="00D2634B" w:rsidRPr="00D2634B" w:rsidRDefault="00D2634B" w:rsidP="00D2634B">
      <w:p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Respectfully Submitted,</w:t>
      </w:r>
    </w:p>
    <w:p w14:paraId="29332DDA" w14:textId="77777777" w:rsidR="00D2634B" w:rsidRPr="00D2634B" w:rsidRDefault="00D2634B" w:rsidP="00D2634B">
      <w:pPr>
        <w:spacing w:before="100" w:beforeAutospacing="1" w:after="100" w:afterAutospacing="1"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Andrew J. </w:t>
      </w:r>
      <w:proofErr w:type="spellStart"/>
      <w:r w:rsidRPr="00D2634B">
        <w:rPr>
          <w:rFonts w:ascii="Times New Roman" w:eastAsia="Times New Roman" w:hAnsi="Times New Roman" w:cs="Times New Roman"/>
          <w:sz w:val="24"/>
          <w:szCs w:val="24"/>
        </w:rPr>
        <w:t>Pigors</w:t>
      </w:r>
      <w:proofErr w:type="spellEnd"/>
      <w:r w:rsidRPr="00D2634B">
        <w:rPr>
          <w:rFonts w:ascii="Times New Roman" w:eastAsia="Times New Roman" w:hAnsi="Times New Roman" w:cs="Times New Roman"/>
          <w:sz w:val="24"/>
          <w:szCs w:val="24"/>
        </w:rPr>
        <w:br/>
        <w:t>1977 Whitehall Rd, Lot 17</w:t>
      </w:r>
      <w:r w:rsidRPr="00D2634B">
        <w:rPr>
          <w:rFonts w:ascii="Times New Roman" w:eastAsia="Times New Roman" w:hAnsi="Times New Roman" w:cs="Times New Roman"/>
          <w:sz w:val="24"/>
          <w:szCs w:val="24"/>
        </w:rPr>
        <w:br/>
        <w:t>Muskegon, MI 49445</w:t>
      </w:r>
      <w:r w:rsidRPr="00D2634B">
        <w:rPr>
          <w:rFonts w:ascii="Times New Roman" w:eastAsia="Times New Roman" w:hAnsi="Times New Roman" w:cs="Times New Roman"/>
          <w:sz w:val="24"/>
          <w:szCs w:val="24"/>
        </w:rPr>
        <w:br/>
        <w:t>Email: andrewjpigors@gmail.com</w:t>
      </w:r>
      <w:r w:rsidRPr="00D2634B">
        <w:rPr>
          <w:rFonts w:ascii="Times New Roman" w:eastAsia="Times New Roman" w:hAnsi="Times New Roman" w:cs="Times New Roman"/>
          <w:sz w:val="24"/>
          <w:szCs w:val="24"/>
        </w:rPr>
        <w:br/>
        <w:t>Phone: 231-903-5690</w:t>
      </w:r>
    </w:p>
    <w:p w14:paraId="0C166FD3"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b/>
          <w:bCs/>
          <w:sz w:val="24"/>
          <w:szCs w:val="24"/>
        </w:rPr>
        <w:t>Respectfully Submitted,</w:t>
      </w:r>
    </w:p>
    <w:p w14:paraId="53CC9684" w14:textId="77777777" w:rsidR="00D2634B" w:rsidRPr="00D2634B" w:rsidRDefault="00D2634B" w:rsidP="00D2634B">
      <w:pPr>
        <w:spacing w:after="0" w:line="240" w:lineRule="auto"/>
        <w:rPr>
          <w:rFonts w:ascii="Times New Roman" w:eastAsia="Times New Roman" w:hAnsi="Times New Roman" w:cs="Times New Roman"/>
          <w:sz w:val="24"/>
          <w:szCs w:val="24"/>
        </w:rPr>
      </w:pPr>
      <w:r w:rsidRPr="00D2634B">
        <w:rPr>
          <w:rFonts w:ascii="Times New Roman" w:eastAsia="Times New Roman" w:hAnsi="Times New Roman" w:cs="Times New Roman"/>
          <w:sz w:val="24"/>
          <w:szCs w:val="24"/>
        </w:rPr>
        <w:t xml:space="preserve">Andrew J. </w:t>
      </w:r>
      <w:proofErr w:type="spellStart"/>
      <w:r w:rsidRPr="00D2634B">
        <w:rPr>
          <w:rFonts w:ascii="Times New Roman" w:eastAsia="Times New Roman" w:hAnsi="Times New Roman" w:cs="Times New Roman"/>
          <w:sz w:val="24"/>
          <w:szCs w:val="24"/>
        </w:rPr>
        <w:t>Pigors</w:t>
      </w:r>
      <w:proofErr w:type="spellEnd"/>
      <w:r w:rsidRPr="00D2634B">
        <w:rPr>
          <w:rFonts w:ascii="Times New Roman" w:eastAsia="Times New Roman" w:hAnsi="Times New Roman" w:cs="Times New Roman"/>
          <w:sz w:val="24"/>
          <w:szCs w:val="24"/>
        </w:rPr>
        <w:br/>
        <w:t>1977 Whitehall Rd, Lot 17</w:t>
      </w:r>
      <w:r w:rsidRPr="00D2634B">
        <w:rPr>
          <w:rFonts w:ascii="Times New Roman" w:eastAsia="Times New Roman" w:hAnsi="Times New Roman" w:cs="Times New Roman"/>
          <w:sz w:val="24"/>
          <w:szCs w:val="24"/>
        </w:rPr>
        <w:br/>
        <w:t>Muskegon, MI 49445</w:t>
      </w:r>
      <w:r w:rsidRPr="00D2634B">
        <w:rPr>
          <w:rFonts w:ascii="Times New Roman" w:eastAsia="Times New Roman" w:hAnsi="Times New Roman" w:cs="Times New Roman"/>
          <w:sz w:val="24"/>
          <w:szCs w:val="24"/>
        </w:rPr>
        <w:br/>
        <w:t>Email: andrewjpigors@gmail.com</w:t>
      </w:r>
      <w:r w:rsidRPr="00D2634B">
        <w:rPr>
          <w:rFonts w:ascii="Times New Roman" w:eastAsia="Times New Roman" w:hAnsi="Times New Roman" w:cs="Times New Roman"/>
          <w:sz w:val="24"/>
          <w:szCs w:val="24"/>
        </w:rPr>
        <w:br/>
        <w:t>Phone: 231-903-5690</w:t>
      </w:r>
    </w:p>
    <w:p w14:paraId="434E16B0" w14:textId="77777777" w:rsidR="001B125A" w:rsidRDefault="001B125A" w:rsidP="00D2634B">
      <w:pPr>
        <w:spacing w:after="0"/>
      </w:pPr>
    </w:p>
    <w:sectPr w:rsidR="001B1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3581B"/>
    <w:multiLevelType w:val="multilevel"/>
    <w:tmpl w:val="B19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345F0"/>
    <w:multiLevelType w:val="multilevel"/>
    <w:tmpl w:val="9B72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32D5C"/>
    <w:multiLevelType w:val="multilevel"/>
    <w:tmpl w:val="B24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85F65"/>
    <w:multiLevelType w:val="multilevel"/>
    <w:tmpl w:val="BF34C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B1206"/>
    <w:multiLevelType w:val="multilevel"/>
    <w:tmpl w:val="3A9E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F43D0"/>
    <w:multiLevelType w:val="multilevel"/>
    <w:tmpl w:val="7C0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43BF7"/>
    <w:multiLevelType w:val="multilevel"/>
    <w:tmpl w:val="80A0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B"/>
    <w:rsid w:val="001B125A"/>
    <w:rsid w:val="00D2634B"/>
    <w:rsid w:val="00D75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E780"/>
  <w15:chartTrackingRefBased/>
  <w15:docId w15:val="{586322C2-E954-4FB4-9DEA-395DEF64C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112465">
      <w:bodyDiv w:val="1"/>
      <w:marLeft w:val="0"/>
      <w:marRight w:val="0"/>
      <w:marTop w:val="0"/>
      <w:marBottom w:val="0"/>
      <w:divBdr>
        <w:top w:val="none" w:sz="0" w:space="0" w:color="auto"/>
        <w:left w:val="none" w:sz="0" w:space="0" w:color="auto"/>
        <w:bottom w:val="none" w:sz="0" w:space="0" w:color="auto"/>
        <w:right w:val="none" w:sz="0" w:space="0" w:color="auto"/>
      </w:divBdr>
    </w:div>
    <w:div w:id="172375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tsone104@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1</cp:revision>
  <dcterms:created xsi:type="dcterms:W3CDTF">2024-10-29T22:07:00Z</dcterms:created>
  <dcterms:modified xsi:type="dcterms:W3CDTF">2024-10-29T22:28:00Z</dcterms:modified>
</cp:coreProperties>
</file>