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SUPPORTING BRIEF IN SUPPORT OF MOTION FOR ENFORCEMENT AND CONTEMPT SANCTIONS</w:t>
      </w:r>
    </w:p>
    <w:p>
      <w:r>
        <w:t>Respondent ANDREW J. PIGORS respectfully submits this Supporting Brief pursuant to MCR 3.606(A), MCL 722.27a(9), MCR 3.210(A), and MCL 600.1701(e), seeking enforcement of the current parenting time order and contempt sanctions against Petitioner EMILY A. WATSON for repeated violations of custody, parenting time, and child support obligations.</w:t>
      </w:r>
    </w:p>
    <w:p>
      <w:pPr>
        <w:pStyle w:val="Heading1"/>
      </w:pPr>
      <w:r>
        <w:t>LEGAL STANDARDS</w:t>
      </w:r>
    </w:p>
    <w:p>
      <w:r>
        <w:t>Under MCL 722.27a(9), the Court shall enforce parenting time orders when a parent fails to comply. MCR 3.606(A) authorizes this Court to order a party to show cause when a violation of a court order has occurred. MCL 600.1701(e) provides the Court the authority to punish willful disobedience of its orders by contempt proceedings.</w:t>
      </w:r>
    </w:p>
    <w:p>
      <w:r>
        <w:t>The Michigan Court of Appeals in Harvey v. Harvey, 470 Mich 186 (2004), held that parenting time orders must be enforced and contempt findings are appropriate where a party intentionally violates a lawful order. Similarly, in Pickering v. Pickering, 253 Mich App 694 (2002), the Court affirmed contempt sanctions where the mother repeatedly failed to comply with parenting time orders.</w:t>
      </w:r>
    </w:p>
    <w:p>
      <w:pPr>
        <w:pStyle w:val="Heading1"/>
      </w:pPr>
      <w:r>
        <w:t>APPLICATION TO FACTS</w:t>
      </w:r>
    </w:p>
    <w:p>
      <w:r>
        <w:t>Petitioner has violated multiple terms of the standing parenting time and custody orders by:</w:t>
      </w:r>
    </w:p>
    <w:p>
      <w:r>
        <w:t>- Denying Respondent parenting time during holidays, including Easter weekend.</w:t>
        <w:br/>
        <w:t>- Limiting Respondent to four overnights per month without justification.</w:t>
        <w:br/>
        <w:t>- Enabling third parties such as Cody Watson to harass or intimidate Respondent during exchanges.</w:t>
        <w:br/>
        <w:t>- Refusing to turn over Lincoln at designated times or requiring third-party litigation threats.</w:t>
        <w:br/>
        <w:t>- Withholding access to healthcare and support-related records.</w:t>
      </w:r>
    </w:p>
    <w:p>
      <w:r>
        <w:t>These violations not only constitute contempt of court but also demonstrate ongoing parental alienation, psychological endangerment to the minor child, and obstruction of Respondent’s rights.</w:t>
      </w:r>
    </w:p>
    <w:p>
      <w:pPr>
        <w:pStyle w:val="Heading1"/>
      </w:pPr>
      <w:r>
        <w:t>CONCLUSION</w:t>
      </w:r>
    </w:p>
    <w:p>
      <w:r>
        <w:t>This Court must grant enforcement under MCL 722.27a(9), hold Petitioner in contempt under MCL 600.1701(e), and issue appropriate remedies including make-up parenting time, modification of the schedule, and restrictions against third-party interference.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