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STATE OF MICHIGAN</w:t>
      </w:r>
    </w:p>
    <w:p>
      <w:r>
        <w:t>IN THE 14TH CIRCUIT COURT FOR THE COUNTY OF MUSKEGON</w:t>
        <w:br/>
        <w:t>FAMILY DIVISION</w:t>
      </w:r>
    </w:p>
    <w:p>
      <w:r>
        <w:t>Case No.: 2024-001507-DC</w:t>
      </w:r>
    </w:p>
    <w:p>
      <w:r>
        <w:t>________________________________________</w:t>
      </w:r>
    </w:p>
    <w:p>
      <w:pPr>
        <w:pStyle w:val="Heading2"/>
      </w:pPr>
      <w:r>
        <w:t>MOTION FOR CUSTODY MODIFICATION</w:t>
      </w:r>
    </w:p>
    <w:p>
      <w:r>
        <w:t>NOW COMES Plaintiff, ANDREW J. PIGORS, representing himself, and respectfully moves this Honorable Court to modify custody and parenting time in the above-captioned case. In support of this motion, Plaintiff states as follows:</w:t>
      </w:r>
    </w:p>
    <w:p>
      <w:pPr>
        <w:pStyle w:val="Heading2"/>
      </w:pPr>
      <w:r>
        <w:t>I. INTRODUCTION</w:t>
      </w:r>
    </w:p>
    <w:p>
      <w:r>
        <w:t>1. Plaintiff and Defendant are the parents of LDW, born November 2022, who is the subject of this custody dispute.</w:t>
      </w:r>
    </w:p>
    <w:p>
      <w:r>
        <w:t>2. Plaintiff has been an engaged, loving, and dedicated father who consistently prioritizes LDW’s best interests.</w:t>
      </w:r>
    </w:p>
    <w:p>
      <w:r>
        <w:t>3. Defendant has engaged in parental alienation, misused the Personal Protection Order (PPO) process to gain an unfair advantage in custody proceedings, and has demonstrated a refusal to co-parent effectively.</w:t>
      </w:r>
    </w:p>
    <w:p>
      <w:r>
        <w:t>4. Plaintiff seeks modifications to the custody, child support, and parenting time arrangement to restore fairness, address parental alienation, and ensure LDW’s emotional and developmental well-being.</w:t>
      </w:r>
    </w:p>
    <w:p>
      <w:pPr>
        <w:pStyle w:val="Heading2"/>
      </w:pPr>
      <w:r>
        <w:t>II. LEGAL FRAMEWORK</w:t>
      </w:r>
    </w:p>
    <w:p>
      <w:r>
        <w:t>5. Under MCL 722.27(1)(c), custody orders may be modified upon a showing of proper cause or a material change in circumstances.</w:t>
      </w:r>
    </w:p>
    <w:p>
      <w:r>
        <w:t>6. Michigan case law, including Fletcher v. Fletcher, 447 Mich. 871 (1994), emphasizes that the child’s best interests are paramount in custody determinations.</w:t>
      </w:r>
    </w:p>
    <w:p>
      <w:r>
        <w:t>7. The court’s punitive removal of Plaintiff’s custodial rights, based on unproven allegations and unrelated financial hardships, is contrary to these principles.</w:t>
      </w:r>
    </w:p>
    <w:p>
      <w:r>
        <w:t>8. The misuse of the PPO process to influence custody decisions violates fundamental parental rights as established in Troxel v. Granville, 530 U.S. 57 (2000).</w:t>
      </w:r>
    </w:p>
    <w:p>
      <w:pPr>
        <w:pStyle w:val="Heading2"/>
      </w:pPr>
      <w:r>
        <w:t>III. MATERIAL CHANGES IN CIRCUMSTANCES</w:t>
      </w:r>
    </w:p>
    <w:p>
      <w:r>
        <w:t>Plaintiff asserts that the following substantial positive changes constitute proper cause for custody modification:</w:t>
      </w:r>
    </w:p>
    <w:p>
      <w:r>
        <w:t>A. Improved Financial Stability: Plaintiff secured stable employment within one month of job loss and has consistently met child support obligations, with documented receipts totaling over $6,000 in expenses for LDW since November 2023.</w:t>
      </w:r>
    </w:p>
    <w:p>
      <w:r>
        <w:t>B. Improved Living Environment: Plaintiff has completed significant renovations to his home, creating a safe, nurturing, and enriching environment for LDW. Photos and receipts of these improvements will be presented as evidence.</w:t>
      </w:r>
    </w:p>
    <w:p>
      <w:r>
        <w:t>C. Resolution of Financial Issues: Plaintiff successfully resolved identity theft incidents that temporarily impacted his credit and rent payments. Supporting emails from legal counsel and police reports corroborate these efforts.</w:t>
      </w:r>
    </w:p>
    <w:p>
      <w:pPr>
        <w:pStyle w:val="Heading2"/>
      </w:pPr>
      <w:r>
        <w:t>IV. 12 BEST INTEREST FACTORS ANALYSIS</w:t>
      </w:r>
    </w:p>
    <w:p>
      <w:r>
        <w:t>Plaintiff asserts that a custody modification aligns with LDW’s best interests under MCL 722.23, specifically:</w:t>
      </w:r>
    </w:p>
    <w:p>
      <w:r>
        <w:t>1. Emotional ties: Plaintiff and LDW share a close and loving bond, as evidenced by consistent parenting time activities.</w:t>
      </w:r>
    </w:p>
    <w:p>
      <w:r>
        <w:t>2. Capacity to provide love and guidance: Plaintiff demonstrates emotional stability, patience, and attentiveness to LDW’s developmental needs.</w:t>
      </w:r>
    </w:p>
    <w:p>
      <w:r>
        <w:t>3. Ability to provide necessities: Plaintiff’s improved financial situation and safe living environment ensure LDW’s physical needs are met.</w:t>
      </w:r>
    </w:p>
    <w:p>
      <w:pPr>
        <w:pStyle w:val="Heading2"/>
      </w:pPr>
      <w:r>
        <w:t>V. EXPANDED EVIDENCE OF PARENTAL ALIENATION</w:t>
      </w:r>
    </w:p>
    <w:p>
      <w:r>
        <w:t>Defendant has engaged in a documented pattern of parental alienation that harms LDW’s well-being. Examples include:</w:t>
      </w:r>
    </w:p>
    <w:p>
      <w:r>
        <w:t>- Withholding LDW from March 26 to May 2, 2024, denying Easter and Spring Break parenting time.</w:t>
      </w:r>
    </w:p>
    <w:p>
      <w:r>
        <w:t>- Blocking Plaintiff’s communication with LDW, including denied video calls on June 1, 2024, and September 12, 2024.</w:t>
      </w:r>
    </w:p>
    <w:p>
      <w:pPr>
        <w:pStyle w:val="Heading2"/>
      </w:pPr>
      <w:r>
        <w:t>VI. RELIEF REQUESTED</w:t>
      </w:r>
    </w:p>
    <w:p>
      <w:r>
        <w:t>WHEREFORE, Plaintiff respectfully requests that this Honorable Court grant the following relief to protect LDW’s best interests:</w:t>
      </w:r>
    </w:p>
    <w:p>
      <w:r>
        <w:t>1. Restore 50/50 custody and parenting time, ensuring equal access for both parents.</w:t>
      </w:r>
    </w:p>
    <w:p>
      <w:r>
        <w:t>2. Compensatory parenting time to address previous withholding of LDW.</w:t>
      </w:r>
    </w:p>
    <w:p>
      <w:r>
        <w:t>3. Sanctions against Defendant for parental alienation and misuse of legal processes.</w:t>
      </w:r>
    </w:p>
    <w:p>
      <w:pPr>
        <w:pStyle w:val="Heading2"/>
      </w:pPr>
      <w:r>
        <w:t>II. LEGAL FRAMEWORK (REFINED WITH SUPPORTING LAW)</w:t>
      </w:r>
    </w:p>
    <w:p>
      <w:r>
        <w:t>5. Pursuant to MCL 722.27(1)(c), custody orders may only be modified upon a showing of proper cause or a material change in circumstances. Proper cause requires facts significant enough to have a material impact on the child’s life, as established in Vodvarka v. Grasmeyer, 259 Mich. App. 499 (2003).</w:t>
      </w:r>
    </w:p>
    <w:p>
      <w:r>
        <w:t>6. Michigan courts place paramount importance on the best interests of the child, outlined in MCL 722.23. In Fletcher v. Fletcher, 447 Mich. 871 (1994), the Michigan Supreme Court emphasized the need to weigh these factors comprehensively.</w:t>
      </w:r>
    </w:p>
    <w:p>
      <w:r>
        <w:t>7. The improper influence of a Personal Protection Order (PPO) to sway custody proceedings violates due process and parental rights, as upheld by the U.S. Supreme Court in Troxel v. Granville, 530 U.S. 57 (2000).</w:t>
      </w:r>
    </w:p>
    <w:p>
      <w:r>
        <w:t>8. MCR 3.211(D) requires adherence to joint custody agreements and mandates compliance with court-ordered parenting plans. Violations may serve as grounds for modification.</w:t>
      </w:r>
    </w:p>
    <w:p>
      <w:pPr>
        <w:pStyle w:val="Heading2"/>
      </w:pPr>
      <w:r>
        <w:t>IV. 12 BEST INTEREST FACTORS ANALYSIS (WITH SUPPORTING LAW)</w:t>
      </w:r>
    </w:p>
    <w:p>
      <w:r>
        <w:t>Plaintiff asserts that a custody modification aligns with LDW’s best interests under MCL 722.23, with each factor analyzed below:</w:t>
      </w:r>
    </w:p>
    <w:p>
      <w:r>
        <w:t>1. **(a) Emotional Ties**: Plaintiff and LDW share a close and loving bond, as evidenced by parenting time activities such as shared reading, park outings, and developmental games. Michigan courts prioritize preserving emotional connections between parents and children, as established in Frame v. Nehls, 452 Mich. 171 (1996).</w:t>
      </w:r>
    </w:p>
    <w:p>
      <w:r>
        <w:t>2. **(b) Capacity to Provide Love and Guidance**: Plaintiff demonstrates emotional stability and attentiveness to LDW’s needs. This aligns with the principles in Ireland v. Smith, 451 Mich. 457 (1996), where the court emphasized the importance of parental emotional stability.</w:t>
      </w:r>
    </w:p>
    <w:p>
      <w:r>
        <w:t>3. **(j) Willingness to Foster a Relationship**: Defendant’s actions to block communication and withhold LDW violate the cooperative spirit of MCL 722.27a(1), which mandates fostering a child’s relationship with both parents.</w:t>
      </w:r>
    </w:p>
    <w:p>
      <w:pPr>
        <w:pStyle w:val="Heading2"/>
      </w:pPr>
      <w:r>
        <w:t>V. EXPANDED EVIDENCE OF PARENTAL ALIENATION (WITH LEGAL BASIS)</w:t>
      </w:r>
    </w:p>
    <w:p>
      <w:r>
        <w:t>Defendant’s actions are inconsistent with the child’s best interests as required by MCL 722.23. Examples include:</w:t>
      </w:r>
    </w:p>
    <w:p>
      <w:r>
        <w:t>- **Withholding Parenting Time**: Defendant violated MCL 722.27a(3), which protects parenting time agreements, by withholding LDW from March 26 to May 2, 2024, and October 20 to November 15, 2024. These violations caused emotional harm to LDW, as supported in Shade v. Wright, 291 Mich. App. 17 (2010).</w:t>
      </w:r>
    </w:p>
    <w:p>
      <w:r>
        <w:t>- **Blocking Communication**: Defendant obstructed video calls, violating MCL 722.27a(6), which requires facilitation of a healthy parent-child relationship. The court in Luna v. Regnier, 326 Mich. App. 173 (2018), highlighted the harm caused by such interference.</w:t>
      </w:r>
    </w:p>
    <w:p>
      <w:r>
        <w:t>- **Unilateral Medical Decisions**: Defendant’s actions to exclude Plaintiff from LDW’s medical decisions violate MCL 722.26a(1), which requires joint custody decisions to be made collaboratively. In Ruppel v. Lesner, 421 Mich. 559 (1984), the Michigan Supreme Court emphasized the importance of co-parenting in such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