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FOR CUSTODY MODIFICATION - PART 1</w:t>
      </w:r>
    </w:p>
    <w:p>
      <w:r>
        <w:t>IN THE 14TH JUDICIAL CIRCUIT COURT FOR THE COUNTY OF MUSKEGON</w:t>
      </w:r>
    </w:p>
    <w:p>
      <w:r>
        <w:t>I. INTRODUCTION</w:t>
      </w:r>
    </w:p>
    <w:p>
      <w:r>
        <w:t>This Motion seeks to modify custody arrangements to protect Lincoln David Watson (LDW) from the ongoing emotional and developmental harm caused by Respondent’s actions. These include documented instances of alienation, neglect, and exposure to a chaotic environment. Transitioning custody to Petitioner’s care provides LDW with the nurturing, stable, and supportive environment he needs to thrive.</w:t>
      </w:r>
    </w:p>
    <w:p>
      <w:r>
        <w:t>II. RELIEF REQUESTED</w:t>
      </w:r>
    </w:p>
    <w:p>
      <w:r>
        <w:t>1. Modify custody to grant Petitioner sole legal and physical custody of LDW.</w:t>
        <w:br/>
        <w:t>2. Order supervised parenting time for Respondent.</w:t>
        <w:br/>
        <w:t>3. Appoint a Guardian ad Litem (GAL).</w:t>
        <w:br/>
        <w:t>4. Mandate psychological evaluations for both parents.</w:t>
        <w:br/>
        <w:t>5. Implement co-parenting counseling and reunification therapy.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