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r>
        <w:t>AMENDED MOTION FOR PRELIMINARY INJUNCTION AND NOTICE OF HEARING</w:t>
      </w:r>
    </w:p>
    <w:p>
      <w:r>
        <w:t>Plaintiff originally sought this relief ex parte under MCR 3.310(B), but after denial, now re-files under proper notice per the Court’s June 18, 2025 order.</w:t>
      </w:r>
    </w:p>
    <w:p>
      <w:r>
        <w:t>NOW COMES Plaintiff, ANDREW J. PIGORS, in pro per, and respectfully moves this Honorable Court for entry of a Preliminary Injunction pursuant to MCR 3.310(A), and states:</w:t>
      </w:r>
    </w:p>
    <w:p>
      <w:r>
        <w:t>1. Plaintiff has filed a Verified Complaint supported by attached documentary evidence establishing:</w:t>
        <w:br/>
        <w:t xml:space="preserve">   a. Violations of habitability and housing rights under MCL 554.139,</w:t>
        <w:br/>
        <w:t xml:space="preserve">   b. Constructive eviction under MCL 600.2918,</w:t>
        <w:br/>
        <w:t xml:space="preserve">   c. Unauthorized rent escalation and utility billing fraud,</w:t>
        <w:br/>
        <w:t xml:space="preserve">   d. Civil rights violations pursuant to 42 U.S.C. § 1983, and</w:t>
        <w:br/>
        <w:t xml:space="preserve">   e. Procedural deprivation of due process under the U.S. Constitution and Mich. Const. 1963, art 1, § 17.</w:t>
      </w:r>
    </w:p>
    <w:p>
      <w:r>
        <w:t>1a. Plaintiff further states that additional corporate entities, including C T SHADY OAKS PARK MHP II, LLC (LARA Entity ID 802751132), are currently under investigation for potential successor liability and alter ego relationships relevant to the facts in this action. Plaintiff reserves the right to seek leave to amend the Verified Complaint to formally add such entities upon further discovery and confirmation of involvement.</w:t>
      </w:r>
    </w:p>
    <w:p>
      <w:r>
        <w:t>2. The Court denied Plaintiff's prior Motion for Ex Parte Temporary Restraining Order (Order dated June 18, 2025), citing noncompliance with MCR 3.310(B)(1)(a) and (b).</w:t>
      </w:r>
    </w:p>
    <w:p>
      <w:r>
        <w:t>3. Plaintiff now files this amended Motion for Preliminary Injunction upon proper notice and request for hearing as directed by Judge Hoopes. Hearing is scheduled for August 12, 2025 at 11:30 AM, with service of this motion and proof of same to be filed prior to hearing pursuant to MCR 2.107 and MCR 3.310(A)(1).</w:t>
      </w:r>
    </w:p>
    <w:p>
      <w:r>
        <w:t>4. Plaintiff asserts:</w:t>
        <w:br/>
        <w:t>- There exists no adequate remedy at law. The Defendants' conduct—including multiple coercive rent increases, fraudulent utility charges during an unresolved EGLE-documented sewage leak, unilateral water shutoff while a minor child was in the home, and eviction actions based on false balances—have caused damages that are not measurable solely in monetary terms. Restoration of housing, legal credibility, and access to the child are at stake.</w:t>
        <w:br/>
        <w:t>- Plaintiff is likely to prevail on the merits. Verified documentation includes evidence of three payments made on July 1, 2024 (via Karen Rettig, True North, and MDHHS) which were never credited; forced lease signature at Cricklewood under duress; and utility bills that contradict the actual meter use and EGLE compliance.</w:t>
        <w:br/>
        <w:t>- Irreparable harm continues: Plaintiff faces homelessness, disconnection from child custody rights, and severe reputational and credit damage stemming from manufactured defaults and unlawful reporting. Public records now reflect an eviction that was engineered through regulatory noncompliance and false ledgering.</w:t>
        <w:br/>
        <w:t>- The balance of equities heavily favors Plaintiff, who remains in legal occupancy with no active, valid lease or judgment authorizing ejectment under MCL 600.5741.</w:t>
        <w:br/>
        <w:t>- Public interest supports judicial intervention to prevent further abuses by licensed mobile home operators acting outside MCL 125.2328, EGLE standards, and court orders.</w:t>
      </w:r>
    </w:p>
    <w:p>
      <w:r>
        <w:t>5. Plaintiff requests that the Court enjoin Defendants from:</w:t>
        <w:br/>
        <w:t>- Further eviction attempts without legal process;</w:t>
        <w:br/>
        <w:t>- Utility disconnections or tampering without proper EGLE and MPSC notice;</w:t>
        <w:br/>
        <w:t>- Enforcing or collecting on the unapproved February 2025 rent increases or water/sewer fees;</w:t>
        <w:br/>
        <w:t>- Interfering with Plaintiff’s lawful occupancy and mail receipt at Lot 17.</w:t>
      </w:r>
    </w:p>
    <w:p>
      <w:r>
        <w:t>6. Plaintiff has attached a Chronological Affidavit of Harm, Exhibits A–D (with cover pages), and Proposed Order.</w:t>
      </w:r>
    </w:p>
    <w:p>
      <w:r>
        <w:t>7. Plaintiff certifies service of this motion, proposed order, and accompanying documents in accordance with MCR 2.107(C), and will file proof of service with the Clerk of the Court prior to the hearing.</w:t>
      </w:r>
    </w:p>
    <w:p>
      <w:r>
        <w:t>WHEREFORE, Plaintiff respectfully requests this Court to:</w:t>
        <w:br/>
        <w:t>A. Hear this matter on August 12, 2025 at 11:30 AM pursuant to MCR 3.310(A)(1),</w:t>
        <w:br/>
        <w:t>B. Grant immediate injunctive relief under MCR 3.310(A),</w:t>
        <w:br/>
        <w:t>C. Preserve Plaintiff’s housing and utilities at Lot 17 pending final adjudication, and</w:t>
        <w:br/>
        <w:t>D. Grant such other relief this Court deems just and proper.</w:t>
      </w:r>
    </w:p>
    <w:p>
      <w:r>
        <w:t>Further, Plaintiff requests emergency relief consistent with the urgency of the originally requested ex parte relief.</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