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state-of-michigan"/>
    <w:p>
      <w:pPr>
        <w:pStyle w:val="Heading2"/>
      </w:pPr>
      <w:r>
        <w:t xml:space="preserve">STATE OF MICHIGAN</w:t>
      </w:r>
    </w:p>
    <w:p>
      <w:pPr>
        <w:pStyle w:val="FirstParagraph"/>
      </w:pPr>
      <w:r>
        <w:t xml:space="preserve">IN THE CIRCUIT COURT FOR THE COUNTY OF MUSKEGON</w:t>
      </w:r>
      <w:r>
        <w:t xml:space="preserve"> </w:t>
      </w:r>
      <w:r>
        <w:t xml:space="preserve">14TH JUDICIAL CIRCUIT</w:t>
      </w:r>
    </w:p>
    <w:p>
      <w:pPr>
        <w:pStyle w:val="BodyText"/>
      </w:pPr>
      <w:r>
        <w:rPr>
          <w:b/>
          <w:bCs/>
        </w:rPr>
        <w:t xml:space="preserve">Case No. 2025-0000002760-CZ</w:t>
      </w:r>
      <w:r>
        <w:br/>
      </w:r>
      <w:r>
        <w:rPr>
          <w:b/>
          <w:bCs/>
        </w:rPr>
        <w:t xml:space="preserve">Hon. Kenneth S. Hoopes</w:t>
      </w:r>
    </w:p>
    <w:p>
      <w:pPr>
        <w:pStyle w:val="BodyText"/>
      </w:pPr>
      <w:r>
        <w:rPr>
          <w:b/>
          <w:bCs/>
        </w:rPr>
        <w:t xml:space="preserve">ANDREW J. PIGORS,</w:t>
      </w:r>
      <w:r>
        <w:br/>
      </w:r>
      <w:r>
        <w:t xml:space="preserve">Plaintiff,</w:t>
      </w:r>
    </w:p>
    <w:p>
      <w:pPr>
        <w:pStyle w:val="FirstParagraph"/>
      </w:pPr>
      <w:r>
        <w:rPr>
          <w:b/>
          <w:bCs/>
        </w:rPr>
        <w:t xml:space="preserve">SHADY OAKS PARK MHP LLC (Dissolved),</w:t>
      </w:r>
      <w:r>
        <w:br/>
      </w:r>
      <w:r>
        <w:rPr>
          <w:b/>
          <w:bCs/>
        </w:rPr>
        <w:t xml:space="preserve">HOMES OF AMERICA LLC,</w:t>
      </w:r>
      <w:r>
        <w:br/>
      </w:r>
      <w:r>
        <w:rPr>
          <w:b/>
          <w:bCs/>
        </w:rPr>
        <w:t xml:space="preserve">CRICKLEWOOD MHP LLC,</w:t>
      </w:r>
      <w:r>
        <w:br/>
      </w:r>
      <w:r>
        <w:rPr>
          <w:b/>
          <w:bCs/>
        </w:rPr>
        <w:t xml:space="preserve">PARTRIDGE SECURITIES LLC,</w:t>
      </w:r>
      <w:r>
        <w:br/>
      </w:r>
      <w:r>
        <w:rPr>
          <w:b/>
          <w:bCs/>
        </w:rPr>
        <w:t xml:space="preserve">CT CORPORATION SYSTEM (as Registered Agent),</w:t>
      </w:r>
      <w:r>
        <w:br/>
      </w:r>
      <w:r>
        <w:t xml:space="preserve">Jointly and Severally,</w:t>
      </w:r>
      <w:r>
        <w:br/>
      </w:r>
      <w:r>
        <w:t xml:space="preserve">Defendants.</w:t>
      </w:r>
    </w:p>
    <w:p>
      <w:r>
        <w:pict>
          <v:rect style="width:0;height:1.5pt" o:hralign="center" o:hrstd="t" o:hr="t"/>
        </w:pict>
      </w:r>
    </w:p>
    <w:bookmarkStart w:id="20" w:name="X61dd2bd49b7bbc02ad534db61b8f914d712f2bc"/>
    <w:p>
      <w:pPr>
        <w:pStyle w:val="Heading3"/>
      </w:pPr>
      <w:r>
        <w:t xml:space="preserve">EX PARTE MOTION TO VOID JUDGMENT DUE TO DISSOLVED ENTITY FILINGS</w:t>
      </w:r>
    </w:p>
    <w:p>
      <w:pPr>
        <w:pStyle w:val="FirstParagraph"/>
      </w:pPr>
      <w:r>
        <w:rPr>
          <w:b/>
          <w:bCs/>
        </w:rPr>
        <w:t xml:space="preserve">NOW COMES Plaintiff, ANDREW J. PIGORS</w:t>
      </w:r>
      <w:r>
        <w:t xml:space="preserve">, appearing in propria persona, and pursuant to</w:t>
      </w:r>
      <w:r>
        <w:t xml:space="preserve"> </w:t>
      </w:r>
      <w:r>
        <w:rPr>
          <w:b/>
          <w:bCs/>
        </w:rPr>
        <w:t xml:space="preserve">MCR 2.612(C)(1)(f)</w:t>
      </w:r>
      <w:r>
        <w:t xml:space="preserve">,</w:t>
      </w:r>
      <w:r>
        <w:t xml:space="preserve"> </w:t>
      </w:r>
      <w:r>
        <w:rPr>
          <w:b/>
          <w:bCs/>
        </w:rPr>
        <w:t xml:space="preserve">MCR 2.114(C)</w:t>
      </w:r>
      <w:r>
        <w:t xml:space="preserve">,</w:t>
      </w:r>
      <w:r>
        <w:t xml:space="preserve"> </w:t>
      </w:r>
      <w:r>
        <w:rPr>
          <w:b/>
          <w:bCs/>
        </w:rPr>
        <w:t xml:space="preserve">MCR 3.310(B)(1)</w:t>
      </w:r>
      <w:r>
        <w:t xml:space="preserve">, and this Court’s equitable authority, respectfully moves this Honorable Court</w:t>
      </w:r>
      <w:r>
        <w:t xml:space="preserve"> </w:t>
      </w:r>
      <w:r>
        <w:rPr>
          <w:b/>
          <w:bCs/>
        </w:rPr>
        <w:t xml:space="preserve">ex parte</w:t>
      </w:r>
      <w:r>
        <w:t xml:space="preserve"> </w:t>
      </w:r>
      <w:r>
        <w:t xml:space="preserve">for an Order</w:t>
      </w:r>
      <w:r>
        <w:t xml:space="preserve"> </w:t>
      </w:r>
      <w:r>
        <w:rPr>
          <w:b/>
          <w:bCs/>
        </w:rPr>
        <w:t xml:space="preserve">voiding any judgment, writ, or related filing</w:t>
      </w:r>
      <w:r>
        <w:t xml:space="preserve"> </w:t>
      </w:r>
      <w:r>
        <w:t xml:space="preserve">issued in favor of</w:t>
      </w:r>
      <w:r>
        <w:t xml:space="preserve"> </w:t>
      </w:r>
      <w:r>
        <w:rPr>
          <w:b/>
          <w:bCs/>
        </w:rPr>
        <w:t xml:space="preserve">SHADY OAKS PARK MHP LLC</w:t>
      </w:r>
      <w:r>
        <w:t xml:space="preserve">, an entity</w:t>
      </w:r>
      <w:r>
        <w:t xml:space="preserve"> </w:t>
      </w:r>
      <w:r>
        <w:rPr>
          <w:b/>
          <w:bCs/>
        </w:rPr>
        <w:t xml:space="preserve">administratively dissolved</w:t>
      </w:r>
      <w:r>
        <w:t xml:space="preserve"> </w:t>
      </w:r>
      <w:r>
        <w:t xml:space="preserve">on</w:t>
      </w:r>
      <w:r>
        <w:t xml:space="preserve"> </w:t>
      </w:r>
      <w:r>
        <w:rPr>
          <w:b/>
          <w:bCs/>
        </w:rPr>
        <w:t xml:space="preserve">February 15, 2023</w:t>
      </w:r>
      <w:r>
        <w:t xml:space="preserve">, which therefore</w:t>
      </w:r>
      <w:r>
        <w:t xml:space="preserve"> </w:t>
      </w:r>
      <w:r>
        <w:rPr>
          <w:b/>
          <w:bCs/>
        </w:rPr>
        <w:t xml:space="preserve">lacked legal capacity</w:t>
      </w:r>
      <w:r>
        <w:t xml:space="preserve"> </w:t>
      </w:r>
      <w:r>
        <w:t xml:space="preserve">to initiate or continue litigation in any court of law within the State of Michigan.</w:t>
      </w:r>
    </w:p>
    <w:bookmarkEnd w:id="20"/>
    <w:bookmarkStart w:id="21" w:name="i.-relief-requested"/>
    <w:p>
      <w:pPr>
        <w:pStyle w:val="Heading3"/>
      </w:pPr>
      <w:r>
        <w:t xml:space="preserve">I. RELIEF REQUESTED</w:t>
      </w:r>
    </w:p>
    <w:p>
      <w:pPr>
        <w:pStyle w:val="FirstParagraph"/>
      </w:pPr>
      <w:r>
        <w:t xml:space="preserve">Plaintiff respectfully seeks an</w:t>
      </w:r>
      <w:r>
        <w:t xml:space="preserve"> </w:t>
      </w:r>
      <w:r>
        <w:rPr>
          <w:b/>
          <w:bCs/>
        </w:rPr>
        <w:t xml:space="preserve">ex parte order</w:t>
      </w:r>
      <w:r>
        <w:t xml:space="preserve"> </w:t>
      </w:r>
      <w:r>
        <w:t xml:space="preserve">declaring that:</w:t>
      </w:r>
    </w:p>
    <w:p>
      <w:pPr>
        <w:pStyle w:val="Compact"/>
        <w:numPr>
          <w:ilvl w:val="0"/>
          <w:numId w:val="1002"/>
        </w:numPr>
      </w:pPr>
      <w:r>
        <w:t xml:space="preserve">All</w:t>
      </w:r>
      <w:r>
        <w:t xml:space="preserve"> </w:t>
      </w:r>
      <w:r>
        <w:rPr>
          <w:b/>
          <w:bCs/>
        </w:rPr>
        <w:t xml:space="preserve">judgments, writs of eviction, and filings</w:t>
      </w:r>
      <w:r>
        <w:t xml:space="preserve"> </w:t>
      </w:r>
      <w:r>
        <w:t xml:space="preserve">issued in favor of Shady Oaks Park MHP LLC after</w:t>
      </w:r>
      <w:r>
        <w:t xml:space="preserve"> </w:t>
      </w:r>
      <w:r>
        <w:rPr>
          <w:b/>
          <w:bCs/>
        </w:rPr>
        <w:t xml:space="preserve">February 15, 2023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void ab initio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All such actions be</w:t>
      </w:r>
      <w:r>
        <w:t xml:space="preserve"> </w:t>
      </w:r>
      <w:r>
        <w:rPr>
          <w:b/>
          <w:bCs/>
        </w:rPr>
        <w:t xml:space="preserve">stricken from the record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Any pending enforcement under said void documents be</w:t>
      </w:r>
      <w:r>
        <w:t xml:space="preserve"> </w:t>
      </w:r>
      <w:r>
        <w:rPr>
          <w:b/>
          <w:bCs/>
        </w:rPr>
        <w:t xml:space="preserve">immediately stayed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Court issue any additional relief required to restore Plaintiff’s rights and prevent ongoing harm.</w:t>
      </w:r>
    </w:p>
    <w:bookmarkEnd w:id="21"/>
    <w:bookmarkStart w:id="22" w:name="ii.-basis-for-ex-parte-relief"/>
    <w:p>
      <w:pPr>
        <w:pStyle w:val="Heading3"/>
      </w:pPr>
      <w:r>
        <w:t xml:space="preserve">II. BASIS FOR EX PARTE RELIEF</w:t>
      </w:r>
    </w:p>
    <w:p>
      <w:pPr>
        <w:pStyle w:val="FirstParagraph"/>
      </w:pPr>
      <w:r>
        <w:t xml:space="preserve">Under</w:t>
      </w:r>
      <w:r>
        <w:t xml:space="preserve"> </w:t>
      </w:r>
      <w:r>
        <w:rPr>
          <w:b/>
          <w:bCs/>
        </w:rPr>
        <w:t xml:space="preserve">MCR 3.310(B)(1)</w:t>
      </w:r>
      <w:r>
        <w:t xml:space="preserve">, ex parte relief is proper where:</w:t>
      </w:r>
    </w:p>
    <w:p>
      <w:pPr>
        <w:pStyle w:val="BlockText"/>
      </w:pPr>
      <w:r>
        <w:t xml:space="preserve">“it clearly appears from specific facts shown by affidavit or verified complaint that immediate and irreparable injury, loss, or damage will result… before the adverse party or attorney can be heard.”</w:t>
      </w:r>
    </w:p>
    <w:p>
      <w:pPr>
        <w:pStyle w:val="FirstParagraph"/>
      </w:pPr>
      <w:r>
        <w:t xml:space="preserve">Here, Plaintiff faces</w:t>
      </w:r>
      <w:r>
        <w:t xml:space="preserve"> </w:t>
      </w:r>
      <w:r>
        <w:rPr>
          <w:b/>
          <w:bCs/>
        </w:rPr>
        <w:t xml:space="preserve">imminent harm</w:t>
      </w:r>
      <w:r>
        <w:t xml:space="preserve"> </w:t>
      </w:r>
      <w:r>
        <w:t xml:space="preserve">from enforcement actions and court records based on</w:t>
      </w:r>
      <w:r>
        <w:t xml:space="preserve"> </w:t>
      </w:r>
      <w:r>
        <w:rPr>
          <w:b/>
          <w:bCs/>
        </w:rPr>
        <w:t xml:space="preserve">illegal filings by a dissolved entity</w:t>
      </w:r>
      <w:r>
        <w:t xml:space="preserve">, violating: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MCL 450.1832(1)(b)</w:t>
      </w:r>
      <w:r>
        <w:t xml:space="preserve"> </w:t>
      </w:r>
      <w:r>
        <w:t xml:space="preserve">– Dissolved LLCs may not transact business beyond winding up affairs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MCL 600.5750</w:t>
      </w:r>
      <w:r>
        <w:t xml:space="preserve"> </w:t>
      </w:r>
      <w:r>
        <w:t xml:space="preserve">– Jurisdictional defect voids eviction filings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MCR 2.114(C)</w:t>
      </w:r>
      <w:r>
        <w:t xml:space="preserve"> </w:t>
      </w:r>
      <w:r>
        <w:t xml:space="preserve">– Signatories certify authority and legal capacity</w:t>
      </w:r>
    </w:p>
    <w:p>
      <w:pPr>
        <w:pStyle w:val="FirstParagraph"/>
      </w:pPr>
      <w:r>
        <w:t xml:space="preserve">Plaintiff has presented</w:t>
      </w:r>
      <w:r>
        <w:t xml:space="preserve"> </w:t>
      </w:r>
      <w:r>
        <w:rPr>
          <w:b/>
          <w:bCs/>
        </w:rPr>
        <w:t xml:space="preserve">sworn documentation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official state records</w:t>
      </w:r>
      <w:r>
        <w:t xml:space="preserve"> </w:t>
      </w:r>
      <w:r>
        <w:t xml:space="preserve">(LARA certificate) confirming dissolution and showing ongoing filings, billing, and litigation post-dissolution.</w:t>
      </w:r>
    </w:p>
    <w:p>
      <w:pPr>
        <w:pStyle w:val="BodyText"/>
      </w:pPr>
      <w:r>
        <w:t xml:space="preserve">Immediate action is needed to prevent further reliance on void instruments.</w:t>
      </w:r>
    </w:p>
    <w:bookmarkEnd w:id="22"/>
    <w:bookmarkStart w:id="23" w:name="iii.-factual-background"/>
    <w:p>
      <w:pPr>
        <w:pStyle w:val="Heading3"/>
      </w:pPr>
      <w:r>
        <w:t xml:space="preserve">III. FACTUAL BACKGROUND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Shady Oaks Park MHP LLC was dissolved</w:t>
      </w:r>
      <w:r>
        <w:t xml:space="preserve"> </w:t>
      </w:r>
      <w:r>
        <w:t xml:space="preserve">by the Michigan Department of Licensing and Regulatory Affairs (</w:t>
      </w:r>
      <w:r>
        <w:rPr>
          <w:b/>
          <w:bCs/>
        </w:rPr>
        <w:t xml:space="preserve">LARA</w:t>
      </w:r>
      <w:r>
        <w:t xml:space="preserve">) on</w:t>
      </w:r>
      <w:r>
        <w:t xml:space="preserve"> </w:t>
      </w:r>
      <w:r>
        <w:rPr>
          <w:b/>
          <w:bCs/>
        </w:rPr>
        <w:t xml:space="preserve">February 15, 2023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After that date, it:</w:t>
      </w:r>
    </w:p>
    <w:p>
      <w:pPr>
        <w:pStyle w:val="Compact"/>
        <w:numPr>
          <w:ilvl w:val="1"/>
          <w:numId w:val="1005"/>
        </w:numPr>
      </w:pPr>
      <w:r>
        <w:t xml:space="preserve">Continued to collect rent</w:t>
      </w:r>
    </w:p>
    <w:p>
      <w:pPr>
        <w:pStyle w:val="Compact"/>
        <w:numPr>
          <w:ilvl w:val="1"/>
          <w:numId w:val="1005"/>
        </w:numPr>
      </w:pPr>
      <w:r>
        <w:t xml:space="preserve">Issued billing notices</w:t>
      </w:r>
    </w:p>
    <w:p>
      <w:pPr>
        <w:pStyle w:val="Compact"/>
        <w:numPr>
          <w:ilvl w:val="1"/>
          <w:numId w:val="1005"/>
        </w:numPr>
      </w:pPr>
      <w:r>
        <w:t xml:space="preserve">Filed legal complaints (including eviction)</w:t>
      </w:r>
    </w:p>
    <w:p>
      <w:pPr>
        <w:pStyle w:val="Compact"/>
        <w:numPr>
          <w:ilvl w:val="1"/>
          <w:numId w:val="1005"/>
        </w:numPr>
      </w:pPr>
      <w:r>
        <w:t xml:space="preserve">Participated in hearings and obtained judicial relief</w:t>
      </w:r>
    </w:p>
    <w:p>
      <w:pPr>
        <w:pStyle w:val="Compact"/>
        <w:numPr>
          <w:ilvl w:val="0"/>
          <w:numId w:val="1004"/>
        </w:numPr>
      </w:pPr>
      <w:r>
        <w:t xml:space="preserve">Plaintiff suffered unlawful enforcement of judgments obtained under the</w:t>
      </w:r>
      <w:r>
        <w:t xml:space="preserve"> </w:t>
      </w:r>
      <w:r>
        <w:rPr>
          <w:b/>
          <w:bCs/>
        </w:rPr>
        <w:t xml:space="preserve">name of a dissolved LLC</w:t>
      </w:r>
      <w:r>
        <w:t xml:space="preserve">, violating due process.</w:t>
      </w:r>
    </w:p>
    <w:p>
      <w:pPr>
        <w:pStyle w:val="Compact"/>
        <w:numPr>
          <w:ilvl w:val="0"/>
          <w:numId w:val="1004"/>
        </w:numPr>
      </w:pPr>
      <w:r>
        <w:t xml:space="preserve">These post-dissolution activities constitute a</w:t>
      </w:r>
      <w:r>
        <w:t xml:space="preserve"> </w:t>
      </w:r>
      <w:r>
        <w:rPr>
          <w:b/>
          <w:bCs/>
        </w:rPr>
        <w:t xml:space="preserve">fraud on the court</w:t>
      </w:r>
      <w:r>
        <w:t xml:space="preserve">, having been filed under</w:t>
      </w:r>
      <w:r>
        <w:t xml:space="preserve"> </w:t>
      </w:r>
      <w:r>
        <w:rPr>
          <w:b/>
          <w:bCs/>
        </w:rPr>
        <w:t xml:space="preserve">false legal authority</w:t>
      </w:r>
      <w:r>
        <w:t xml:space="preserve"> </w:t>
      </w:r>
      <w:r>
        <w:t xml:space="preserve">and without valid legal existence.</w:t>
      </w:r>
    </w:p>
    <w:bookmarkEnd w:id="23"/>
    <w:bookmarkStart w:id="27" w:name="iv.-legal-argument"/>
    <w:p>
      <w:pPr>
        <w:pStyle w:val="Heading3"/>
      </w:pPr>
      <w:r>
        <w:t xml:space="preserve">IV. LEGAL ARGUMENT</w:t>
      </w:r>
    </w:p>
    <w:bookmarkStart w:id="24" w:name="X15824fa99a94c0a10eb9452b2cc1503b09961ab"/>
    <w:p>
      <w:pPr>
        <w:pStyle w:val="Heading4"/>
      </w:pPr>
      <w:r>
        <w:t xml:space="preserve">A. A Dissolved LLC Cannot Litigate or Enforce</w:t>
      </w:r>
    </w:p>
    <w:p>
      <w:pPr>
        <w:pStyle w:val="FirstParagraph"/>
      </w:pPr>
      <w:r>
        <w:t xml:space="preserve">Under</w:t>
      </w:r>
      <w:r>
        <w:t xml:space="preserve"> </w:t>
      </w:r>
      <w:r>
        <w:rPr>
          <w:b/>
          <w:bCs/>
        </w:rPr>
        <w:t xml:space="preserve">MCL 450.1832(1)(b)</w:t>
      </w:r>
      <w:r>
        <w:t xml:space="preserve">, a dissolved entity is limited to</w:t>
      </w:r>
      <w:r>
        <w:t xml:space="preserve"> </w:t>
      </w:r>
      <w:r>
        <w:rPr>
          <w:b/>
          <w:bCs/>
        </w:rPr>
        <w:t xml:space="preserve">winding up</w:t>
      </w:r>
      <w:r>
        <w:t xml:space="preserve"> </w:t>
      </w:r>
      <w:r>
        <w:t xml:space="preserve">its business. It</w:t>
      </w:r>
      <w:r>
        <w:t xml:space="preserve"> </w:t>
      </w:r>
      <w:r>
        <w:rPr>
          <w:b/>
          <w:bCs/>
        </w:rPr>
        <w:t xml:space="preserve">may not prosecute new actions</w:t>
      </w:r>
      <w:r>
        <w:t xml:space="preserve">, nor continue prior litigation unrelated to dissolution.</w:t>
      </w:r>
    </w:p>
    <w:p>
      <w:pPr>
        <w:pStyle w:val="BlockText"/>
      </w:pPr>
      <w:r>
        <w:t xml:space="preserve">“A dissolved limited liability company continues its existence… but shall not carry on any business except as appropriate to wind up.”</w:t>
      </w:r>
    </w:p>
    <w:p>
      <w:pPr>
        <w:pStyle w:val="FirstParagraph"/>
      </w:pPr>
      <w:r>
        <w:t xml:space="preserve">Any attempt by Shady Oaks to initiate or continue proceedings beyond that scope—</w:t>
      </w:r>
      <w:r>
        <w:rPr>
          <w:b/>
          <w:bCs/>
        </w:rPr>
        <w:t xml:space="preserve">including evictions</w:t>
      </w:r>
      <w:r>
        <w:t xml:space="preserve"> </w:t>
      </w:r>
      <w:r>
        <w:t xml:space="preserve">and court filings—is legally</w:t>
      </w:r>
      <w:r>
        <w:t xml:space="preserve"> </w:t>
      </w:r>
      <w:r>
        <w:rPr>
          <w:b/>
          <w:bCs/>
        </w:rPr>
        <w:t xml:space="preserve">null and void</w:t>
      </w:r>
      <w:r>
        <w:t xml:space="preserve">.</w:t>
      </w:r>
    </w:p>
    <w:bookmarkEnd w:id="24"/>
    <w:bookmarkStart w:id="25" w:name="Xdbb6f848ae5c78c8369b2f920c608f888e0d6d2"/>
    <w:p>
      <w:pPr>
        <w:pStyle w:val="Heading4"/>
      </w:pPr>
      <w:r>
        <w:t xml:space="preserve">B. Judgments Entered Under a Dissolved Entity Are Void</w:t>
      </w:r>
    </w:p>
    <w:p>
      <w:pPr>
        <w:pStyle w:val="FirstParagraph"/>
      </w:pPr>
      <w:r>
        <w:t xml:space="preserve">Michigan courts have held that filings made by parties without legal capacity are subject to</w:t>
      </w:r>
      <w:r>
        <w:t xml:space="preserve"> </w:t>
      </w:r>
      <w:r>
        <w:rPr>
          <w:b/>
          <w:bCs/>
        </w:rPr>
        <w:t xml:space="preserve">voiding under MCR 2.612(C)(1)(f)</w:t>
      </w:r>
      <w:r>
        <w:t xml:space="preserve">. This includes cases of: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Fraud upon the court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Fundamental jurisdictional defects</w:t>
      </w:r>
    </w:p>
    <w:p>
      <w:pPr>
        <w:pStyle w:val="BlockText"/>
      </w:pPr>
      <w:r>
        <w:t xml:space="preserve">See</w:t>
      </w:r>
      <w:r>
        <w:t xml:space="preserve"> </w:t>
      </w:r>
      <w:r>
        <w:rPr>
          <w:b/>
          <w:bCs/>
        </w:rPr>
        <w:t xml:space="preserve">Altman v. Nelson</w:t>
      </w:r>
      <w:r>
        <w:t xml:space="preserve">, 197 Mich App 467 (1992) – Courts cannot confer jurisdiction by error or consent.</w:t>
      </w:r>
    </w:p>
    <w:bookmarkEnd w:id="25"/>
    <w:bookmarkStart w:id="26" w:name="X0cbc4a0ecb7c03f815c546372faa7d9f1a5d4da"/>
    <w:p>
      <w:pPr>
        <w:pStyle w:val="Heading4"/>
      </w:pPr>
      <w:r>
        <w:t xml:space="preserve">C. Continued Use of Dissolved Name Violates MCR 2.114 and LARA Statutes</w:t>
      </w:r>
    </w:p>
    <w:p>
      <w:pPr>
        <w:pStyle w:val="FirstParagraph"/>
      </w:pPr>
      <w:r>
        <w:t xml:space="preserve">By continuing to file under a nonexistent entity, defendants violated the certification clause under</w:t>
      </w:r>
      <w:r>
        <w:t xml:space="preserve"> </w:t>
      </w:r>
      <w:r>
        <w:rPr>
          <w:b/>
          <w:bCs/>
        </w:rPr>
        <w:t xml:space="preserve">MCR 2.114(C)</w:t>
      </w:r>
      <w:r>
        <w:t xml:space="preserve">, which requires all signatories to have legal authority and good faith belief in the facts and standing of the filing party.</w:t>
      </w:r>
    </w:p>
    <w:p>
      <w:pPr>
        <w:pStyle w:val="BodyText"/>
      </w:pPr>
      <w:r>
        <w:t xml:space="preserve">These violations warrant sanctions, referral, and the</w:t>
      </w:r>
      <w:r>
        <w:t xml:space="preserve"> </w:t>
      </w:r>
      <w:r>
        <w:rPr>
          <w:b/>
          <w:bCs/>
        </w:rPr>
        <w:t xml:space="preserve">striking of all post-dissolution pleadings and relief granted therein</w:t>
      </w:r>
      <w:r>
        <w:t xml:space="preserve">.</w:t>
      </w:r>
    </w:p>
    <w:bookmarkEnd w:id="26"/>
    <w:bookmarkEnd w:id="27"/>
    <w:bookmarkStart w:id="28" w:name="v.-exhibits"/>
    <w:p>
      <w:pPr>
        <w:pStyle w:val="Heading3"/>
      </w:pPr>
      <w:r>
        <w:t xml:space="preserve">V. EXHIBITS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Exhibit A</w:t>
      </w:r>
      <w:r>
        <w:t xml:space="preserve"> </w:t>
      </w:r>
      <w:r>
        <w:t xml:space="preserve">– Certificate of Dissolution – LARA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Exhibit M</w:t>
      </w:r>
      <w:r>
        <w:t xml:space="preserve"> </w:t>
      </w:r>
      <w:r>
        <w:t xml:space="preserve">– Court filings from 60th District Court post-dissolution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Exhibit T</w:t>
      </w:r>
      <w:r>
        <w:t xml:space="preserve"> </w:t>
      </w:r>
      <w:r>
        <w:t xml:space="preserve">– Billing statements and eviction notices referencing dissolved entity</w:t>
      </w:r>
    </w:p>
    <w:bookmarkEnd w:id="28"/>
    <w:bookmarkStart w:id="29" w:name="vi.-conclusion"/>
    <w:p>
      <w:pPr>
        <w:pStyle w:val="Heading3"/>
      </w:pPr>
      <w:r>
        <w:t xml:space="preserve">VI. CONCLUSION</w:t>
      </w:r>
    </w:p>
    <w:p>
      <w:pPr>
        <w:pStyle w:val="FirstParagraph"/>
      </w:pPr>
      <w:r>
        <w:t xml:space="preserve">For the foregoing reasons, Plaintiff respectfully requests this Honorable Court GRANT this ex parte motion and enter the attached proposed order.</w:t>
      </w:r>
    </w:p>
    <w:p>
      <w:pPr>
        <w:pStyle w:val="BodyText"/>
      </w:pPr>
      <w:r>
        <w:t xml:space="preserve">Respectfully submitted,</w:t>
      </w:r>
    </w:p>
    <w:p>
      <w:pPr>
        <w:pStyle w:val="BodyText"/>
      </w:pPr>
      <w:r>
        <w:t xml:space="preserve">Dated: ____________, 2025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Andrew J. Pigors</w:t>
      </w:r>
      <w:r>
        <w:br/>
      </w:r>
      <w:r>
        <w:t xml:space="preserve">Plaintiff, In Pro Per</w:t>
      </w:r>
      <w:r>
        <w:br/>
      </w:r>
      <w:r>
        <w:t xml:space="preserve">1977 Whitehall Rd, Lot 17</w:t>
      </w:r>
      <w:r>
        <w:br/>
      </w:r>
      <w:r>
        <w:t xml:space="preserve">Muskegon, MI 49445</w:t>
      </w:r>
      <w:r>
        <w:br/>
      </w:r>
      <w:r>
        <w:t xml:space="preserve">(231) 260-1939</w:t>
      </w:r>
    </w:p>
    <w:p>
      <w:r>
        <w:pict>
          <v:rect style="width:0;height:1.5pt" o:hralign="center" o:hrstd="t" o:hr="t"/>
        </w:pict>
      </w:r>
    </w:p>
    <w:bookmarkEnd w:id="29"/>
    <w:bookmarkStart w:id="30" w:name="Xe7181a87acf444156bb92076bb67429800e1b41"/>
    <w:p>
      <w:pPr>
        <w:pStyle w:val="Heading3"/>
      </w:pPr>
      <w:r>
        <w:t xml:space="preserve">PROPOSED ORDER – VOIDING JUDGMENT DUE TO DISSOLUTION</w:t>
      </w:r>
    </w:p>
    <w:p>
      <w:pPr>
        <w:pStyle w:val="FirstParagraph"/>
      </w:pPr>
      <w:r>
        <w:t xml:space="preserve">At a session of the Court held in Muskegon County, Michigan, on the ___ day of ____________, 2025,</w:t>
      </w:r>
    </w:p>
    <w:p>
      <w:pPr>
        <w:pStyle w:val="BodyText"/>
      </w:pPr>
      <w:r>
        <w:t xml:space="preserve">PRESENT: HON. KENNETH S. HOOPES</w:t>
      </w:r>
    </w:p>
    <w:p>
      <w:pPr>
        <w:pStyle w:val="BodyText"/>
      </w:pPr>
      <w:r>
        <w:t xml:space="preserve">Upon consideration of Plaintiff’s</w:t>
      </w:r>
      <w:r>
        <w:t xml:space="preserve"> </w:t>
      </w:r>
      <w:r>
        <w:rPr>
          <w:b/>
          <w:bCs/>
        </w:rPr>
        <w:t xml:space="preserve">Emergency Ex Parte Motion to Void Judgment</w:t>
      </w:r>
      <w:r>
        <w:t xml:space="preserve"> </w:t>
      </w:r>
      <w:r>
        <w:t xml:space="preserve">and supporting exhibits, and pursuant to</w:t>
      </w:r>
      <w:r>
        <w:t xml:space="preserve"> </w:t>
      </w:r>
      <w:r>
        <w:rPr>
          <w:b/>
          <w:bCs/>
        </w:rPr>
        <w:t xml:space="preserve">MCR 2.612(C)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MCR 3.310(B)(1)</w:t>
      </w:r>
      <w:r>
        <w:t xml:space="preserve">:</w:t>
      </w:r>
    </w:p>
    <w:p>
      <w:pPr>
        <w:pStyle w:val="BodyText"/>
      </w:pPr>
      <w:r>
        <w:t xml:space="preserve">IT IS HEREBY ORDERED that:</w:t>
      </w:r>
    </w:p>
    <w:p>
      <w:pPr>
        <w:pStyle w:val="Compact"/>
        <w:numPr>
          <w:ilvl w:val="0"/>
          <w:numId w:val="1008"/>
        </w:numPr>
      </w:pPr>
      <w:r>
        <w:t xml:space="preserve">Any</w:t>
      </w:r>
      <w:r>
        <w:t xml:space="preserve"> </w:t>
      </w:r>
      <w:r>
        <w:rPr>
          <w:b/>
          <w:bCs/>
        </w:rPr>
        <w:t xml:space="preserve">judgment, writ, or order</w:t>
      </w:r>
      <w:r>
        <w:t xml:space="preserve"> </w:t>
      </w:r>
      <w:r>
        <w:t xml:space="preserve">entered in favor of</w:t>
      </w:r>
      <w:r>
        <w:t xml:space="preserve"> </w:t>
      </w:r>
      <w:r>
        <w:rPr>
          <w:b/>
          <w:bCs/>
        </w:rPr>
        <w:t xml:space="preserve">Shady Oaks Park MHP LLC</w:t>
      </w:r>
      <w:r>
        <w:t xml:space="preserve"> </w:t>
      </w:r>
      <w:r>
        <w:t xml:space="preserve">after</w:t>
      </w:r>
      <w:r>
        <w:t xml:space="preserve"> </w:t>
      </w:r>
      <w:r>
        <w:rPr>
          <w:b/>
          <w:bCs/>
        </w:rPr>
        <w:t xml:space="preserve">February 15, 2023</w:t>
      </w:r>
      <w:r>
        <w:t xml:space="preserve"> </w:t>
      </w:r>
      <w:r>
        <w:t xml:space="preserve">is declared</w:t>
      </w:r>
      <w:r>
        <w:t xml:space="preserve"> </w:t>
      </w:r>
      <w:r>
        <w:rPr>
          <w:b/>
          <w:bCs/>
        </w:rPr>
        <w:t xml:space="preserve">VOID ab initio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Clerk of the Court</w:t>
      </w:r>
      <w:r>
        <w:t xml:space="preserve"> </w:t>
      </w:r>
      <w:r>
        <w:t xml:space="preserve">shall</w:t>
      </w:r>
      <w:r>
        <w:t xml:space="preserve"> </w:t>
      </w:r>
      <w:r>
        <w:rPr>
          <w:b/>
          <w:bCs/>
        </w:rPr>
        <w:t xml:space="preserve">strike from the record</w:t>
      </w:r>
      <w:r>
        <w:t xml:space="preserve"> </w:t>
      </w:r>
      <w:r>
        <w:t xml:space="preserve">all pleadings, filings, or judicial instruments submitted under the name Shady Oaks Park MHP LLC after that date;</w:t>
      </w:r>
    </w:p>
    <w:p>
      <w:pPr>
        <w:pStyle w:val="Compact"/>
        <w:numPr>
          <w:ilvl w:val="0"/>
          <w:numId w:val="1008"/>
        </w:numPr>
      </w:pPr>
      <w:r>
        <w:t xml:space="preserve">Any</w:t>
      </w:r>
      <w:r>
        <w:t xml:space="preserve"> </w:t>
      </w:r>
      <w:r>
        <w:rPr>
          <w:b/>
          <w:bCs/>
        </w:rPr>
        <w:t xml:space="preserve">eviction or enforcement actions</w:t>
      </w:r>
      <w:r>
        <w:t xml:space="preserve"> </w:t>
      </w:r>
      <w:r>
        <w:t xml:space="preserve">based upon such voided documents are</w:t>
      </w:r>
      <w:r>
        <w:t xml:space="preserve"> </w:t>
      </w:r>
      <w:r>
        <w:rPr>
          <w:b/>
          <w:bCs/>
        </w:rPr>
        <w:t xml:space="preserve">stayed</w:t>
      </w:r>
      <w:r>
        <w:t xml:space="preserve"> </w:t>
      </w:r>
      <w:r>
        <w:t xml:space="preserve">and may not proceed without further order;</w:t>
      </w:r>
    </w:p>
    <w:p>
      <w:pPr>
        <w:pStyle w:val="Compact"/>
        <w:numPr>
          <w:ilvl w:val="0"/>
          <w:numId w:val="1008"/>
        </w:numPr>
      </w:pPr>
      <w:r>
        <w:t xml:space="preserve">This Order is entered</w:t>
      </w:r>
      <w:r>
        <w:t xml:space="preserve"> </w:t>
      </w:r>
      <w:r>
        <w:rPr>
          <w:b/>
          <w:bCs/>
        </w:rPr>
        <w:t xml:space="preserve">ex parte</w:t>
      </w:r>
      <w:r>
        <w:t xml:space="preserve"> </w:t>
      </w:r>
      <w:r>
        <w:t xml:space="preserve">under</w:t>
      </w:r>
      <w:r>
        <w:t xml:space="preserve"> </w:t>
      </w:r>
      <w:r>
        <w:rPr>
          <w:b/>
          <w:bCs/>
        </w:rPr>
        <w:t xml:space="preserve">MCR 3.310(B)</w:t>
      </w:r>
      <w:r>
        <w:t xml:space="preserve"> </w:t>
      </w:r>
      <w:r>
        <w:t xml:space="preserve">and shall remain in effect until modified after hearing upon proper notice.</w:t>
      </w:r>
    </w:p>
    <w:p>
      <w:pPr>
        <w:pStyle w:val="FirstParagraph"/>
      </w:pPr>
      <w:r>
        <w:t xml:space="preserve">IT IS SO ORDERED.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HON. KENNETH S. HOOPES</w:t>
      </w:r>
      <w:r>
        <w:br/>
      </w:r>
      <w:r>
        <w:t xml:space="preserve">14th Circuit Court Judge</w:t>
      </w:r>
    </w:p>
    <w:p>
      <w:pPr>
        <w:pStyle w:val="BodyText"/>
      </w:pPr>
      <w:r>
        <w:t xml:space="preserve">Prepared by:</w:t>
      </w:r>
      <w:r>
        <w:br/>
      </w:r>
      <w:r>
        <w:t xml:space="preserve">_____________________________</w:t>
      </w:r>
      <w:r>
        <w:br/>
      </w:r>
      <w:r>
        <w:rPr>
          <w:b/>
          <w:bCs/>
        </w:rPr>
        <w:t xml:space="preserve">Andrew J. Pigors, In Pro Per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22">
    <w:nsid w:val="0A997122"/>
    <w:multiLevelType w:val="multilevel"/>
    <w:lvl w:ilvl="0">
      <w:start w:val="22"/>
      <w:numFmt w:val="lowerLetter"/>
      <w:lvlText w:val="%1."/>
      <w:lvlJc w:val="left"/>
      <w:pPr>
        <w:ind w:left="720" w:hanging="360"/>
      </w:pPr>
    </w:lvl>
    <w:lvl w:ilvl="1">
      <w:start w:val="22"/>
      <w:numFmt w:val="lowerLetter"/>
      <w:lvlText w:val="%2."/>
      <w:lvlJc w:val="left"/>
      <w:pPr>
        <w:ind w:left="1440" w:hanging="360"/>
      </w:pPr>
    </w:lvl>
    <w:lvl w:ilvl="2">
      <w:start w:val="22"/>
      <w:numFmt w:val="lowerLetter"/>
      <w:lvlText w:val="%3."/>
      <w:lvlJc w:val="left"/>
      <w:pPr>
        <w:ind w:left="2160" w:hanging="360"/>
      </w:pPr>
    </w:lvl>
    <w:lvl w:ilvl="3">
      <w:start w:val="22"/>
      <w:numFmt w:val="lowerLetter"/>
      <w:lvlText w:val="%4."/>
      <w:lvlJc w:val="left"/>
      <w:pPr>
        <w:ind w:left="2880" w:hanging="360"/>
      </w:pPr>
    </w:lvl>
    <w:lvl w:ilvl="4">
      <w:start w:val="22"/>
      <w:numFmt w:val="lowerLetter"/>
      <w:lvlText w:val="%5."/>
      <w:lvlJc w:val="left"/>
      <w:pPr>
        <w:ind w:left="3600" w:hanging="360"/>
      </w:pPr>
    </w:lvl>
    <w:lvl w:ilvl="5">
      <w:start w:val="22"/>
      <w:numFmt w:val="lowerLetter"/>
      <w:lvlText w:val="%6."/>
      <w:lvlJc w:val="left"/>
      <w:pPr>
        <w:ind w:left="4320" w:hanging="360"/>
      </w:pPr>
    </w:lvl>
    <w:lvl w:ilvl="6">
      <w:start w:val="22"/>
      <w:numFmt w:val="lowerLetter"/>
      <w:lvlText w:val="%7."/>
      <w:lvlJc w:val="left"/>
      <w:pPr>
        <w:ind w:left="5040" w:hanging="360"/>
      </w:pPr>
    </w:lvl>
    <w:lvl w:ilvl="7">
      <w:start w:val="22"/>
      <w:numFmt w:val="lowerLetter"/>
      <w:lvlText w:val="%8."/>
      <w:lvlJc w:val="left"/>
      <w:pPr>
        <w:ind w:left="5760" w:hanging="360"/>
      </w:pPr>
    </w:lvl>
    <w:lvl w:ilvl="8">
      <w:start w:val="22"/>
      <w:numFmt w:val="lowerLetter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7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2025-07-02T11:58:49Z</dcterms:created>
  <dcterms:modified xsi:type="dcterms:W3CDTF">2025-07-02T11:58:49Z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