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 PARTE MOTION TO STAY WRIT OF EVICTION</w:t>
      </w:r>
    </w:p>
    <w:p>
      <w:r>
        <w:t>IN THE 60TH DISTRICT COURT – MUSKEGON COUNTY</w:t>
      </w:r>
    </w:p>
    <w:p>
      <w:r>
        <w:t>Case No.: 2025-25061626-LT</w:t>
      </w:r>
    </w:p>
    <w:p>
      <w:r>
        <w:t>Judge: Hon. Maria Ladas Hoopes</w:t>
        <w:br/>
      </w:r>
    </w:p>
    <w:p>
      <w:pPr>
        <w:pStyle w:val="Heading1"/>
      </w:pPr>
      <w:r>
        <w:t>I. RELIEF REQUESTED</w:t>
      </w:r>
    </w:p>
    <w:p>
      <w:r>
        <w:t>Defendant Andrew J. Pigors, in pro per, respectfully moves this Court for an ex parte stay of the writ of eviction entered in this matter, pursuant to MCR 2.119(E), MCR 2.612(C)(1)(f), and MCR 2.614(A), pending the outcome of a Preliminary Injunction hearing in the 14th Circuit Court (Case No. 2025-0000002760-CZ). This stay is necessary to prevent irreparable harm, maintain judicial efficiency, and preserve due process.</w:t>
      </w:r>
    </w:p>
    <w:p>
      <w:pPr>
        <w:pStyle w:val="Heading1"/>
      </w:pPr>
      <w:r>
        <w:t>II. GROUNDS FOR RELIEF</w:t>
      </w:r>
    </w:p>
    <w:p>
      <w:r>
        <w:t>1. Shell Entity Fraud and Concealment:</w:t>
        <w:br/>
        <w:t xml:space="preserve">   The Plaintiff in this case, Shady Oaks Park MHP LLC, filed the eviction action despite not being the landlord listed on the lease. The lease identifies the landlord as Shady Oaks MHP LLC, which was administratively dissolved on February 15, 2023. This entity mismatch, combined with a lack of disclosure regarding substitution or merger, constitutes material fraud and a violation of MCL 600.5714(1)(c)(iii) and MCR 2.114.</w:t>
      </w:r>
    </w:p>
    <w:p>
      <w:r>
        <w:t>2. Coercive Lease Conduct and Deprivation of Rights:</w:t>
        <w:br/>
        <w:t xml:space="preserve">   Defendant was compelled to sign a lease with Shady Oaks MHP LLC in March 2024, more than one year after its dissolution. Rent and utility charges were raised arbitrarily, and the eviction was initiated under a separate, undisclosed entity. Defendant has been denied legal clarity or lawful opportunity to contest.</w:t>
      </w:r>
    </w:p>
    <w:p>
      <w:r>
        <w:t>3. Cross-Court Dependency:</w:t>
        <w:br/>
        <w:t xml:space="preserve">   A related case is pending in 14th Circuit Court (2025-0000002760-CZ), where Defendant seeks a preliminary injunction and declaratory relief to void the eviction. A hearing is set for August 12, 2025. Allowing the writ to proceed now would irreparably prejudice those proceedings and violate the principle of comity.</w:t>
      </w:r>
    </w:p>
    <w:p>
      <w:pPr>
        <w:pStyle w:val="Heading1"/>
      </w:pPr>
      <w:r>
        <w:t>III. EX PARTE NECESSITY</w:t>
      </w:r>
    </w:p>
    <w:p>
      <w:r>
        <w:t>Defendant respectfully requests ex parte relief under MCR 2.119(E). Immediate relief is necessary because Plaintiff may execute the writ of eviction at any time. Notice would defeat the purpose of this motion, and Defendant agrees to serve the opposing party promptly if relief is granted.</w:t>
      </w:r>
    </w:p>
    <w:p>
      <w:pPr>
        <w:pStyle w:val="Heading1"/>
      </w:pPr>
      <w:r>
        <w:t>IV. CERTIFICATION UNDER MCR 2.114(B)</w:t>
      </w:r>
    </w:p>
    <w:p>
      <w:r>
        <w:t>I certify that the statements set forth in this Motion are true to the best of my knowledge, information, and belief, formed after reasonable inquiry and investigation.</w:t>
      </w:r>
    </w:p>
    <w:p>
      <w:r>
        <w:br/>
        <w:t>Signed: Andrew J. Pigors</w:t>
      </w:r>
    </w:p>
    <w:p>
      <w:r>
        <w:t>Date: July 02,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