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MOTION FOR RELIEF – PERMANENT INJUNCTION &amp; DAMAGES</w:t>
      </w:r>
    </w:p>
    <w:p>
      <w:r>
        <w:t>NOW COMES Plaintiff, ANDREW J. PIGORS, in pro per, and moves this Honorable Court for permanent injunctive relief and monetary damages based on the uncontested and ongoing conduct of Defendants, and in support states as follows:</w:t>
      </w:r>
    </w:p>
    <w:p>
      <w:r>
        <w:t>1. Defendants have failed to appear, file a response, or oppose Plaintiff’s Verified Complaint or Preliminary Injunction Motion.</w:t>
      </w:r>
    </w:p>
    <w:p>
      <w:r>
        <w:t>2. Evidence presented includes multiple violations of EGLE sanitation rules, fraudulent rent escalation, utility overbilling, and documented retaliation in violation of MCL 600.5720.</w:t>
      </w:r>
    </w:p>
    <w:p>
      <w:r>
        <w:t>3. The Court is empowered under MCR 3.310(B) and (C), and MCL 600.2940, to grant permanent equitable and legal relief upon full evidentiary presentation and default.</w:t>
      </w:r>
    </w:p>
    <w:p>
      <w:r>
        <w:t>WHEREFORE, Plaintiff respectfully requests entry of a permanent injunction prohibiting further billing, eviction, or lease enforcement by Defendants, and monetary relief for damages suffered.</w:t>
      </w:r>
    </w:p>
    <w:p>
      <w:r>
        <w:t>/s/ Andrew J. Pigors</w:t>
        <w:br/>
        <w:t>Date: June 27,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