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rStyle w:val="Strong"/>
        </w:rPr>
        <w:t>STATE OF MICHIGAN</w:t>
      </w:r>
      <w:r>
        <w:rPr/>
        <w:br/>
      </w:r>
      <w:r>
        <w:rPr>
          <w:rStyle w:val="Strong"/>
        </w:rPr>
        <w:t>IN THE 14TH JUDICIAL CIRCUIT COURT FOR THE COUNTY OF MUSKEGON</w:t>
      </w:r>
    </w:p>
    <w:p>
      <w:pPr>
        <w:pStyle w:val="BodyText"/>
        <w:bidi w:val="0"/>
        <w:spacing w:lineRule="auto" w:line="276" w:before="0" w:after="140"/>
        <w:jc w:val="left"/>
        <w:rPr/>
      </w:pPr>
      <w:r>
        <w:rPr>
          <w:rStyle w:val="Strong"/>
        </w:rPr>
        <w:t>ANDREW J. PIGORS</w:t>
      </w:r>
      <w:r>
        <w:rPr/>
        <w:t>,</w:t>
        <w:br/>
        <w:t>Plaintiff,</w:t>
        <w:br/>
        <w:t>Pro Se Litigant</w:t>
        <w:br/>
        <w:t>1977 Whitehall Road, Lot 17</w:t>
        <w:br/>
        <w:t>Muskegon, MI 49445</w:t>
        <w:br/>
        <w:t>(231) 903-5690</w:t>
        <w:br/>
        <w:t>andrewjpigors@gmail.com</w:t>
      </w:r>
    </w:p>
    <w:p>
      <w:pPr>
        <w:pStyle w:val="BodyText"/>
        <w:bidi w:val="0"/>
        <w:spacing w:lineRule="auto" w:line="276" w:before="0" w:after="140"/>
        <w:jc w:val="left"/>
        <w:rPr/>
      </w:pPr>
      <w:r>
        <w:rPr/>
        <w:t>v.</w:t>
      </w:r>
    </w:p>
    <w:p>
      <w:pPr>
        <w:pStyle w:val="BodyText"/>
        <w:bidi w:val="0"/>
        <w:spacing w:lineRule="auto" w:line="276" w:before="0" w:after="140"/>
        <w:jc w:val="left"/>
        <w:rPr/>
      </w:pPr>
      <w:r>
        <w:rPr>
          <w:rStyle w:val="Strong"/>
        </w:rPr>
        <w:t>SHADY OAKS MHP LLC</w:t>
      </w:r>
      <w:r>
        <w:rPr/>
        <w:t>,</w:t>
        <w:br/>
      </w:r>
      <w:r>
        <w:rPr>
          <w:rStyle w:val="Strong"/>
        </w:rPr>
        <w:t>HOMES OF AMERICA LLC</w:t>
      </w:r>
      <w:r>
        <w:rPr/>
        <w:t>,</w:t>
        <w:br/>
      </w:r>
      <w:r>
        <w:rPr>
          <w:rStyle w:val="Strong"/>
        </w:rPr>
        <w:t>BYRON FIELDS</w:t>
      </w:r>
      <w:r>
        <w:rPr/>
        <w:t>, Manager/Agent,</w:t>
        <w:br/>
        <w:t>and all affiliated entities or alter egos operating under the Homes of America corporate structure,</w:t>
        <w:br/>
        <w:t>Defendants.</w:t>
      </w:r>
    </w:p>
    <w:p>
      <w:pPr>
        <w:pStyle w:val="BodyText"/>
        <w:bidi w:val="0"/>
        <w:spacing w:lineRule="auto" w:line="276" w:before="0" w:after="140"/>
        <w:jc w:val="left"/>
        <w:rPr/>
      </w:pPr>
      <w:r>
        <w:rPr/>
        <w:t>Case No.: _______________</w:t>
        <w:br/>
        <w:t>Hon. ___________________</w:t>
      </w:r>
    </w:p>
    <w:p>
      <w:pPr>
        <w:pStyle w:val="HorizontalLine"/>
        <w:suppressLineNumbers/>
        <w:pBdr>
          <w:bottom w:val="double" w:sz="2" w:space="0" w:color="808080"/>
        </w:pBdr>
        <w:bidi w:val="0"/>
        <w:spacing w:before="0" w:after="283"/>
        <w:jc w:val="left"/>
        <w:rPr/>
      </w:pPr>
      <w:r>
        <w:rPr/>
      </w:r>
    </w:p>
    <w:p>
      <w:pPr>
        <w:pStyle w:val="Heading3"/>
        <w:bidi w:val="0"/>
        <w:jc w:val="left"/>
        <w:rPr/>
      </w:pPr>
      <w:r>
        <w:rPr>
          <w:rStyle w:val="Strong"/>
          <w:b/>
          <w:bCs/>
        </w:rPr>
        <w:t>MOTION FOR INJUNCTION AND SANCTIONS</w:t>
      </w:r>
    </w:p>
    <w:p>
      <w:pPr>
        <w:pStyle w:val="BodyText"/>
        <w:bidi w:val="0"/>
        <w:jc w:val="left"/>
        <w:rPr/>
      </w:pPr>
      <w:r>
        <w:rPr>
          <w:rStyle w:val="Strong"/>
        </w:rPr>
        <w:t>FOR RETALIATORY LITIGATION, HAZARDOUS CONDITIONS, AND LEGAL ABUSE</w:t>
      </w:r>
    </w:p>
    <w:p>
      <w:pPr>
        <w:pStyle w:val="HorizontalLine"/>
        <w:bidi w:val="0"/>
        <w:jc w:val="left"/>
        <w:rPr/>
      </w:pPr>
      <w:r>
        <w:rPr/>
      </w:r>
    </w:p>
    <w:p>
      <w:pPr>
        <w:pStyle w:val="BodyText"/>
        <w:bidi w:val="0"/>
        <w:jc w:val="left"/>
        <w:rPr/>
      </w:pPr>
      <w:r>
        <w:rPr>
          <w:rStyle w:val="Strong"/>
        </w:rPr>
        <w:t>NOW COMES</w:t>
      </w:r>
      <w:r>
        <w:rPr/>
        <w:t xml:space="preserve"> Plaintiff, ANDREW J. PIGORS, in pro per, and respectfully moves this Honorable Court, pursuant to </w:t>
      </w:r>
      <w:r>
        <w:rPr>
          <w:rStyle w:val="Strong"/>
        </w:rPr>
        <w:t>MCL 600.2918</w:t>
      </w:r>
      <w:r>
        <w:rPr/>
        <w:t xml:space="preserve">, </w:t>
      </w:r>
      <w:r>
        <w:rPr>
          <w:rStyle w:val="Strong"/>
        </w:rPr>
        <w:t>MCL 445.903</w:t>
      </w:r>
      <w:r>
        <w:rPr/>
        <w:t xml:space="preserve">, </w:t>
      </w:r>
      <w:r>
        <w:rPr>
          <w:rStyle w:val="Strong"/>
        </w:rPr>
        <w:t>MCL 324.3109</w:t>
      </w:r>
      <w:r>
        <w:rPr/>
        <w:t xml:space="preserve">, </w:t>
      </w:r>
      <w:r>
        <w:rPr>
          <w:rStyle w:val="Strong"/>
        </w:rPr>
        <w:t>MCR 3.310</w:t>
      </w:r>
      <w:r>
        <w:rPr/>
        <w:t xml:space="preserve">, and </w:t>
      </w:r>
      <w:r>
        <w:rPr>
          <w:rStyle w:val="Strong"/>
        </w:rPr>
        <w:t>MCR 1.109(E)(5)</w:t>
      </w:r>
      <w:r>
        <w:rPr/>
        <w:t xml:space="preserve">, for the immediate issuance of a </w:t>
      </w:r>
      <w:r>
        <w:rPr>
          <w:rStyle w:val="Strong"/>
        </w:rPr>
        <w:t>Preliminary and Permanent Injunction</w:t>
      </w:r>
      <w:r>
        <w:rPr/>
        <w:t xml:space="preserve"> and </w:t>
      </w:r>
      <w:r>
        <w:rPr>
          <w:rStyle w:val="Strong"/>
        </w:rPr>
        <w:t>Sanctions</w:t>
      </w:r>
      <w:r>
        <w:rPr/>
        <w:t xml:space="preserve"> against the above-named Defendants based on the following:</w:t>
      </w:r>
    </w:p>
    <w:p>
      <w:pPr>
        <w:pStyle w:val="HorizontalLine"/>
        <w:bidi w:val="0"/>
        <w:jc w:val="left"/>
        <w:rPr/>
      </w:pPr>
      <w:r>
        <w:rPr/>
      </w:r>
    </w:p>
    <w:p>
      <w:pPr>
        <w:pStyle w:val="Heading3"/>
        <w:bidi w:val="0"/>
        <w:jc w:val="left"/>
        <w:rPr/>
      </w:pPr>
      <w:r>
        <w:rPr/>
        <w:t>I. INTRODUCTION</w:t>
      </w:r>
    </w:p>
    <w:p>
      <w:pPr>
        <w:pStyle w:val="BodyText"/>
        <w:bidi w:val="0"/>
        <w:jc w:val="left"/>
        <w:rPr/>
      </w:pPr>
      <w:r>
        <w:rPr/>
        <w:t xml:space="preserve">Plaintiff has been subjected to a multi-phase campaign of housing harassment, legal retaliation, and coercive billing following his successful defense in prior landlord-tenant proceedings, which were </w:t>
      </w:r>
      <w:r>
        <w:rPr>
          <w:rStyle w:val="Strong"/>
        </w:rPr>
        <w:t>dismissed with prejudice</w:t>
      </w:r>
      <w:r>
        <w:rPr/>
        <w:t xml:space="preserve"> or settled through a </w:t>
      </w:r>
      <w:r>
        <w:rPr>
          <w:rStyle w:val="Strong"/>
        </w:rPr>
        <w:t>consent order</w:t>
      </w:r>
      <w:r>
        <w:rPr/>
        <w:t xml:space="preserve"> acknowledging no rent due prior to 12/1/2024. Despite this, Defendants resumed abusive conduct and fabricated charges, including unauthorized water billing and service threats. Defendants’ continued actions constitute constructive eviction, consumer fraud, and procedural abuse of the court system.</w:t>
      </w:r>
    </w:p>
    <w:p>
      <w:pPr>
        <w:pStyle w:val="HorizontalLine"/>
        <w:bidi w:val="0"/>
        <w:jc w:val="left"/>
        <w:rPr/>
      </w:pPr>
      <w:r>
        <w:rPr/>
      </w:r>
    </w:p>
    <w:p>
      <w:pPr>
        <w:pStyle w:val="Heading3"/>
        <w:bidi w:val="0"/>
        <w:jc w:val="left"/>
        <w:rPr/>
      </w:pPr>
      <w:r>
        <w:rPr/>
        <w:t>II. STATEMENT OF FACTS</w:t>
      </w:r>
    </w:p>
    <w:p>
      <w:pPr>
        <w:pStyle w:val="BodyText"/>
        <w:numPr>
          <w:ilvl w:val="0"/>
          <w:numId w:val="1"/>
        </w:numPr>
        <w:tabs>
          <w:tab w:val="clear" w:pos="709"/>
          <w:tab w:val="left" w:pos="709" w:leader="none"/>
        </w:tabs>
        <w:bidi w:val="0"/>
        <w:ind w:hanging="283" w:left="709"/>
        <w:jc w:val="left"/>
        <w:rPr/>
      </w:pPr>
      <w:r>
        <w:rPr/>
        <w:t>Plaintiff resides at 1977 Whitehall Rd., Lot 17, under a lease with Shady Oaks MHP LLC.</w:t>
      </w:r>
    </w:p>
    <w:p>
      <w:pPr>
        <w:pStyle w:val="BodyText"/>
        <w:numPr>
          <w:ilvl w:val="0"/>
          <w:numId w:val="1"/>
        </w:numPr>
        <w:tabs>
          <w:tab w:val="clear" w:pos="709"/>
          <w:tab w:val="left" w:pos="709" w:leader="none"/>
        </w:tabs>
        <w:bidi w:val="0"/>
        <w:ind w:hanging="283" w:left="709"/>
        <w:jc w:val="left"/>
        <w:rPr/>
      </w:pPr>
      <w:r>
        <w:rPr/>
        <w:t>Between 2023–2025, raw sewage regularly surfaced around the lot. EGLE issued violations. (Exhibits A–C)</w:t>
      </w:r>
    </w:p>
    <w:p>
      <w:pPr>
        <w:pStyle w:val="BodyText"/>
        <w:numPr>
          <w:ilvl w:val="0"/>
          <w:numId w:val="1"/>
        </w:numPr>
        <w:tabs>
          <w:tab w:val="clear" w:pos="709"/>
          <w:tab w:val="left" w:pos="709" w:leader="none"/>
        </w:tabs>
        <w:bidi w:val="0"/>
        <w:ind w:hanging="283" w:left="709"/>
        <w:jc w:val="left"/>
        <w:rPr/>
      </w:pPr>
      <w:r>
        <w:rPr/>
        <w:t>Plaintiff submitted repair requests and invoices to management. No permanent solution was provided. (Exhibit C)</w:t>
      </w:r>
    </w:p>
    <w:p>
      <w:pPr>
        <w:pStyle w:val="BodyText"/>
        <w:numPr>
          <w:ilvl w:val="0"/>
          <w:numId w:val="1"/>
        </w:numPr>
        <w:tabs>
          <w:tab w:val="clear" w:pos="709"/>
          <w:tab w:val="left" w:pos="709" w:leader="none"/>
        </w:tabs>
        <w:bidi w:val="0"/>
        <w:ind w:hanging="283" w:left="709"/>
        <w:jc w:val="left"/>
        <w:rPr/>
      </w:pPr>
      <w:r>
        <w:rPr/>
        <w:t xml:space="preserve">Defendants initiated legal actions despite a </w:t>
      </w:r>
      <w:r>
        <w:rPr>
          <w:rStyle w:val="Strong"/>
        </w:rPr>
        <w:t>prior dismissal with prejudice</w:t>
      </w:r>
      <w:r>
        <w:rPr/>
        <w:t xml:space="preserve"> and a </w:t>
      </w:r>
      <w:r>
        <w:rPr>
          <w:rStyle w:val="Strong"/>
        </w:rPr>
        <w:t>Consent Order</w:t>
      </w:r>
      <w:r>
        <w:rPr/>
        <w:t xml:space="preserve"> stating all balances through 12/1/24 were settled. (Exhibits I–J)</w:t>
      </w:r>
    </w:p>
    <w:p>
      <w:pPr>
        <w:pStyle w:val="BodyText"/>
        <w:numPr>
          <w:ilvl w:val="0"/>
          <w:numId w:val="1"/>
        </w:numPr>
        <w:tabs>
          <w:tab w:val="clear" w:pos="709"/>
          <w:tab w:val="left" w:pos="709" w:leader="none"/>
        </w:tabs>
        <w:bidi w:val="0"/>
        <w:ind w:hanging="283" w:left="709"/>
        <w:jc w:val="left"/>
        <w:rPr/>
      </w:pPr>
      <w:r>
        <w:rPr/>
        <w:t xml:space="preserve">Defendants subsequently introduced retroactive water charges without lease amendment or consent, in violation of </w:t>
      </w:r>
      <w:r>
        <w:rPr>
          <w:rStyle w:val="Strong"/>
        </w:rPr>
        <w:t>MCL 554.633(2)</w:t>
      </w:r>
      <w:r>
        <w:rPr/>
        <w:t>. (Exhibit F)</w:t>
      </w:r>
    </w:p>
    <w:p>
      <w:pPr>
        <w:pStyle w:val="BodyText"/>
        <w:numPr>
          <w:ilvl w:val="0"/>
          <w:numId w:val="1"/>
        </w:numPr>
        <w:tabs>
          <w:tab w:val="clear" w:pos="709"/>
          <w:tab w:val="left" w:pos="709" w:leader="none"/>
        </w:tabs>
        <w:bidi w:val="0"/>
        <w:ind w:hanging="283" w:left="709"/>
        <w:jc w:val="left"/>
        <w:rPr/>
      </w:pPr>
      <w:r>
        <w:rPr/>
        <w:t>Plaintiff received threats of eviction and new fabricated charges via coercive emails and notices. (Exhibit H)</w:t>
      </w:r>
    </w:p>
    <w:p>
      <w:pPr>
        <w:pStyle w:val="BodyText"/>
        <w:numPr>
          <w:ilvl w:val="0"/>
          <w:numId w:val="1"/>
        </w:numPr>
        <w:tabs>
          <w:tab w:val="clear" w:pos="709"/>
          <w:tab w:val="left" w:pos="709" w:leader="none"/>
        </w:tabs>
        <w:bidi w:val="0"/>
        <w:ind w:hanging="283" w:left="709"/>
        <w:jc w:val="left"/>
        <w:rPr/>
      </w:pPr>
      <w:r>
        <w:rPr/>
        <w:t>These actions appear calculated to harass, retaliate, and remove Plaintiff via coercion instead of proper legal process.</w:t>
      </w:r>
    </w:p>
    <w:p>
      <w:pPr>
        <w:pStyle w:val="HorizontalLine"/>
        <w:bidi w:val="0"/>
        <w:jc w:val="left"/>
        <w:rPr/>
      </w:pPr>
      <w:r>
        <w:rPr/>
      </w:r>
    </w:p>
    <w:p>
      <w:pPr>
        <w:pStyle w:val="Heading3"/>
        <w:bidi w:val="0"/>
        <w:jc w:val="left"/>
        <w:rPr/>
      </w:pPr>
      <w:r>
        <w:rPr/>
        <w:t>III. LEGAL STANDARD</w:t>
      </w:r>
    </w:p>
    <w:p>
      <w:pPr>
        <w:pStyle w:val="BodyText"/>
        <w:numPr>
          <w:ilvl w:val="0"/>
          <w:numId w:val="2"/>
        </w:numPr>
        <w:tabs>
          <w:tab w:val="clear" w:pos="709"/>
          <w:tab w:val="left" w:pos="709" w:leader="none"/>
        </w:tabs>
        <w:bidi w:val="0"/>
        <w:ind w:hanging="283" w:left="709"/>
        <w:jc w:val="left"/>
        <w:rPr/>
      </w:pPr>
      <w:r>
        <w:rPr>
          <w:rStyle w:val="Strong"/>
        </w:rPr>
        <w:t>MCR 3.310(A)</w:t>
      </w:r>
      <w:r>
        <w:rPr/>
        <w:t xml:space="preserve"> permits the issuance of preliminary and permanent injunctions to prevent irreparable harm and maintain the status quo pending litigation.</w:t>
      </w:r>
    </w:p>
    <w:p>
      <w:pPr>
        <w:pStyle w:val="BodyText"/>
        <w:numPr>
          <w:ilvl w:val="0"/>
          <w:numId w:val="2"/>
        </w:numPr>
        <w:tabs>
          <w:tab w:val="clear" w:pos="709"/>
          <w:tab w:val="left" w:pos="709" w:leader="none"/>
        </w:tabs>
        <w:bidi w:val="0"/>
        <w:ind w:hanging="283" w:left="709"/>
        <w:jc w:val="left"/>
        <w:rPr/>
      </w:pPr>
      <w:r>
        <w:rPr>
          <w:rStyle w:val="Strong"/>
        </w:rPr>
        <w:t>MCL 600.2918(2)(b)</w:t>
      </w:r>
      <w:r>
        <w:rPr/>
        <w:t xml:space="preserve"> prohibits acts constituting constructive eviction or coercive housing displacement.</w:t>
      </w:r>
    </w:p>
    <w:p>
      <w:pPr>
        <w:pStyle w:val="BodyText"/>
        <w:numPr>
          <w:ilvl w:val="0"/>
          <w:numId w:val="2"/>
        </w:numPr>
        <w:tabs>
          <w:tab w:val="clear" w:pos="709"/>
          <w:tab w:val="left" w:pos="709" w:leader="none"/>
        </w:tabs>
        <w:bidi w:val="0"/>
        <w:ind w:hanging="283" w:left="709"/>
        <w:jc w:val="left"/>
        <w:rPr/>
      </w:pPr>
      <w:r>
        <w:rPr>
          <w:rStyle w:val="Strong"/>
        </w:rPr>
        <w:t>MCR 1.109(E)(5)</w:t>
      </w:r>
      <w:r>
        <w:rPr/>
        <w:t xml:space="preserve"> allows for sanctions when a party files pleadings not grounded in law or fact, or for an improper purpose, including harassment.</w:t>
      </w:r>
    </w:p>
    <w:p>
      <w:pPr>
        <w:pStyle w:val="BodyText"/>
        <w:numPr>
          <w:ilvl w:val="0"/>
          <w:numId w:val="2"/>
        </w:numPr>
        <w:tabs>
          <w:tab w:val="clear" w:pos="709"/>
          <w:tab w:val="left" w:pos="709" w:leader="none"/>
        </w:tabs>
        <w:bidi w:val="0"/>
        <w:ind w:hanging="283" w:left="709"/>
        <w:jc w:val="left"/>
        <w:rPr/>
      </w:pPr>
      <w:r>
        <w:rPr>
          <w:rStyle w:val="Strong"/>
        </w:rPr>
        <w:t>MCL 445.903(1)(n), (s)</w:t>
      </w:r>
      <w:r>
        <w:rPr/>
        <w:t xml:space="preserve"> prohibits deceptive business practices and coercive billing schemes.</w:t>
      </w:r>
    </w:p>
    <w:p>
      <w:pPr>
        <w:pStyle w:val="BodyText"/>
        <w:numPr>
          <w:ilvl w:val="0"/>
          <w:numId w:val="2"/>
        </w:numPr>
        <w:tabs>
          <w:tab w:val="clear" w:pos="709"/>
          <w:tab w:val="left" w:pos="709" w:leader="none"/>
        </w:tabs>
        <w:bidi w:val="0"/>
        <w:ind w:hanging="283" w:left="709"/>
        <w:jc w:val="left"/>
        <w:rPr/>
      </w:pPr>
      <w:r>
        <w:rPr>
          <w:rStyle w:val="Strong"/>
        </w:rPr>
        <w:t>MCL 324.3109</w:t>
      </w:r>
      <w:r>
        <w:rPr/>
        <w:t xml:space="preserve"> mandates safe environmental and sanitary conditions.</w:t>
      </w:r>
    </w:p>
    <w:p>
      <w:pPr>
        <w:pStyle w:val="HorizontalLine"/>
        <w:bidi w:val="0"/>
        <w:jc w:val="left"/>
        <w:rPr/>
      </w:pPr>
      <w:r>
        <w:rPr/>
      </w:r>
    </w:p>
    <w:p>
      <w:pPr>
        <w:pStyle w:val="Heading3"/>
        <w:bidi w:val="0"/>
        <w:jc w:val="left"/>
        <w:rPr/>
      </w:pPr>
      <w:r>
        <w:rPr/>
        <w:t>IV. ARGUMENT</w:t>
      </w:r>
    </w:p>
    <w:p>
      <w:pPr>
        <w:pStyle w:val="Heading4"/>
        <w:bidi w:val="0"/>
        <w:jc w:val="left"/>
        <w:rPr/>
      </w:pPr>
      <w:r>
        <w:rPr/>
        <w:t>A. INJUNCTION IS NECESSARY TO PREVENT FURTHER HARM</w:t>
      </w:r>
    </w:p>
    <w:p>
      <w:pPr>
        <w:pStyle w:val="BodyText"/>
        <w:bidi w:val="0"/>
        <w:jc w:val="left"/>
        <w:rPr/>
      </w:pPr>
      <w:r>
        <w:rPr/>
        <w:t xml:space="preserve">Plaintiff faces continued coercion, unlawful charges, and unsafe housing conditions. The Court has authority under </w:t>
      </w:r>
      <w:r>
        <w:rPr>
          <w:rStyle w:val="Strong"/>
        </w:rPr>
        <w:t>MCR 3.310</w:t>
      </w:r>
      <w:r>
        <w:rPr/>
        <w:t xml:space="preserve"> and </w:t>
      </w:r>
      <w:r>
        <w:rPr>
          <w:rStyle w:val="Strong"/>
        </w:rPr>
        <w:t>MCL 600.2918</w:t>
      </w:r>
      <w:r>
        <w:rPr/>
        <w:t xml:space="preserve"> to enjoin Defendants from further illegal activity. Public health risks and economic threats justify injunctive relief.</w:t>
      </w:r>
    </w:p>
    <w:p>
      <w:pPr>
        <w:pStyle w:val="Heading4"/>
        <w:bidi w:val="0"/>
        <w:jc w:val="left"/>
        <w:rPr/>
      </w:pPr>
      <w:r>
        <w:rPr/>
        <w:t>B. DEFENDANTS’ ACTIONS MERIT SANCTIONS</w:t>
      </w:r>
    </w:p>
    <w:p>
      <w:pPr>
        <w:pStyle w:val="BodyText"/>
        <w:bidi w:val="0"/>
        <w:jc w:val="left"/>
        <w:rPr/>
      </w:pPr>
      <w:r>
        <w:rPr/>
        <w:t xml:space="preserve">Knowingly reviving legal proceedings post-dismissal, and misrepresenting charges already ruled settled, is a textbook </w:t>
      </w:r>
      <w:r>
        <w:rPr>
          <w:rStyle w:val="Strong"/>
        </w:rPr>
        <w:t>abuse of process</w:t>
      </w:r>
      <w:r>
        <w:rPr/>
        <w:t xml:space="preserve"> and warrants sanctions under </w:t>
      </w:r>
      <w:r>
        <w:rPr>
          <w:rStyle w:val="Strong"/>
        </w:rPr>
        <w:t>MCR 1.109(E)(5)</w:t>
      </w:r>
      <w:r>
        <w:rPr/>
        <w:t xml:space="preserve"> and </w:t>
      </w:r>
      <w:r>
        <w:rPr>
          <w:rStyle w:val="Strong"/>
        </w:rPr>
        <w:t>MCL 600.1701(a)</w:t>
      </w:r>
      <w:r>
        <w:rPr/>
        <w:t>.</w:t>
      </w:r>
    </w:p>
    <w:p>
      <w:pPr>
        <w:pStyle w:val="Heading4"/>
        <w:bidi w:val="0"/>
        <w:jc w:val="left"/>
        <w:rPr/>
      </w:pPr>
      <w:r>
        <w:rPr/>
        <w:t>C. THE COURT SHOULD DECLARE THE CONDUCT RETALIATORY AND UNLAWFUL</w:t>
      </w:r>
    </w:p>
    <w:p>
      <w:pPr>
        <w:pStyle w:val="BodyText"/>
        <w:bidi w:val="0"/>
        <w:jc w:val="left"/>
        <w:rPr/>
      </w:pPr>
      <w:r>
        <w:rPr/>
        <w:t xml:space="preserve">Under </w:t>
      </w:r>
      <w:r>
        <w:rPr>
          <w:rStyle w:val="Strong"/>
        </w:rPr>
        <w:t>MCL 554.139</w:t>
      </w:r>
      <w:r>
        <w:rPr/>
        <w:t xml:space="preserve"> and </w:t>
      </w:r>
      <w:r>
        <w:rPr>
          <w:rStyle w:val="Strong"/>
        </w:rPr>
        <w:t>MCL 445.903</w:t>
      </w:r>
      <w:r>
        <w:rPr/>
        <w:t>, the introduction of unapproved billing practices and threats constitutes fraud and retaliation. A declaratory order will prevent recurrence and clarify rights moving forward.</w:t>
      </w:r>
    </w:p>
    <w:p>
      <w:pPr>
        <w:pStyle w:val="HorizontalLine"/>
        <w:bidi w:val="0"/>
        <w:jc w:val="left"/>
        <w:rPr/>
      </w:pPr>
      <w:r>
        <w:rPr/>
      </w:r>
    </w:p>
    <w:p>
      <w:pPr>
        <w:pStyle w:val="Heading3"/>
        <w:bidi w:val="0"/>
        <w:jc w:val="left"/>
        <w:rPr/>
      </w:pPr>
      <w:r>
        <w:rPr/>
        <w:t>V. RELIEF REQUESTED</w:t>
      </w:r>
    </w:p>
    <w:p>
      <w:pPr>
        <w:pStyle w:val="BodyText"/>
        <w:bidi w:val="0"/>
        <w:jc w:val="left"/>
        <w:rPr/>
      </w:pPr>
      <w:r>
        <w:rPr/>
        <w:t>Plaintiff respectfully requests this Honorable Court:</w:t>
      </w:r>
    </w:p>
    <w:p>
      <w:pPr>
        <w:pStyle w:val="BodyText"/>
        <w:numPr>
          <w:ilvl w:val="0"/>
          <w:numId w:val="3"/>
        </w:numPr>
        <w:tabs>
          <w:tab w:val="clear" w:pos="709"/>
          <w:tab w:val="left" w:pos="709" w:leader="none"/>
        </w:tabs>
        <w:bidi w:val="0"/>
        <w:ind w:hanging="283" w:left="709"/>
        <w:jc w:val="left"/>
        <w:rPr/>
      </w:pPr>
      <w:r>
        <w:rPr>
          <w:rStyle w:val="Strong"/>
        </w:rPr>
        <w:t>To issue a Preliminary and Permanent Injunction</w:t>
      </w:r>
      <w:r>
        <w:rPr/>
        <w:t xml:space="preserve"> against Defendants, prohibiting:</w:t>
      </w:r>
    </w:p>
    <w:p>
      <w:pPr>
        <w:pStyle w:val="BodyText"/>
        <w:numPr>
          <w:ilvl w:val="1"/>
          <w:numId w:val="3"/>
        </w:numPr>
        <w:tabs>
          <w:tab w:val="clear" w:pos="709"/>
          <w:tab w:val="left" w:pos="1418" w:leader="none"/>
        </w:tabs>
        <w:bidi w:val="0"/>
        <w:ind w:hanging="283" w:left="1418"/>
        <w:jc w:val="left"/>
        <w:rPr/>
      </w:pPr>
      <w:r>
        <w:rPr/>
        <w:t>Any further rent or utility billing inconsistent with the Lease or Consent Orders;</w:t>
      </w:r>
    </w:p>
    <w:p>
      <w:pPr>
        <w:pStyle w:val="BodyText"/>
        <w:numPr>
          <w:ilvl w:val="1"/>
          <w:numId w:val="3"/>
        </w:numPr>
        <w:tabs>
          <w:tab w:val="clear" w:pos="709"/>
          <w:tab w:val="left" w:pos="1418" w:leader="none"/>
        </w:tabs>
        <w:bidi w:val="0"/>
        <w:ind w:hanging="283" w:left="1418"/>
        <w:jc w:val="left"/>
        <w:rPr/>
      </w:pPr>
      <w:r>
        <w:rPr/>
        <w:t>Any retaliatory landlord-tenant litigation or threats of eviction;</w:t>
      </w:r>
    </w:p>
    <w:p>
      <w:pPr>
        <w:pStyle w:val="BodyText"/>
        <w:numPr>
          <w:ilvl w:val="1"/>
          <w:numId w:val="3"/>
        </w:numPr>
        <w:tabs>
          <w:tab w:val="clear" w:pos="709"/>
          <w:tab w:val="left" w:pos="1418" w:leader="none"/>
        </w:tabs>
        <w:bidi w:val="0"/>
        <w:ind w:hanging="283" w:left="1418"/>
        <w:jc w:val="left"/>
        <w:rPr/>
      </w:pPr>
      <w:r>
        <w:rPr/>
        <w:t>Continued neglect of raw sewage remediation.</w:t>
      </w:r>
    </w:p>
    <w:p>
      <w:pPr>
        <w:pStyle w:val="BodyText"/>
        <w:numPr>
          <w:ilvl w:val="0"/>
          <w:numId w:val="3"/>
        </w:numPr>
        <w:tabs>
          <w:tab w:val="clear" w:pos="709"/>
          <w:tab w:val="left" w:pos="709" w:leader="none"/>
        </w:tabs>
        <w:bidi w:val="0"/>
        <w:ind w:hanging="283" w:left="709"/>
        <w:jc w:val="left"/>
        <w:rPr/>
      </w:pPr>
      <w:r>
        <w:rPr>
          <w:rStyle w:val="Strong"/>
        </w:rPr>
        <w:t>To sanction Defendants</w:t>
      </w:r>
      <w:r>
        <w:rPr/>
        <w:t xml:space="preserve"> under </w:t>
      </w:r>
      <w:r>
        <w:rPr>
          <w:rStyle w:val="Strong"/>
        </w:rPr>
        <w:t>MCR 1.109(E)(5)</w:t>
      </w:r>
      <w:r>
        <w:rPr/>
        <w:t xml:space="preserve"> and </w:t>
      </w:r>
      <w:r>
        <w:rPr>
          <w:rStyle w:val="Strong"/>
        </w:rPr>
        <w:t>MCL 600.1701(a)</w:t>
      </w:r>
      <w:r>
        <w:rPr/>
        <w:t xml:space="preserve"> for procedural abuse, coercion, and bad-faith litigation.</w:t>
      </w:r>
    </w:p>
    <w:p>
      <w:pPr>
        <w:pStyle w:val="BodyText"/>
        <w:numPr>
          <w:ilvl w:val="0"/>
          <w:numId w:val="3"/>
        </w:numPr>
        <w:tabs>
          <w:tab w:val="clear" w:pos="709"/>
          <w:tab w:val="left" w:pos="709" w:leader="none"/>
        </w:tabs>
        <w:bidi w:val="0"/>
        <w:ind w:hanging="283" w:left="709"/>
        <w:jc w:val="left"/>
        <w:rPr/>
      </w:pPr>
      <w:r>
        <w:rPr>
          <w:rStyle w:val="Strong"/>
        </w:rPr>
        <w:t>To issue a Declaratory Judgment</w:t>
      </w:r>
      <w:r>
        <w:rPr/>
        <w:t xml:space="preserve"> affirming:</w:t>
      </w:r>
    </w:p>
    <w:p>
      <w:pPr>
        <w:pStyle w:val="BodyText"/>
        <w:numPr>
          <w:ilvl w:val="1"/>
          <w:numId w:val="3"/>
        </w:numPr>
        <w:tabs>
          <w:tab w:val="clear" w:pos="709"/>
          <w:tab w:val="left" w:pos="1418" w:leader="none"/>
        </w:tabs>
        <w:bidi w:val="0"/>
        <w:ind w:hanging="283" w:left="1418"/>
        <w:jc w:val="left"/>
        <w:rPr/>
      </w:pPr>
      <w:r>
        <w:rPr/>
        <w:t>The invalidity of any retroactive utility billing scheme absent lease modification;</w:t>
      </w:r>
    </w:p>
    <w:p>
      <w:pPr>
        <w:pStyle w:val="BodyText"/>
        <w:numPr>
          <w:ilvl w:val="1"/>
          <w:numId w:val="3"/>
        </w:numPr>
        <w:tabs>
          <w:tab w:val="clear" w:pos="709"/>
          <w:tab w:val="left" w:pos="1418" w:leader="none"/>
        </w:tabs>
        <w:bidi w:val="0"/>
        <w:ind w:hanging="283" w:left="1418"/>
        <w:jc w:val="left"/>
        <w:rPr/>
      </w:pPr>
      <w:r>
        <w:rPr/>
        <w:t>Plaintiff’s legal status and rights as unaffected by dismissed LT actions.</w:t>
      </w:r>
    </w:p>
    <w:p>
      <w:pPr>
        <w:pStyle w:val="BodyText"/>
        <w:numPr>
          <w:ilvl w:val="0"/>
          <w:numId w:val="3"/>
        </w:numPr>
        <w:tabs>
          <w:tab w:val="clear" w:pos="709"/>
          <w:tab w:val="left" w:pos="709" w:leader="none"/>
        </w:tabs>
        <w:bidi w:val="0"/>
        <w:ind w:hanging="283" w:left="709"/>
        <w:jc w:val="left"/>
        <w:rPr/>
      </w:pPr>
      <w:r>
        <w:rPr>
          <w:rStyle w:val="Strong"/>
        </w:rPr>
        <w:t>To award attorney fees and costs</w:t>
      </w:r>
      <w:r>
        <w:rPr/>
        <w:t xml:space="preserve"> pursuant to </w:t>
      </w:r>
      <w:r>
        <w:rPr>
          <w:rStyle w:val="Strong"/>
        </w:rPr>
        <w:t>MCL 445.911</w:t>
      </w:r>
      <w:r>
        <w:rPr/>
        <w:t xml:space="preserve"> and </w:t>
      </w:r>
      <w:r>
        <w:rPr>
          <w:rStyle w:val="Strong"/>
        </w:rPr>
        <w:t>MCL 600.2918(2)</w:t>
      </w:r>
      <w:r>
        <w:rPr/>
        <w:t>.</w:t>
      </w:r>
    </w:p>
    <w:p>
      <w:pPr>
        <w:pStyle w:val="BodyText"/>
        <w:numPr>
          <w:ilvl w:val="0"/>
          <w:numId w:val="3"/>
        </w:numPr>
        <w:tabs>
          <w:tab w:val="clear" w:pos="709"/>
          <w:tab w:val="left" w:pos="709" w:leader="none"/>
        </w:tabs>
        <w:bidi w:val="0"/>
        <w:ind w:hanging="283" w:left="709"/>
        <w:jc w:val="left"/>
        <w:rPr/>
      </w:pPr>
      <w:r>
        <w:rPr>
          <w:rStyle w:val="Strong"/>
        </w:rPr>
        <w:t>To grant such further relief</w:t>
      </w:r>
      <w:r>
        <w:rPr/>
        <w:t xml:space="preserve"> as this Court deems just and proper.</w:t>
      </w:r>
    </w:p>
    <w:p>
      <w:pPr>
        <w:pStyle w:val="HorizontalLine"/>
        <w:bidi w:val="0"/>
        <w:jc w:val="left"/>
        <w:rPr/>
      </w:pPr>
      <w:r>
        <w:rPr/>
      </w:r>
    </w:p>
    <w:p>
      <w:pPr>
        <w:pStyle w:val="Heading3"/>
        <w:bidi w:val="0"/>
        <w:jc w:val="left"/>
        <w:rPr/>
      </w:pPr>
      <w:r>
        <w:rPr/>
        <w:t>VERIFICATION</w:t>
      </w:r>
    </w:p>
    <w:p>
      <w:pPr>
        <w:pStyle w:val="BodyText"/>
        <w:bidi w:val="0"/>
        <w:jc w:val="left"/>
        <w:rPr/>
      </w:pPr>
      <w:r>
        <w:rPr/>
        <w:t>I, Andrew J. Pigors, declare under penalty of perjury that the statements set forth in this Motion are true and correct to the best of my knowledge, information, and belief.</w:t>
      </w:r>
    </w:p>
    <w:p>
      <w:pPr>
        <w:pStyle w:val="BodyText"/>
        <w:bidi w:val="0"/>
        <w:jc w:val="left"/>
        <w:rPr/>
      </w:pPr>
      <w:r>
        <w:rPr/>
        <w:t>Date: _________________</w:t>
        <w:br/>
        <w:t>Respectfully submitted,</w:t>
      </w:r>
    </w:p>
    <w:p>
      <w:pPr>
        <w:pStyle w:val="BodyText"/>
        <w:bidi w:val="0"/>
        <w:jc w:val="left"/>
        <w:rPr/>
      </w:pPr>
      <w:r>
        <w:rPr/>
        <w:t xml:space="preserve">/s/ </w:t>
      </w:r>
      <w:r>
        <w:rPr>
          <w:rStyle w:val="Strong"/>
        </w:rPr>
        <w:t>Andrew J. Pigors</w:t>
      </w:r>
      <w:r>
        <w:rPr/>
        <w:br/>
        <w:t>Andrew J. Pigors</w:t>
        <w:br/>
        <w:t>Pro Se Litigant</w:t>
        <w:br/>
        <w:t>1977 Whitehall Road, Lot 17</w:t>
        <w:br/>
        <w:t>Muskegon, MI 49445</w:t>
        <w:br/>
        <w:t>(231) 903-5690</w:t>
      </w:r>
    </w:p>
    <w:p>
      <w:pPr>
        <w:pStyle w:val="HorizontalLine"/>
        <w:bidi w:val="0"/>
        <w:jc w:val="left"/>
        <w:rPr/>
      </w:pPr>
      <w:r>
        <w:rPr/>
      </w:r>
    </w:p>
    <w:p>
      <w:pPr>
        <w:pStyle w:val="Heading3"/>
        <w:bidi w:val="0"/>
        <w:jc w:val="left"/>
        <w:rPr/>
      </w:pPr>
      <w:r>
        <w:rPr/>
        <w:t>CERTIFICATE OF SERVICE</w:t>
      </w:r>
    </w:p>
    <w:p>
      <w:pPr>
        <w:pStyle w:val="BodyText"/>
        <w:bidi w:val="0"/>
        <w:jc w:val="left"/>
        <w:rPr/>
      </w:pPr>
      <w:r>
        <w:rPr/>
        <w:t xml:space="preserve">I hereby certify that on the date below, I served a true and correct copy of this Motion and all supporting exhibits upon the Defendants at their known addresses via First-Class Mail in accordance with </w:t>
      </w:r>
      <w:r>
        <w:rPr>
          <w:rStyle w:val="Strong"/>
        </w:rPr>
        <w:t>MCR 2.107(C)</w:t>
      </w:r>
      <w:r>
        <w:rPr/>
        <w:t>.</w:t>
      </w:r>
    </w:p>
    <w:p>
      <w:pPr>
        <w:pStyle w:val="BodyText"/>
        <w:bidi w:val="0"/>
        <w:jc w:val="left"/>
        <w:rPr/>
      </w:pPr>
      <w:r>
        <w:rPr/>
        <w:t>Date: _________________</w:t>
        <w:br/>
        <w:t xml:space="preserve">/s/ </w:t>
      </w:r>
      <w:r>
        <w:rPr>
          <w:rStyle w:val="Strong"/>
        </w:rPr>
        <w:t>Andrew J. Pigors</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LibreOffice/25.2.2.2$Windows_X86_64 LibreOffice_project/7370d4be9e3cf6031a51beef54ff3bda878e3fac</Application>
  <AppVersion>15.0000</AppVersion>
  <Pages>4</Pages>
  <Words>758</Words>
  <Characters>4483</Characters>
  <CharactersWithSpaces>5166</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2025-05-06T09:10:43Z</dcterms:created>
  <dc:creator/>
  <dc:description/>
  <dc:language>en-US</dc:language>
  <cp:lastModifiedBy/>
  <dcterms:modified xsi:type="dcterms:W3CDTF">2025-05-06T09:11:36Z</dcterms:modified>
  <cp:revision>1</cp:revision>
  <dc:subject/>
  <dc:title/>
</cp:coreProperties>
</file>