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 PARTE MOTION IN LIMINE TO EXCLUDE EVIDENCE FROM NON-PARTY ENTITIES</w:t>
      </w:r>
    </w:p>
    <w:p>
      <w:r>
        <w:t>NOW COMES Andrew J. Pigors, Plaintiff/Defendant in the above-captioned matter, and respectfully moves this Honorable Court for an Order in Limine excluding all evidence, testimony, pleadings, and argument submitted or relied upon by entities lacking legal standing in this matter, and states as follows:</w:t>
        <w:br/>
        <w:br/>
        <w:t>1. The judgment entered in this matter (Case No. 2024-24058913LT-LT) lists “Shady Oaks Park MHP LLC” as the Plaintiff entity.</w:t>
        <w:br/>
        <w:br/>
        <w:t>2. As shown by Exhibit E1 (LARA filings), there is no record of an active or authorized Michigan entity under that name possessing a legal interest in the subject premises.</w:t>
        <w:br/>
        <w:br/>
        <w:t>3. Title to the manufactured home was issued to Defendant from Joe Matyk, with no intervening interest held or conveyed to “Shady Oaks Park MHP LLC” or any affiliate.</w:t>
        <w:br/>
        <w:br/>
        <w:t>4. Lease and payment records variously reference “Shady Oaks MHP LLC” and “Homes of America,” but never identify “Shady Oaks Park MHP LLC” as a contractual party.</w:t>
        <w:br/>
        <w:br/>
        <w:t>5. MCR 2.201(B) requires that every action be prosecuted in the name of the real party in interest.</w:t>
        <w:br/>
        <w:br/>
        <w:t>6. MCL 600.5745(1)(c) further requires the Plaintiff in a summary proceeding to demonstrate a possessory interest or ownership under a valid lease or legal right.</w:t>
        <w:br/>
        <w:br/>
        <w:t>7. The use of an incorrect, dissolved, or fictitious entity name constitutes extrinsic fraud and impairs this Court’s ability to fairly evaluate standing, jurisdiction, or remedy.</w:t>
        <w:br/>
        <w:br/>
        <w:t>8. Pursuant to MRE 402 and MRE 403, this Court is authorized to exclude any evidence that is irrelevant or whose probative value is substantially outweighed by the danger of confusion, unfair prejudice, or misleading the Court.</w:t>
        <w:br/>
        <w:br/>
        <w:t>WHEREFORE, Defendant respectfully requests that this Court issue an Order in Limine excluding any and all evidence, pleadings, or references submitted by or in the name of:</w:t>
        <w:br/>
        <w:t xml:space="preserve">   a. “Shady Oaks Park MHP LLC”</w:t>
        <w:br/>
        <w:t xml:space="preserve">   b. Any unregistered or non-contractual entities</w:t>
        <w:br/>
        <w:t xml:space="preserve">   c. Any documents unsupported by valid corporate documentation or title</w:t>
        <w:br/>
        <w:br/>
        <w:t>and grant such other relief as justice requires.</w:t>
        <w:br/>
        <w:br/>
        <w:t>Respectfully submitted,</w:t>
        <w:br/>
        <w:br/>
        <w:t xml:space="preserve">Andrew J. Pigors  </w:t>
        <w:br/>
        <w:t xml:space="preserve">[Signature Line]  </w:t>
        <w:b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