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IN LIMINE FOR JUDICIAL NOTICE OF EGLE AND LARA DOCUMENTS</w:t>
      </w:r>
    </w:p>
    <w:p>
      <w:r>
        <w:t>NOW COMES Plaintiff, ANDREW J. PIGORS, in pro per, and respectfully moves this Honorable Court pursuant to Michigan Rules of Evidence (MRE) 201(b) and (c) to take judicial notice of environmental violations and licensing facts related to Defendants’ management and operation of Shady Oaks Mobile Home Park. The documents include official findings, regulatory notices, and published enforcement actions from the Michigan Department of Environment, Great Lakes, and Energy (EGLE) and the Department of Licensing and Regulatory Affairs (LARA).</w:t>
      </w:r>
    </w:p>
    <w:p>
      <w:r>
        <w:t>1. These facts are capable of accurate and ready determination by sources whose accuracy cannot reasonably be questioned, pursuant to MRE 201(b).</w:t>
      </w:r>
    </w:p>
    <w:p>
      <w:r>
        <w:t>2. Judicial notice is appropriate to establish background context and public safety concerns as part of Plaintiff’s pending request for injunctive relief.</w:t>
      </w:r>
    </w:p>
    <w:p>
      <w:r>
        <w:t>3. This Motion is made in accordance with the direction issued by the Court via letter dated June 18, 2025, requiring the filing of a Motion in Limine before consideration of the proposed order granting judicial notice.</w:t>
      </w:r>
    </w:p>
    <w:p>
      <w:r>
        <w:t>WHEREFORE, Plaintiff respectfully requests that this Court GRANT this Motion in Limine and enter the Proposed Order taking judicial notice of the attached EGLE and LARA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