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SET HEARING FOR PRELIMINARY INJUNCTION</w:t>
      </w:r>
    </w:p>
    <w:p>
      <w:r>
        <w:t>NOW COMES Plaintiff, ANDREW J. PIGORS, in pro per, and respectfully requests that this Honorable Court schedule an evidentiary hearing pursuant to MCR 3.310(A)(2) to determine whether a Preliminary Injunction should issue in this matter. This request follows the Court’s denial of Plaintiff’s Ex Parte Temporary Restraining Order and is submitted in compliance with the notice and hearing requirements for injunctive relief.</w:t>
      </w:r>
    </w:p>
    <w:p>
      <w:r>
        <w:t>1. The Verified Complaint alleges facts that, if proven, demonstrate ongoing irreparable harm, violations of habitability and utility laws, and potential civil rights violations under federal and state law.</w:t>
      </w:r>
    </w:p>
    <w:p>
      <w:r>
        <w:t>2. An evidentiary hearing is required by MCR 3.310(A)(2) unless the Court finds that no factual dispute exists or that injunctive relief is legally unavailable.</w:t>
      </w:r>
    </w:p>
    <w:p>
      <w:r>
        <w:t>3. This Motion is further supported by the Court’s directive in correspondence dated June 18, 2025, advising Plaintiff to formally request a hearing for this relief.</w:t>
      </w:r>
    </w:p>
    <w:p>
      <w:r>
        <w:t>WHEREFORE, Plaintiff respectfully requests that this Court schedule a Preliminary Injunction hearing at the earliest opportunity and allow presentation of testimonial and documentary evidence in support of the requested relief.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