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 PARTE MOTION TO VACATE EVICTION JUDGMENT FOR EXTRINSIC FRAUD, LACK OF STANDING, AND NON-REAL PARTY IN INTEREST</w:t>
      </w:r>
    </w:p>
    <w:p>
      <w:r>
        <w:t>NOW COMES Plaintiff Andrew J. Pigors, in pro per, and pursuant to MCR 2.119, MCR 2.612(C)(1)(c), and MCR 2.612(C)(3), respectfully moves this Court to vacate the eviction judgment entered in favor of “Shady Oaks Park MHP LLC,” on the following grounds:</w:t>
        <w:br/>
        <w:br/>
        <w:t>1. This motion is brought ex parte due to ongoing irreparable harm, housing disruption, and lack of legal authority by the named plaintiff, which lacks standing and legal title as required by MCR 2.201(B) and MCL 600.5745(1)(c).</w:t>
        <w:br/>
        <w:br/>
        <w:t>2. The filed eviction action was brought by an entity—SHADY OAKS PARK MHP LLC—that neither held title to the subject premises nor was a party to any executed lease agreement with the Defendant.</w:t>
        <w:br/>
        <w:br/>
        <w:t>3. Plaintiff's manufactured home title is lawfully issued directly from Joe Matyk to Plaintiff. There is no valid transfer or recorded lease involving SHADY OAKS PARK MHP LLC or its agents.</w:t>
        <w:br/>
        <w:br/>
        <w:t>4. The lease in effect is signed only by “Kim” with no legal entity named therein. The emails and billing correspondences reference “Shady Oaks MHP LLC” and “Homes of America,” further evidencing that the filing entity—Shady Oaks Park MHP LLC—is not the real party in interest.</w:t>
        <w:br/>
        <w:br/>
        <w:t>5. Under MCR 2.201(B), every action must be prosecuted in the name of the real party in interest. The eviction complaint fails this rule.</w:t>
        <w:br/>
        <w:br/>
        <w:t>6. MCL 600.5745(1)(c) requires that an entity possess legal title at the time of eviction filing. Plaintiff attaches as Exhibit A–C documentation proving this was not the case.</w:t>
        <w:br/>
        <w:br/>
        <w:t>7. These defects constitute extrinsic fraud upon the court, violating the procedural rights of the Defendant, obstructing proper notice and jurisdiction, and rendering the judgment voidable under MCR 2.612(C)(1)(c).</w:t>
        <w:br/>
        <w:br/>
        <w:t>8. A related civil action is currently pending in Muskegon County Circuit Court (Case No. 2025-0000002760-CZ) in which this issue will be addressed more comprehensively via amendment.</w:t>
        <w:br/>
        <w:br/>
        <w:t>WHEREFORE, Plaintiff respectfully requests this Honorable Court:</w:t>
        <w:br/>
        <w:t xml:space="preserve">   (a) VACATE the judgment entered against him;</w:t>
        <w:br/>
        <w:t xml:space="preserve">   (b) STRIKE the writ of eviction and any enforcement actions pending;</w:t>
        <w:br/>
        <w:t xml:space="preserve">   (c) ENTER the Proposed Order attached hereto;</w:t>
        <w:br/>
        <w:t xml:space="preserve">   (d) Schedule further hearing only if required under MCR 2.119(E);</w:t>
        <w:br/>
        <w:t xml:space="preserve">   (e) Incorporate attached Exhibits A–E in full.</w:t>
        <w:br/>
        <w:br/>
        <w:t>Respectfully submitted,</w:t>
        <w:br/>
        <w:br/>
        <w:t xml:space="preserve">Andrew J. Pigors  </w:t>
        <w:br/>
        <w:t xml:space="preserve">[Address Redacted]  </w:t>
        <w:br/>
        <w:t xml:space="preserve">[Phone Redacted]  </w:t>
        <w:br/>
        <w:t>In Pro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