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jc w:val="left"/>
        <w:rPr>
          <w:rFonts w:ascii="Times New Roman" w:hAnsi="Times New Roman"/>
          <w:b w:val="false"/>
          <w:bCs w:val="false"/>
        </w:rPr>
      </w:pPr>
      <w:r>
        <w:rPr>
          <w:rStyle w:val="Strong"/>
          <w:rFonts w:ascii="Times New Roman" w:hAnsi="Times New Roman"/>
          <w:b w:val="false"/>
          <w:bCs w:val="false"/>
        </w:rPr>
        <w:t>STATE OF MICHIGAN</w:t>
        <w:br/>
        <w:t>IN THE 60TH DISTRICT COURT FOR THE COUNTY OF MUSKEGON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Case No. 2025-25061626-LT</w:t>
      </w:r>
      <w:r>
        <w:rPr>
          <w:rFonts w:ascii="Times New Roman" w:hAnsi="Times New Roman"/>
          <w:b w:val="false"/>
          <w:bCs w:val="false"/>
        </w:rPr>
        <w:br/>
      </w:r>
      <w:r>
        <w:rPr>
          <w:rStyle w:val="Strong"/>
          <w:rFonts w:ascii="Times New Roman" w:hAnsi="Times New Roman"/>
          <w:b w:val="false"/>
          <w:bCs w:val="false"/>
        </w:rPr>
        <w:t>Hon. Maria Ladas Hoopes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SHADY OAKS PARK MHP, LLC,</w:t>
      </w:r>
      <w:r>
        <w:rPr>
          <w:rFonts w:ascii="Times New Roman" w:hAnsi="Times New Roman"/>
          <w:b w:val="false"/>
          <w:bCs w:val="false"/>
        </w:rPr>
        <w:br/>
        <w:t>Plaintiff,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-vs-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ANDREW J. PIGORS,</w:t>
      </w:r>
      <w:r>
        <w:rPr>
          <w:rFonts w:ascii="Times New Roman" w:hAnsi="Times New Roman"/>
          <w:b w:val="false"/>
          <w:bCs w:val="false"/>
        </w:rPr>
        <w:br/>
        <w:t>Defendant.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_________________________________________/</w:t>
      </w:r>
    </w:p>
    <w:p>
      <w:pPr>
        <w:pStyle w:val="Heading2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PROPOSED ORDER DENYING REINSTATEMENT, STRIKING EVIDENCE, BARRING ENTRY OF JUDGMENT, AND DISMISSING CASE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At a session of said Court held in the City of Muskegon, County of Muskegon, State of Michigan, on this ___ day of _______________, 2025: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PRESENT</w:t>
      </w:r>
      <w:r>
        <w:rPr>
          <w:rFonts w:ascii="Times New Roman" w:hAnsi="Times New Roman"/>
          <w:b w:val="false"/>
          <w:bCs w:val="false"/>
        </w:rPr>
        <w:t>: Honorable Maria Ladas Hoopes, District Court Judge</w:t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The Court having reviewed Defendant’s </w:t>
      </w:r>
      <w:r>
        <w:rPr>
          <w:rStyle w:val="Emphasis"/>
          <w:rFonts w:ascii="Times New Roman" w:hAnsi="Times New Roman"/>
          <w:b w:val="false"/>
          <w:bCs w:val="false"/>
        </w:rPr>
        <w:t>Emergency Verified Motion to Deny Reinstatement, Strike Unlawful Evidence, Bar Entry of Judgment, and Award Damages</w:t>
      </w:r>
      <w:r>
        <w:rPr>
          <w:rFonts w:ascii="Times New Roman" w:hAnsi="Times New Roman"/>
          <w:b w:val="false"/>
          <w:bCs w:val="false"/>
        </w:rPr>
        <w:t xml:space="preserve">, including all attached Exhibits and the Unsworn Declaration filed pursuant to </w:t>
      </w:r>
      <w:r>
        <w:rPr>
          <w:rStyle w:val="Strong"/>
          <w:rFonts w:ascii="Times New Roman" w:hAnsi="Times New Roman"/>
          <w:b w:val="false"/>
          <w:bCs w:val="false"/>
        </w:rPr>
        <w:t>MCR 1.109(D)(3)</w:t>
      </w:r>
      <w:r>
        <w:rPr>
          <w:rFonts w:ascii="Times New Roman" w:hAnsi="Times New Roman"/>
          <w:b w:val="false"/>
          <w:bCs w:val="false"/>
        </w:rPr>
        <w:t>, and the Court being otherwise fully advised in the premises, finds as follows: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This matter was </w:t>
      </w:r>
      <w:r>
        <w:rPr>
          <w:rStyle w:val="Strong"/>
          <w:rFonts w:ascii="Times New Roman" w:hAnsi="Times New Roman"/>
          <w:b w:val="false"/>
          <w:bCs w:val="false"/>
        </w:rPr>
        <w:t>conditionally dismissed on April 16, 2025</w:t>
      </w:r>
      <w:r>
        <w:rPr>
          <w:rFonts w:ascii="Times New Roman" w:hAnsi="Times New Roman"/>
          <w:b w:val="false"/>
          <w:bCs w:val="false"/>
        </w:rPr>
        <w:t xml:space="preserve">, in accordance with </w:t>
      </w:r>
      <w:r>
        <w:rPr>
          <w:rStyle w:val="Strong"/>
          <w:rFonts w:ascii="Times New Roman" w:hAnsi="Times New Roman"/>
          <w:b w:val="false"/>
          <w:bCs w:val="false"/>
        </w:rPr>
        <w:t>MCR 2.602(C)(2)(d)</w:t>
      </w:r>
      <w:r>
        <w:rPr>
          <w:rFonts w:ascii="Times New Roman" w:hAnsi="Times New Roman"/>
          <w:b w:val="false"/>
          <w:bCs w:val="false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Plaintiff </w:t>
      </w:r>
      <w:r>
        <w:rPr>
          <w:rStyle w:val="Strong"/>
          <w:rFonts w:ascii="Times New Roman" w:hAnsi="Times New Roman"/>
          <w:b w:val="false"/>
          <w:bCs w:val="false"/>
        </w:rPr>
        <w:t>failed to reinstate the matter</w:t>
      </w:r>
      <w:r>
        <w:rPr>
          <w:rFonts w:ascii="Times New Roman" w:hAnsi="Times New Roman"/>
          <w:b w:val="false"/>
          <w:bCs w:val="false"/>
        </w:rPr>
        <w:t xml:space="preserve"> within twenty-one (21) days as required by </w:t>
      </w:r>
      <w:r>
        <w:rPr>
          <w:rStyle w:val="Strong"/>
          <w:rFonts w:ascii="Times New Roman" w:hAnsi="Times New Roman"/>
          <w:b w:val="false"/>
          <w:bCs w:val="false"/>
        </w:rPr>
        <w:t>MCR 4.201(M)(3)</w:t>
      </w:r>
      <w:r>
        <w:rPr>
          <w:rFonts w:ascii="Times New Roman" w:hAnsi="Times New Roman"/>
          <w:b w:val="false"/>
          <w:bCs w:val="false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Plaintiff submitted a </w:t>
      </w:r>
      <w:r>
        <w:rPr>
          <w:rStyle w:val="Strong"/>
          <w:rFonts w:ascii="Times New Roman" w:hAnsi="Times New Roman"/>
          <w:b w:val="false"/>
          <w:bCs w:val="false"/>
        </w:rPr>
        <w:t>billing statement dated April 15, 2025 (Exhibit C)</w:t>
      </w:r>
      <w:r>
        <w:rPr>
          <w:rFonts w:ascii="Times New Roman" w:hAnsi="Times New Roman"/>
          <w:b w:val="false"/>
          <w:bCs w:val="false"/>
        </w:rPr>
        <w:t xml:space="preserve">, which includes </w:t>
      </w:r>
      <w:r>
        <w:rPr>
          <w:rStyle w:val="Strong"/>
          <w:rFonts w:ascii="Times New Roman" w:hAnsi="Times New Roman"/>
          <w:b w:val="false"/>
          <w:bCs w:val="false"/>
        </w:rPr>
        <w:t>unregulated, excessive, and allegedly fabricated charges</w:t>
      </w:r>
      <w:r>
        <w:rPr>
          <w:rFonts w:ascii="Times New Roman" w:hAnsi="Times New Roman"/>
          <w:b w:val="false"/>
          <w:bCs w:val="false"/>
        </w:rPr>
        <w:t xml:space="preserve">, in violation of </w:t>
      </w:r>
      <w:r>
        <w:rPr>
          <w:rStyle w:val="Strong"/>
          <w:rFonts w:ascii="Times New Roman" w:hAnsi="Times New Roman"/>
          <w:b w:val="false"/>
          <w:bCs w:val="false"/>
        </w:rPr>
        <w:t>MCL 554.632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MCL 445.903</w:t>
      </w:r>
      <w:r>
        <w:rPr>
          <w:rFonts w:ascii="Times New Roman" w:hAnsi="Times New Roman"/>
          <w:b w:val="false"/>
          <w:bCs w:val="false"/>
        </w:rPr>
        <w:t xml:space="preserve">, and </w:t>
      </w:r>
      <w:r>
        <w:rPr>
          <w:rStyle w:val="Strong"/>
          <w:rFonts w:ascii="Times New Roman" w:hAnsi="Times New Roman"/>
          <w:b w:val="false"/>
          <w:bCs w:val="false"/>
        </w:rPr>
        <w:t>MCL 600.2918(1)</w:t>
      </w:r>
      <w:r>
        <w:rPr>
          <w:rFonts w:ascii="Times New Roman" w:hAnsi="Times New Roman"/>
          <w:b w:val="false"/>
          <w:bCs w:val="false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Exhibit C is </w:t>
      </w:r>
      <w:r>
        <w:rPr>
          <w:rStyle w:val="Strong"/>
          <w:rFonts w:ascii="Times New Roman" w:hAnsi="Times New Roman"/>
          <w:b w:val="false"/>
          <w:bCs w:val="false"/>
        </w:rPr>
        <w:t>inadmissible</w:t>
      </w:r>
      <w:r>
        <w:rPr>
          <w:rFonts w:ascii="Times New Roman" w:hAnsi="Times New Roman"/>
          <w:b w:val="false"/>
          <w:bCs w:val="false"/>
        </w:rPr>
        <w:t xml:space="preserve"> and constitutes </w:t>
      </w:r>
      <w:r>
        <w:rPr>
          <w:rStyle w:val="Strong"/>
          <w:rFonts w:ascii="Times New Roman" w:hAnsi="Times New Roman"/>
          <w:b w:val="false"/>
          <w:bCs w:val="false"/>
        </w:rPr>
        <w:t>fraud upon the Court</w:t>
      </w:r>
      <w:r>
        <w:rPr>
          <w:rFonts w:ascii="Times New Roman" w:hAnsi="Times New Roman"/>
          <w:b w:val="false"/>
          <w:bCs w:val="false"/>
        </w:rPr>
        <w:t xml:space="preserve"> under </w:t>
      </w:r>
      <w:r>
        <w:rPr>
          <w:rStyle w:val="Strong"/>
          <w:rFonts w:ascii="Times New Roman" w:hAnsi="Times New Roman"/>
          <w:b w:val="false"/>
          <w:bCs w:val="false"/>
        </w:rPr>
        <w:t>MCR 1.109(E)(5)</w:t>
      </w:r>
      <w:r>
        <w:rPr>
          <w:rFonts w:ascii="Times New Roman" w:hAnsi="Times New Roman"/>
          <w:b w:val="false"/>
          <w:bCs w:val="false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The referenced </w:t>
      </w:r>
      <w:r>
        <w:rPr>
          <w:rStyle w:val="Strong"/>
          <w:rFonts w:ascii="Times New Roman" w:hAnsi="Times New Roman"/>
          <w:b w:val="false"/>
          <w:bCs w:val="false"/>
        </w:rPr>
        <w:t>sewer system</w:t>
      </w:r>
      <w:r>
        <w:rPr>
          <w:rFonts w:ascii="Times New Roman" w:hAnsi="Times New Roman"/>
          <w:b w:val="false"/>
          <w:bCs w:val="false"/>
        </w:rPr>
        <w:t xml:space="preserve"> was the subject of an active investigation by the </w:t>
      </w:r>
      <w:r>
        <w:rPr>
          <w:rStyle w:val="Strong"/>
          <w:rFonts w:ascii="Times New Roman" w:hAnsi="Times New Roman"/>
          <w:b w:val="false"/>
          <w:bCs w:val="false"/>
        </w:rPr>
        <w:t>Michigan Department of Environment, Great Lakes, and Energy (EGLE)</w:t>
      </w:r>
      <w:r>
        <w:rPr>
          <w:rFonts w:ascii="Times New Roman" w:hAnsi="Times New Roman"/>
          <w:b w:val="false"/>
          <w:bCs w:val="false"/>
        </w:rPr>
        <w:t xml:space="preserve"> for raw sewage discharge as of </w:t>
      </w:r>
      <w:r>
        <w:rPr>
          <w:rStyle w:val="Strong"/>
          <w:rFonts w:ascii="Times New Roman" w:hAnsi="Times New Roman"/>
          <w:b w:val="false"/>
          <w:bCs w:val="false"/>
        </w:rPr>
        <w:t>March 18, 2025</w:t>
      </w:r>
      <w:r>
        <w:rPr>
          <w:rFonts w:ascii="Times New Roman" w:hAnsi="Times New Roman"/>
          <w:b w:val="false"/>
          <w:bCs w:val="false"/>
        </w:rPr>
        <w:t xml:space="preserve">, and such evidence is </w:t>
      </w:r>
      <w:r>
        <w:rPr>
          <w:rStyle w:val="Strong"/>
          <w:rFonts w:ascii="Times New Roman" w:hAnsi="Times New Roman"/>
          <w:b w:val="false"/>
          <w:bCs w:val="false"/>
        </w:rPr>
        <w:t>self-authenticating under MRE 902(5)</w:t>
      </w:r>
      <w:r>
        <w:rPr>
          <w:rFonts w:ascii="Times New Roman" w:hAnsi="Times New Roman"/>
          <w:b w:val="false"/>
          <w:bCs w:val="false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Allowing reinstatement under these circumstances would violate </w:t>
      </w:r>
      <w:r>
        <w:rPr>
          <w:rStyle w:val="Strong"/>
          <w:rFonts w:ascii="Times New Roman" w:hAnsi="Times New Roman"/>
          <w:b w:val="false"/>
          <w:bCs w:val="false"/>
        </w:rPr>
        <w:t>MRE 403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due process under Const. 1963, Art. 1, § 17</w:t>
      </w:r>
      <w:r>
        <w:rPr>
          <w:rFonts w:ascii="Times New Roman" w:hAnsi="Times New Roman"/>
          <w:b w:val="false"/>
          <w:bCs w:val="false"/>
        </w:rPr>
        <w:t xml:space="preserve">, and compromise the </w:t>
      </w:r>
      <w:r>
        <w:rPr>
          <w:rStyle w:val="Strong"/>
          <w:rFonts w:ascii="Times New Roman" w:hAnsi="Times New Roman"/>
          <w:b w:val="false"/>
          <w:bCs w:val="false"/>
        </w:rPr>
        <w:t>equitable integrity</w:t>
      </w:r>
      <w:r>
        <w:rPr>
          <w:rFonts w:ascii="Times New Roman" w:hAnsi="Times New Roman"/>
          <w:b w:val="false"/>
          <w:bCs w:val="false"/>
        </w:rPr>
        <w:t xml:space="preserve"> of judicial proceedings.</w:t>
      </w:r>
    </w:p>
    <w:p>
      <w:pPr>
        <w:pStyle w:val="Heading3"/>
        <w:numPr>
          <w:ilvl w:val="0"/>
          <w:numId w:val="0"/>
        </w:numPr>
        <w:spacing w:lineRule="auto" w:line="360" w:before="0" w:after="140"/>
        <w:ind w:hanging="0" w:left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IT IS HEREBY ORDERED THAT: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Plaintiff’s request for reinstatement, if any, is </w:t>
      </w:r>
      <w:r>
        <w:rPr>
          <w:rStyle w:val="Strong"/>
          <w:rFonts w:ascii="Times New Roman" w:hAnsi="Times New Roman"/>
          <w:b w:val="false"/>
          <w:bCs w:val="false"/>
        </w:rPr>
        <w:t>DENIED WITH PREJUDICE</w:t>
      </w:r>
      <w:r>
        <w:rPr>
          <w:rFonts w:ascii="Times New Roman" w:hAnsi="Times New Roman"/>
          <w:b w:val="false"/>
          <w:bCs w:val="false"/>
        </w:rPr>
        <w:t xml:space="preserve"> pursuant to </w:t>
      </w:r>
      <w:r>
        <w:rPr>
          <w:rStyle w:val="Strong"/>
          <w:rFonts w:ascii="Times New Roman" w:hAnsi="Times New Roman"/>
          <w:b w:val="false"/>
          <w:bCs w:val="false"/>
        </w:rPr>
        <w:t>MCR 2.602(C)(2)(d)</w:t>
      </w:r>
      <w:r>
        <w:rPr>
          <w:rFonts w:ascii="Times New Roman" w:hAnsi="Times New Roman"/>
          <w:b w:val="false"/>
          <w:bCs w:val="false"/>
        </w:rPr>
        <w:t xml:space="preserve"> and </w:t>
      </w:r>
      <w:r>
        <w:rPr>
          <w:rStyle w:val="Strong"/>
          <w:rFonts w:ascii="Times New Roman" w:hAnsi="Times New Roman"/>
          <w:b w:val="false"/>
          <w:bCs w:val="false"/>
        </w:rPr>
        <w:t>MCR 4.201(M)(3)</w:t>
      </w:r>
      <w:r>
        <w:rPr>
          <w:rFonts w:ascii="Times New Roman" w:hAnsi="Times New Roman"/>
          <w:b w:val="false"/>
          <w:bCs w:val="false"/>
        </w:rPr>
        <w:t>;</w:t>
      </w:r>
    </w:p>
    <w:p>
      <w:pPr>
        <w:pStyle w:val="Heading3"/>
        <w:numPr>
          <w:ilvl w:val="0"/>
          <w:numId w:val="0"/>
        </w:numPr>
        <w:spacing w:lineRule="auto" w:line="360" w:before="0" w:after="140"/>
        <w:ind w:hanging="0" w:left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IT IS FURTHER ORDERED THAT: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Plaintiff’s billing statement dated </w:t>
      </w:r>
      <w:r>
        <w:rPr>
          <w:rStyle w:val="Strong"/>
          <w:rFonts w:ascii="Times New Roman" w:hAnsi="Times New Roman"/>
          <w:b w:val="false"/>
          <w:bCs w:val="false"/>
        </w:rPr>
        <w:t>April 15, 2025</w:t>
      </w:r>
      <w:r>
        <w:rPr>
          <w:rFonts w:ascii="Times New Roman" w:hAnsi="Times New Roman"/>
          <w:b w:val="false"/>
          <w:bCs w:val="false"/>
        </w:rPr>
        <w:t xml:space="preserve">, attached as </w:t>
      </w:r>
      <w:r>
        <w:rPr>
          <w:rStyle w:val="Strong"/>
          <w:rFonts w:ascii="Times New Roman" w:hAnsi="Times New Roman"/>
          <w:b w:val="false"/>
          <w:bCs w:val="false"/>
        </w:rPr>
        <w:t>Exhibit C</w:t>
      </w:r>
      <w:r>
        <w:rPr>
          <w:rFonts w:ascii="Times New Roman" w:hAnsi="Times New Roman"/>
          <w:b w:val="false"/>
          <w:bCs w:val="false"/>
        </w:rPr>
        <w:t xml:space="preserve">, is </w:t>
      </w:r>
      <w:r>
        <w:rPr>
          <w:rStyle w:val="Strong"/>
          <w:rFonts w:ascii="Times New Roman" w:hAnsi="Times New Roman"/>
          <w:b w:val="false"/>
          <w:bCs w:val="false"/>
        </w:rPr>
        <w:t>STRICKEN FROM THE RECORD</w:t>
      </w:r>
      <w:r>
        <w:rPr>
          <w:rFonts w:ascii="Times New Roman" w:hAnsi="Times New Roman"/>
          <w:b w:val="false"/>
          <w:bCs w:val="false"/>
        </w:rPr>
        <w:t xml:space="preserve"> as procedurally defective and substantively fraudulent;</w:t>
      </w:r>
    </w:p>
    <w:p>
      <w:pPr>
        <w:pStyle w:val="Heading3"/>
        <w:numPr>
          <w:ilvl w:val="0"/>
          <w:numId w:val="0"/>
        </w:numPr>
        <w:spacing w:lineRule="auto" w:line="360" w:before="0" w:after="140"/>
        <w:ind w:hanging="0" w:left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IT IS FURTHER ORDERED THAT: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The Court shall </w:t>
      </w:r>
      <w:r>
        <w:rPr>
          <w:rStyle w:val="Strong"/>
          <w:rFonts w:ascii="Times New Roman" w:hAnsi="Times New Roman"/>
          <w:b w:val="false"/>
          <w:bCs w:val="false"/>
        </w:rPr>
        <w:t>BAR ENTRY</w:t>
      </w:r>
      <w:r>
        <w:rPr>
          <w:rFonts w:ascii="Times New Roman" w:hAnsi="Times New Roman"/>
          <w:b w:val="false"/>
          <w:bCs w:val="false"/>
        </w:rPr>
        <w:t xml:space="preserve"> of any judgment, writ of restitution, or further action arising from this matter, </w:t>
      </w:r>
      <w:r>
        <w:rPr>
          <w:rStyle w:val="Strong"/>
          <w:rFonts w:ascii="Times New Roman" w:hAnsi="Times New Roman"/>
          <w:b w:val="false"/>
          <w:bCs w:val="false"/>
        </w:rPr>
        <w:t>unless and until Plaintiff seeks leave of Court</w:t>
      </w:r>
      <w:r>
        <w:rPr>
          <w:rFonts w:ascii="Times New Roman" w:hAnsi="Times New Roman"/>
          <w:b w:val="false"/>
          <w:bCs w:val="false"/>
        </w:rPr>
        <w:t xml:space="preserve"> upon proper motion and evidentiary foundation;</w:t>
      </w:r>
    </w:p>
    <w:p>
      <w:pPr>
        <w:pStyle w:val="Heading3"/>
        <w:numPr>
          <w:ilvl w:val="0"/>
          <w:numId w:val="0"/>
        </w:numPr>
        <w:spacing w:lineRule="auto" w:line="360" w:before="0" w:after="140"/>
        <w:ind w:hanging="0" w:left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IT IS FURTHER ORDERED THAT: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This matter is </w:t>
      </w:r>
      <w:r>
        <w:rPr>
          <w:rStyle w:val="Strong"/>
          <w:rFonts w:ascii="Times New Roman" w:hAnsi="Times New Roman"/>
          <w:b w:val="false"/>
          <w:bCs w:val="false"/>
        </w:rPr>
        <w:t>DISMISSED WITH PREJUDICE</w:t>
      </w:r>
      <w:r>
        <w:rPr>
          <w:rFonts w:ascii="Times New Roman" w:hAnsi="Times New Roman"/>
          <w:b w:val="false"/>
          <w:bCs w:val="false"/>
        </w:rPr>
        <w:t xml:space="preserve"> effective </w:t>
      </w:r>
      <w:r>
        <w:rPr>
          <w:rStyle w:val="Strong"/>
          <w:rFonts w:ascii="Times New Roman" w:hAnsi="Times New Roman"/>
          <w:b w:val="false"/>
          <w:bCs w:val="false"/>
        </w:rPr>
        <w:t>May 9, 2025</w:t>
      </w:r>
      <w:r>
        <w:rPr>
          <w:rFonts w:ascii="Times New Roman" w:hAnsi="Times New Roman"/>
          <w:b w:val="false"/>
          <w:bCs w:val="false"/>
        </w:rPr>
        <w:t>;</w:t>
      </w:r>
    </w:p>
    <w:p>
      <w:pPr>
        <w:pStyle w:val="Heading3"/>
        <w:numPr>
          <w:ilvl w:val="0"/>
          <w:numId w:val="0"/>
        </w:numPr>
        <w:spacing w:lineRule="auto" w:line="360" w:before="0" w:after="140"/>
        <w:ind w:hanging="0" w:left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IT IS FURTHER ORDERED THAT: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hanging="283" w:left="709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</w:rPr>
        <w:t xml:space="preserve">The Court </w:t>
      </w:r>
      <w:r>
        <w:rPr>
          <w:rStyle w:val="Strong"/>
          <w:rFonts w:ascii="Times New Roman" w:hAnsi="Times New Roman"/>
          <w:b w:val="false"/>
          <w:bCs w:val="false"/>
        </w:rPr>
        <w:t>retains jurisdiction</w:t>
      </w:r>
      <w:r>
        <w:rPr>
          <w:rFonts w:ascii="Times New Roman" w:hAnsi="Times New Roman"/>
          <w:b w:val="false"/>
          <w:bCs w:val="false"/>
        </w:rPr>
        <w:t xml:space="preserve"> to consider future proceedings regarding </w:t>
      </w:r>
      <w:r>
        <w:rPr>
          <w:rStyle w:val="Strong"/>
          <w:rFonts w:ascii="Times New Roman" w:hAnsi="Times New Roman"/>
          <w:b w:val="false"/>
          <w:bCs w:val="false"/>
        </w:rPr>
        <w:t>sanctions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costs</w:t>
      </w:r>
      <w:r>
        <w:rPr>
          <w:rFonts w:ascii="Times New Roman" w:hAnsi="Times New Roman"/>
          <w:b w:val="false"/>
          <w:bCs w:val="false"/>
        </w:rPr>
        <w:t xml:space="preserve">, or </w:t>
      </w:r>
      <w:r>
        <w:rPr>
          <w:rStyle w:val="Strong"/>
          <w:rFonts w:ascii="Times New Roman" w:hAnsi="Times New Roman"/>
          <w:b w:val="false"/>
          <w:bCs w:val="false"/>
        </w:rPr>
        <w:t>attorney-equivalent fees</w:t>
      </w:r>
      <w:r>
        <w:rPr>
          <w:rFonts w:ascii="Times New Roman" w:hAnsi="Times New Roman"/>
          <w:b w:val="false"/>
          <w:bCs w:val="false"/>
        </w:rPr>
        <w:t xml:space="preserve"> pursuant to </w:t>
      </w:r>
      <w:r>
        <w:rPr>
          <w:rStyle w:val="Strong"/>
          <w:rFonts w:ascii="Times New Roman" w:hAnsi="Times New Roman"/>
          <w:b w:val="false"/>
          <w:bCs w:val="false"/>
        </w:rPr>
        <w:t>MCR 1.109(E)</w:t>
      </w:r>
      <w:r>
        <w:rPr>
          <w:rFonts w:ascii="Times New Roman" w:hAnsi="Times New Roman"/>
          <w:b w:val="false"/>
          <w:bCs w:val="false"/>
        </w:rPr>
        <w:t xml:space="preserve">, </w:t>
      </w:r>
      <w:r>
        <w:rPr>
          <w:rStyle w:val="Strong"/>
          <w:rFonts w:ascii="Times New Roman" w:hAnsi="Times New Roman"/>
          <w:b w:val="false"/>
          <w:bCs w:val="false"/>
        </w:rPr>
        <w:t>MCR 2.625</w:t>
      </w:r>
      <w:r>
        <w:rPr>
          <w:rFonts w:ascii="Times New Roman" w:hAnsi="Times New Roman"/>
          <w:b w:val="false"/>
          <w:bCs w:val="false"/>
        </w:rPr>
        <w:t xml:space="preserve">, and </w:t>
      </w:r>
      <w:r>
        <w:rPr>
          <w:rStyle w:val="Strong"/>
          <w:rFonts w:ascii="Times New Roman" w:hAnsi="Times New Roman"/>
          <w:b w:val="false"/>
          <w:bCs w:val="false"/>
        </w:rPr>
        <w:t>MCL 600.2591</w:t>
      </w:r>
      <w:r>
        <w:rPr>
          <w:rFonts w:ascii="Times New Roman" w:hAnsi="Times New Roman"/>
          <w:b w:val="false"/>
          <w:bCs w:val="false"/>
        </w:rPr>
        <w:t>, upon proper motion and notice.</w:t>
      </w:r>
    </w:p>
    <w:p>
      <w:pPr>
        <w:pStyle w:val="Heading3"/>
        <w:numPr>
          <w:ilvl w:val="0"/>
          <w:numId w:val="0"/>
        </w:numPr>
        <w:spacing w:lineRule="auto" w:line="360" w:before="0" w:after="140"/>
        <w:ind w:hanging="0" w:left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IT IS SO ORDERED.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  <w:t>Date: ______________________________</w:t>
      </w:r>
    </w:p>
    <w:p>
      <w:pPr>
        <w:pStyle w:val="HorizontalLine"/>
        <w:spacing w:lineRule="auto" w:line="360" w:before="0" w:after="14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rPr>
          <w:rFonts w:ascii="Times New Roman" w:hAnsi="Times New Roman"/>
        </w:rPr>
      </w:pPr>
      <w:r>
        <w:rPr>
          <w:rStyle w:val="Strong"/>
          <w:rFonts w:ascii="Times New Roman" w:hAnsi="Times New Roman"/>
          <w:b w:val="false"/>
          <w:bCs w:val="false"/>
        </w:rPr>
        <w:t>Hon. Maria Ladas Hoopes</w:t>
      </w:r>
      <w:r>
        <w:rPr>
          <w:rFonts w:ascii="Times New Roman" w:hAnsi="Times New Roman"/>
          <w:b w:val="false"/>
          <w:bCs w:val="false"/>
        </w:rPr>
        <w:br/>
        <w:t>60th District Court Judge</w:t>
      </w:r>
    </w:p>
    <w:p>
      <w:pPr>
        <w:pStyle w:val="BodyText"/>
        <w:bidi w:val="0"/>
        <w:spacing w:lineRule="auto" w:line="360" w:before="0" w:after="140"/>
        <w:jc w:val="left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LibreOffice/25.2.2.2$Windows_X86_64 LibreOffice_project/7370d4be9e3cf6031a51beef54ff3bda878e3fac</Application>
  <AppVersion>15.0000</AppVersion>
  <Pages>2</Pages>
  <Words>420</Words>
  <Characters>2398</Characters>
  <CharactersWithSpaces>2778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2025-05-08T11:21:42Z</dcterms:created>
  <dc:creator/>
  <dc:description/>
  <dc:language>en-US</dc:language>
  <cp:lastModifiedBy/>
  <dcterms:modified xsi:type="dcterms:W3CDTF">2025-05-08T13:09:44Z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