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PROPOSED ORDER GRANTING MOTION IN LIMINE</w:t>
      </w:r>
    </w:p>
    <w:p>
      <w:r>
        <w:t>At a session of said Court held in the 60th District Court, Muskegon, Michigan on this ___ day of ____________, 2025.</w:t>
        <w:br/>
        <w:br/>
        <w:t>PRESENT: HONORABLE ____________________, District Court Judge</w:t>
        <w:br/>
        <w:br/>
        <w:t>Upon consideration of Defendant’s Ex Parte Motion in Limine, and the Court being fully advised in the premises:</w:t>
        <w:br/>
        <w:br/>
        <w:t>IT IS HEREBY ORDERED:</w:t>
        <w:br/>
        <w:br/>
        <w:t>1. That all evidence, pleadings, filings, and arguments submitted by or on behalf of “Shady Oaks Park MHP LLC,” or any entity not properly registered with the State of Michigan or named in the underlying lease or title documents, shall be excluded from the Court’s consideration in this matter.</w:t>
        <w:br/>
        <w:br/>
        <w:t>2. The Court shall not consider any filings purporting to establish standing or possessory interest absent a valid lease, LARA registration, or title consistent with Michigan law.</w:t>
        <w:br/>
        <w:br/>
        <w:t>IT IS SO ORDERED.</w:t>
        <w:br/>
        <w:br/>
        <w:t xml:space="preserve">Date: ____________________     ___________________________________  </w:t>
        <w:br/>
        <w:t xml:space="preserve">                             District Court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