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PROPOSED ORDER TO VOID JUDGMENT AND STRIKE FILINGS BY DISSOLVED ENTITY</w:t>
      </w:r>
    </w:p>
    <w:p/>
    <w:p>
      <w:r>
        <w:t>STATE OF MICHIGAN</w:t>
        <w:br/>
        <w:t>IN THE 14TH JUDICIAL CIRCUIT COURT</w:t>
        <w:br/>
        <w:t>COUNTY OF MUSKEGON</w:t>
        <w:br/>
        <w:br/>
        <w:t>ANDREW J. PIGORS,                                Plaintiff,</w:t>
        <w:br/>
        <w:br/>
        <w:t>v.                                                              Case No. 2025-0000002760-CZ</w:t>
        <w:br/>
        <w:t xml:space="preserve">                                                                Hon. Kenneth S. Hoopes</w:t>
        <w:br/>
        <w:br/>
        <w:t>SHADY OAKS MHP LLC,</w:t>
        <w:br/>
        <w:t>HOMES OF AMERICA LLC,</w:t>
        <w:br/>
        <w:t>ALDEN GLOBAL CAPITAL LLC,          Defendants.</w:t>
        <w:br/>
      </w:r>
    </w:p>
    <w:p/>
    <w:p>
      <w:r>
        <w:t>At a session of said Court held on ____________________, 2025,</w:t>
        <w:br/>
        <w:t>in the Muskegon County Courthouse, Muskegon, Michigan:</w:t>
        <w:br/>
        <w:br/>
        <w:t>PRESENT: HONORABLE ___________________________, Circuit Court Judge</w:t>
        <w:br/>
        <w:br/>
        <w:t>Upon reading and reviewing Plaintiff's Motion to Void Judgment and Strike All Filings by Dissolved Entity, and being otherwise fully advised in the premises,</w:t>
        <w:br/>
        <w:br/>
        <w:t>IT IS HEREBY ORDERED that:</w:t>
        <w:br/>
        <w:br/>
        <w:t>1. All orders, judgments, and rulings in favor of SHADY OAKS MHP LLC are hereby VOIDED.</w:t>
        <w:br/>
        <w:t>2. All pleadings, motions, appearances, and filings made by SHADY OAKS MHP LLC in this matter are STRICKEN from the record.</w:t>
        <w:br/>
        <w:t>3. SHADY OAKS MHP LLC is hereby REMOVED as a party to this case for lack of standing and legal capacity.</w:t>
        <w:br/>
        <w:t>4. Plaintiff is granted leave to amend the Complaint and/or substitute proper parties pursuant to MCR 2.118.</w:t>
        <w:br/>
        <w:t>5. This Court retains jurisdiction to enforce this Order and to hear any further relief sought by Plaintiff.</w:t>
        <w:br/>
        <w:br/>
        <w:t>IT IS SO ORDERED.</w:t>
        <w:br/>
      </w:r>
    </w:p>
    <w:p>
      <w:r>
        <w:br/>
        <w:br/>
        <w:t>_______________________________________</w:t>
        <w:br/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