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LITIGATION HOLD / EVIDENCE PRESERVATION NOTICE</w:t>
      </w:r>
    </w:p>
    <w:p>
      <w:pPr>
        <w:jc w:val="center"/>
      </w:pPr>
      <w:r>
        <w:rPr>
          <w:sz w:val="24"/>
        </w:rPr>
        <w:t>Immediate preservation demand (spoliation notice)</w:t>
      </w:r>
    </w:p>
    <w:p/>
    <w:p>
      <w:r>
        <w:t>TO: Shady Oaks Park MHP, LLC; Shady Oaks MHP, LLC; Homes of America, LLC; Alden Global Capital, LLC; and their insurers, counsel, employees, agents, contractors, and affiliates.</w:t>
      </w:r>
    </w:p>
    <w:p/>
    <w:p>
      <w:r>
        <w:t>NOTICE: You are hereby placed on immediate notice of pending and reasonably anticipated litigation arising from the lockout, entry, seizure, disposal, and destruction of Plaintiff’s titled manufactured home and personal property at Lot 17 (Shady Oaks Mobile Home Park), and from essential-service interference and sewage hazard conditions described in the forthcoming complaint.</w:t>
      </w:r>
    </w:p>
    <w:p/>
    <w:p>
      <w:r>
        <w:t>You must preserve (and must not delete, overwrite, discard, destroy, alter, conceal, or tamper with) all evidence, including electronically stored information, relating to Plaintiff, Lot 17, any writ execution/lockout/removal/disposal, and any sewage and utility incidents from January 1, 2024 to present.</w:t>
      </w:r>
    </w:p>
    <w:p>
      <w:r>
        <w:rPr>
          <w:b/>
        </w:rPr>
        <w:t>NON‑EXHAUSTIVE CATEGORIES TO PRESERVE</w:t>
      </w:r>
    </w:p>
    <w:p>
      <w:r>
        <w:t>1) All surveillance video (fixed cameras, gate cameras, office cameras, maintenance cameras), plus retention policies and export logs;</w:t>
      </w:r>
    </w:p>
    <w:p>
      <w:r>
        <w:t>2) All photos/videos taken by employees/agents/contractors;</w:t>
      </w:r>
    </w:p>
    <w:p>
      <w:r>
        <w:t>3) All body‑worn camera and incident materials in Defendants’ possession or obtained from third parties;</w:t>
      </w:r>
    </w:p>
    <w:p>
      <w:r>
        <w:t>4) All work orders, contractor invoices, demolition/removal authorizations, and communications;</w:t>
      </w:r>
    </w:p>
    <w:p>
      <w:r>
        <w:t>5) All dumpster/haul/landfill receipts, roll‑off tickets, waste manifests, and vendor account records;</w:t>
      </w:r>
    </w:p>
    <w:p>
      <w:r>
        <w:t>6) All internal communications (email, text, Teams/Slack, call logs) referencing Plaintiff, Lot 17, “FREE” sign, dumpsters, or disposal;</w:t>
      </w:r>
    </w:p>
    <w:p>
      <w:r>
        <w:t>7) All lease files, notices, and corporate/agency documents identifying the controlling entities and managers;</w:t>
      </w:r>
    </w:p>
    <w:p>
      <w:r>
        <w:t>8) All water shutoff records, meter logs, utility billing records, and any notices;</w:t>
      </w:r>
    </w:p>
    <w:p>
      <w:r>
        <w:t>9) All records concerning sewage complaints, inspections, EGLE correspondence, and remediation plans.</w:t>
      </w:r>
    </w:p>
    <w:p/>
    <w:p>
      <w:r>
        <w:t>If any evidence has already been lost or destroyed, identify what was lost, when, by whom, and the circumstances, and produce any backups or secondary sources immediately.</w:t>
      </w:r>
    </w:p>
    <w:p/>
    <w:p>
      <w:r>
        <w:t>Failure to preserve evidence may result in sanctions, adverse inferences, and other relief.</w:t>
      </w:r>
    </w:p>
    <w:p/>
    <w:p/>
    <w:p>
      <w:r>
        <w:t>Respectfully submitted,</w:t>
      </w:r>
    </w:p>
    <w:p/>
    <w:p>
      <w:r>
        <w:t>____________________________________</w:t>
      </w:r>
    </w:p>
    <w:p>
      <w:r>
        <w:t>ANDREW J. PIGORS</w:t>
      </w:r>
    </w:p>
    <w:p>
      <w:r>
        <w:t>Plaintiff, in pro per</w:t>
      </w:r>
    </w:p>
    <w:p>
      <w:r>
        <w:t>Phone: 231-260-1936</w:t>
      </w:r>
    </w:p>
    <w:p>
      <w:r>
        <w:t>Email: andrewjpigors@gmail.com</w:t>
      </w:r>
    </w:p>
    <w:p>
      <w:r>
        <w:t>Dated: February 20,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