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STATE OF MICHIGAN</w:t>
        <w:br w:type="textWrapping"/>
        <w:t xml:space="preserve">IN THE CIRCUIT COURT FOR THE COUNTY OF MUSKEGON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b w:val="1"/>
          <w:bCs w:val="1"/>
          <w:rtl w:val="0"/>
        </w:rPr>
        <w:t xml:space="preserve">ANDREW J. PIGORS,</w:t>
        <w:br w:type="textWrapping"/>
      </w:r>
      <w:r w:rsidDel="00000000" w:rsidR="00000000" w:rsidRPr="00000000">
        <w:rPr>
          <w:rtl w:val="0"/>
        </w:rPr>
        <w:t xml:space="preserve">Plaintiff,</w:t>
        <w:br w:type="textWrapping"/>
        <w:br w:type="textWrapping"/>
        <w:t xml:space="preserve">v.</w:t>
        <w:br w:type="textWrapping"/>
        <w:br w:type="textWrapping"/>
      </w:r>
      <w:r w:rsidDel="00000000" w:rsidR="00000000" w:rsidRPr="00000000">
        <w:rPr>
          <w:b w:val="1"/>
          <w:bCs w:val="1"/>
          <w:rtl w:val="0"/>
        </w:rPr>
        <w:t xml:space="preserve">SHADY OAKS PARK MHP LLC; SHADY OAKS MHP LLC (defunct); HOMES OF AMERICA, LLC; PARTRIDGE SECURITIES, LLC; ALDEN GLOBAL CAPITAL, LLC; and JOHN DOE AGENTS 1–10,</w:t>
        <w:br w:type="textWrapping"/>
      </w:r>
      <w:r w:rsidDel="00000000" w:rsidR="00000000" w:rsidRPr="00000000">
        <w:rPr>
          <w:rtl w:val="0"/>
        </w:rPr>
        <w:t xml:space="preserve">Defendants.</w:t>
        <w:br w:type="textWrapping"/>
        <w:br w:type="textWrapping"/>
        <w:t xml:space="preserve">Case No. ____________    Hon. ______________________</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4"/>
          <w:szCs w:val="24"/>
          <w:rtl w:val="0"/>
        </w:rPr>
        <w:t xml:space="preserve">VERIFIED COMPLAINT (COUNTS-ONLY; AUTHORITIES ADDED)</w:t>
        <w:br w:type="textWrapping"/>
        <w:t xml:space="preserve">Narrative in Exhibit A — Affidavit; Authorities in Exhibit B — Authority Index</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PARTIES, JURISDICTION, AND VENUE</w:t>
        <w:br w:type="textWrapp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Plaintiff is an individual residing in Muskegon County, Michigan.</w:t>
      </w:r>
    </w:p>
    <w:p w:rsidR="00000000" w:rsidDel="00000000" w:rsidP="00000000" w:rsidRDefault="00000000" w:rsidRPr="00000000" w14:paraId="00000009">
      <w:pPr>
        <w:rPr/>
      </w:pPr>
      <w:r w:rsidDel="00000000" w:rsidR="00000000" w:rsidRPr="00000000">
        <w:rPr>
          <w:rtl w:val="0"/>
        </w:rPr>
        <w:t xml:space="preserve">2. Defendants are entities/agents doing business in Michigan related to the Shady Oaks manufactured housing community.</w:t>
      </w:r>
    </w:p>
    <w:p w:rsidR="00000000" w:rsidDel="00000000" w:rsidP="00000000" w:rsidRDefault="00000000" w:rsidRPr="00000000" w14:paraId="0000000A">
      <w:pPr>
        <w:rPr/>
      </w:pPr>
      <w:r w:rsidDel="00000000" w:rsidR="00000000" w:rsidRPr="00000000">
        <w:rPr>
          <w:rtl w:val="0"/>
        </w:rPr>
        <w:t xml:space="preserve">3. The amount in controversy exceeds $25,000 exclusive of interest, costs, and attorney fees; this Court has jurisdiction under MCL 600.605.</w:t>
      </w:r>
    </w:p>
    <w:p w:rsidR="00000000" w:rsidDel="00000000" w:rsidP="00000000" w:rsidRDefault="00000000" w:rsidRPr="00000000" w14:paraId="0000000B">
      <w:pPr>
        <w:rPr/>
      </w:pPr>
      <w:r w:rsidDel="00000000" w:rsidR="00000000" w:rsidRPr="00000000">
        <w:rPr>
          <w:rtl w:val="0"/>
        </w:rPr>
        <w:t xml:space="preserve">4. Venue is proper in Muskegon County under MCL 600.1621(a).</w:t>
      </w:r>
    </w:p>
    <w:p w:rsidR="00000000" w:rsidDel="00000000" w:rsidP="00000000" w:rsidRDefault="00000000" w:rsidRPr="00000000" w14:paraId="0000000C">
      <w:pPr>
        <w:rPr/>
      </w:pPr>
      <w:r w:rsidDel="00000000" w:rsidR="00000000" w:rsidRPr="00000000">
        <w:rPr>
          <w:rtl w:val="0"/>
        </w:rPr>
        <w:t xml:space="preserve">5. The factual narrative is incorporated by reference via </w:t>
      </w:r>
    </w:p>
    <w:p w:rsidR="00000000" w:rsidDel="00000000" w:rsidP="00000000" w:rsidRDefault="00000000" w:rsidRPr="00000000" w14:paraId="0000000D">
      <w:pPr>
        <w:rPr/>
      </w:pPr>
      <w:r w:rsidDel="00000000" w:rsidR="00000000" w:rsidRPr="00000000">
        <w:rPr>
          <w:b w:val="1"/>
          <w:bCs w:val="1"/>
          <w:rtl w:val="0"/>
        </w:rPr>
        <w:t xml:space="preserve">Exhibit A — Sworn Affidavit of Andrew J. Pigors (</w:t>
      </w:r>
      <w:hyperlink w:anchor="z0gjvxbzm7cj">
        <w:r w:rsidDel="00000000" w:rsidR="00000000" w:rsidRPr="00000000">
          <w:rPr>
            <w:color w:val="0563c1"/>
            <w:u w:val="single"/>
            <w:rtl w:val="0"/>
          </w:rPr>
          <w:t xml:space="preserve">see Exhibit A</w:t>
        </w:r>
      </w:hyperlink>
      <w:r w:rsidDel="00000000" w:rsidR="00000000" w:rsidRPr="00000000">
        <w:rPr>
          <w:rtl w:val="0"/>
        </w:rPr>
        <w:t xml:space="preserve">). The authorities are compiled in </w:t>
      </w:r>
      <w:hyperlink w:anchor="161euvbpm49f">
        <w:r w:rsidDel="00000000" w:rsidR="00000000" w:rsidRPr="00000000">
          <w:rPr>
            <w:color w:val="0563c1"/>
            <w:u w:val="single"/>
            <w:rtl w:val="0"/>
          </w:rPr>
          <w:t xml:space="preserve">Exhibit B — Authority Index</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COUNT I — ILLEGAL EVICTION / ANTI-LOCKOUT (MCL 600.2918)</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6. Defendants unlawfully interfered with Plaintiff’s possessory interest and/or used self-help lockout, triggering remedies under MCL 600.2918(1)–(2). Relief requested: treble damages and equitable non-interference orders. [1]–[4]</w:t>
      </w:r>
    </w:p>
    <w:p w:rsidR="00000000" w:rsidDel="00000000" w:rsidP="00000000" w:rsidRDefault="00000000" w:rsidRPr="00000000" w14:paraId="00000011">
      <w:pPr>
        <w:rPr/>
      </w:pPr>
      <w:r w:rsidDel="00000000" w:rsidR="00000000" w:rsidRPr="00000000">
        <w:rPr>
          <w:rtl w:val="0"/>
        </w:rPr>
        <w:t xml:space="preserve">Cross-References: </w:t>
      </w:r>
      <w:hyperlink w:anchor="z0gjvxbzm7cj">
        <w:r w:rsidDel="00000000" w:rsidR="00000000" w:rsidRPr="00000000">
          <w:rPr>
            <w:color w:val="0563c1"/>
            <w:u w:val="single"/>
            <w:rtl w:val="0"/>
          </w:rPr>
          <w:t xml:space="preserve">Exhibit A — Affidavit</w:t>
        </w:r>
      </w:hyperlink>
      <w:r w:rsidDel="00000000" w:rsidR="00000000" w:rsidRPr="00000000">
        <w:rPr>
          <w:rtl w:val="0"/>
        </w:rPr>
        <w:t xml:space="preserve">; </w:t>
      </w:r>
      <w:hyperlink w:anchor="161euvbpm49f">
        <w:r w:rsidDel="00000000" w:rsidR="00000000" w:rsidRPr="00000000">
          <w:rPr>
            <w:color w:val="0563c1"/>
            <w:u w:val="single"/>
            <w:rtl w:val="0"/>
          </w:rPr>
          <w:t xml:space="preserve">Exhibit B — Authorities [1]–[4]</w:t>
        </w:r>
      </w:hyperlink>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COUNT II — CONVERSION (COMMON LAW) &amp; STATUTORY CONVERSION (MCL 600.2919a)</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 Defendants wrongfully exercised dominion over Plaintiff’s property and/or converted property to their own use, entitling Plaintiff to treble damages and attorney fees under MCL 600.2919a, and common-law conversion damages. [5]–[7]</w:t>
      </w:r>
    </w:p>
    <w:p w:rsidR="00000000" w:rsidDel="00000000" w:rsidP="00000000" w:rsidRDefault="00000000" w:rsidRPr="00000000" w14:paraId="00000014">
      <w:pPr>
        <w:rPr/>
      </w:pPr>
      <w:r w:rsidDel="00000000" w:rsidR="00000000" w:rsidRPr="00000000">
        <w:rPr>
          <w:rtl w:val="0"/>
        </w:rPr>
        <w:t xml:space="preserve">Cross-References: </w:t>
      </w:r>
      <w:hyperlink w:anchor="z0gjvxbzm7cj">
        <w:r w:rsidDel="00000000" w:rsidR="00000000" w:rsidRPr="00000000">
          <w:rPr>
            <w:color w:val="0563c1"/>
            <w:u w:val="single"/>
            <w:rtl w:val="0"/>
          </w:rPr>
          <w:t xml:space="preserve">Exhibit A — Affidavit</w:t>
        </w:r>
      </w:hyperlink>
      <w:r w:rsidDel="00000000" w:rsidR="00000000" w:rsidRPr="00000000">
        <w:rPr>
          <w:rtl w:val="0"/>
        </w:rPr>
        <w:t xml:space="preserve">; </w:t>
      </w:r>
      <w:hyperlink w:anchor="161euvbpm49f">
        <w:r w:rsidDel="00000000" w:rsidR="00000000" w:rsidRPr="00000000">
          <w:rPr>
            <w:color w:val="0563c1"/>
            <w:u w:val="single"/>
            <w:rtl w:val="0"/>
          </w:rPr>
          <w:t xml:space="preserve">Exhibit B — Authorities [5]–[7]</w:t>
        </w:r>
      </w:hyperlink>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COUNT III — TRESPASS TO LAND AND TRESPASS TO CHATTELS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8. Defendants entered without lawful authority and wrongfully interfered with Plaintiff’s chattels. Relief requested: compensatory and exemplary damages as permitted. [8]</w:t>
      </w:r>
    </w:p>
    <w:p w:rsidR="00000000" w:rsidDel="00000000" w:rsidP="00000000" w:rsidRDefault="00000000" w:rsidRPr="00000000" w14:paraId="00000017">
      <w:pPr>
        <w:rPr/>
      </w:pPr>
      <w:r w:rsidDel="00000000" w:rsidR="00000000" w:rsidRPr="00000000">
        <w:rPr>
          <w:rtl w:val="0"/>
        </w:rPr>
        <w:t xml:space="preserve">Cross-References: </w:t>
      </w:r>
      <w:hyperlink w:anchor="z0gjvxbzm7cj">
        <w:r w:rsidDel="00000000" w:rsidR="00000000" w:rsidRPr="00000000">
          <w:rPr>
            <w:color w:val="0563c1"/>
            <w:u w:val="single"/>
            <w:rtl w:val="0"/>
          </w:rPr>
          <w:t xml:space="preserve">Exhibit A — Affidavit</w:t>
        </w:r>
      </w:hyperlink>
      <w:r w:rsidDel="00000000" w:rsidR="00000000" w:rsidRPr="00000000">
        <w:rPr>
          <w:rtl w:val="0"/>
        </w:rPr>
        <w:t xml:space="preserve">; </w:t>
      </w:r>
      <w:hyperlink w:anchor="161euvbpm49f">
        <w:r w:rsidDel="00000000" w:rsidR="00000000" w:rsidRPr="00000000">
          <w:rPr>
            <w:color w:val="0563c1"/>
            <w:u w:val="single"/>
            <w:rtl w:val="0"/>
          </w:rPr>
          <w:t xml:space="preserve">Exhibit B — Authorities [8]</w:t>
        </w:r>
      </w:hyperlink>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COUNT IV — ABUSE OF PROCESS / WRONGFUL EXECUTION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9. Defendants misused judicial process, including by proceeding under improper or mismatched entities and/or without proper service, to accomplish objectives not authorized by law. Relief requested: compensatory and punitive/exemplary damages. [9]–[10]</w:t>
      </w:r>
    </w:p>
    <w:p w:rsidR="00000000" w:rsidDel="00000000" w:rsidP="00000000" w:rsidRDefault="00000000" w:rsidRPr="00000000" w14:paraId="0000001A">
      <w:pPr>
        <w:rPr/>
      </w:pPr>
      <w:r w:rsidDel="00000000" w:rsidR="00000000" w:rsidRPr="00000000">
        <w:rPr>
          <w:rtl w:val="0"/>
        </w:rPr>
        <w:t xml:space="preserve">Cross-References: </w:t>
      </w:r>
      <w:hyperlink w:anchor="z0gjvxbzm7cj">
        <w:r w:rsidDel="00000000" w:rsidR="00000000" w:rsidRPr="00000000">
          <w:rPr>
            <w:color w:val="0563c1"/>
            <w:u w:val="single"/>
            <w:rtl w:val="0"/>
          </w:rPr>
          <w:t xml:space="preserve">Exhibit A — Affidavit</w:t>
        </w:r>
      </w:hyperlink>
      <w:r w:rsidDel="00000000" w:rsidR="00000000" w:rsidRPr="00000000">
        <w:rPr>
          <w:rtl w:val="0"/>
        </w:rPr>
        <w:t xml:space="preserve">; </w:t>
      </w:r>
      <w:hyperlink w:anchor="161euvbpm49f">
        <w:r w:rsidDel="00000000" w:rsidR="00000000" w:rsidRPr="00000000">
          <w:rPr>
            <w:color w:val="0563c1"/>
            <w:u w:val="single"/>
            <w:rtl w:val="0"/>
          </w:rPr>
          <w:t xml:space="preserve">Exhibit B — Authorities [9]–[10]</w:t>
        </w:r>
      </w:hyperlink>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COUNT V — DECLARATORY &amp; INJUNCTIVE RELIEF (MCR 2.605; MCR 3.310)</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10. An actual controversy exists regarding the legality and scope of Defendants’ claimed rights and actions. Declarations requested: (a) a writ for lot/site possession does not authorize seizure/disposal of a titled manufactured home or its contents; (b) use of defunct/mismatched entities defeats standing and renders execution void/voidable; (c) Plaintiff remains lawful owner entitled to full remedies. Injunctions requested: non-interference, access, and restitution/return. [11]–[15]</w:t>
      </w:r>
    </w:p>
    <w:p w:rsidR="00000000" w:rsidDel="00000000" w:rsidP="00000000" w:rsidRDefault="00000000" w:rsidRPr="00000000" w14:paraId="0000001D">
      <w:pPr>
        <w:rPr/>
      </w:pPr>
      <w:r w:rsidDel="00000000" w:rsidR="00000000" w:rsidRPr="00000000">
        <w:rPr>
          <w:rtl w:val="0"/>
        </w:rPr>
        <w:t xml:space="preserve">Cross-References: </w:t>
      </w:r>
      <w:hyperlink w:anchor="z0gjvxbzm7cj">
        <w:r w:rsidDel="00000000" w:rsidR="00000000" w:rsidRPr="00000000">
          <w:rPr>
            <w:color w:val="0563c1"/>
            <w:u w:val="single"/>
            <w:rtl w:val="0"/>
          </w:rPr>
          <w:t xml:space="preserve">Exhibit A — Affidavit</w:t>
        </w:r>
      </w:hyperlink>
      <w:r w:rsidDel="00000000" w:rsidR="00000000" w:rsidRPr="00000000">
        <w:rPr>
          <w:rtl w:val="0"/>
        </w:rPr>
        <w:t xml:space="preserve">; </w:t>
      </w:r>
      <w:hyperlink w:anchor="161euvbpm49f">
        <w:r w:rsidDel="00000000" w:rsidR="00000000" w:rsidRPr="00000000">
          <w:rPr>
            <w:color w:val="0563c1"/>
            <w:u w:val="single"/>
            <w:rtl w:val="0"/>
          </w:rPr>
          <w:t xml:space="preserve">Exhibit B — Authorities [11]–[15]</w:t>
        </w:r>
      </w:hyperlink>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COUNT VI — VEIL-PIERCING / SUCCESSOR &amp; ALTER-EGO LIABILITY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11. Equity warrants piercing corporate veils and/or imposing successor/alter-ego liability to prevent injustice arising from misuse of entity form. Relief requested: declaration of joint and several liability across responsible entities/agents. [16]–[18]</w:t>
      </w:r>
    </w:p>
    <w:p w:rsidR="00000000" w:rsidDel="00000000" w:rsidP="00000000" w:rsidRDefault="00000000" w:rsidRPr="00000000" w14:paraId="00000020">
      <w:pPr>
        <w:rPr/>
      </w:pPr>
      <w:r w:rsidDel="00000000" w:rsidR="00000000" w:rsidRPr="00000000">
        <w:rPr>
          <w:rtl w:val="0"/>
        </w:rPr>
        <w:t xml:space="preserve">Cross-References: </w:t>
      </w:r>
      <w:hyperlink w:anchor="z0gjvxbzm7cj">
        <w:r w:rsidDel="00000000" w:rsidR="00000000" w:rsidRPr="00000000">
          <w:rPr>
            <w:color w:val="0563c1"/>
            <w:u w:val="single"/>
            <w:rtl w:val="0"/>
          </w:rPr>
          <w:t xml:space="preserve">Exhibit A — Affidavit</w:t>
        </w:r>
      </w:hyperlink>
      <w:r w:rsidDel="00000000" w:rsidR="00000000" w:rsidRPr="00000000">
        <w:rPr>
          <w:rtl w:val="0"/>
        </w:rPr>
        <w:t xml:space="preserve">; </w:t>
      </w:r>
      <w:hyperlink w:anchor="161euvbpm49f">
        <w:r w:rsidDel="00000000" w:rsidR="00000000" w:rsidRPr="00000000">
          <w:rPr>
            <w:color w:val="0563c1"/>
            <w:u w:val="single"/>
            <w:rtl w:val="0"/>
          </w:rPr>
          <w:t xml:space="preserve">Exhibit B — Authorities [16]–[18]</w:t>
        </w:r>
      </w:hyperlink>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COUNT VII — UNJUST ENRICHMENT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12. Defendants received and retained benefits (including ledger manipulations and misapplied credits) under circumstances that render retention inequitable. Relief requested: restitution, disgorgement, and set-off/credit. [19]–[20]</w:t>
      </w:r>
    </w:p>
    <w:p w:rsidR="00000000" w:rsidDel="00000000" w:rsidP="00000000" w:rsidRDefault="00000000" w:rsidRPr="00000000" w14:paraId="00000023">
      <w:pPr>
        <w:rPr/>
      </w:pPr>
      <w:r w:rsidDel="00000000" w:rsidR="00000000" w:rsidRPr="00000000">
        <w:rPr>
          <w:rtl w:val="0"/>
        </w:rPr>
        <w:t xml:space="preserve">Cross-References: </w:t>
      </w:r>
      <w:hyperlink w:anchor="z0gjvxbzm7cj">
        <w:r w:rsidDel="00000000" w:rsidR="00000000" w:rsidRPr="00000000">
          <w:rPr>
            <w:color w:val="0563c1"/>
            <w:u w:val="single"/>
            <w:rtl w:val="0"/>
          </w:rPr>
          <w:t xml:space="preserve">Exhibit A — Affidavit</w:t>
        </w:r>
      </w:hyperlink>
      <w:r w:rsidDel="00000000" w:rsidR="00000000" w:rsidRPr="00000000">
        <w:rPr>
          <w:rtl w:val="0"/>
        </w:rPr>
        <w:t xml:space="preserve">; </w:t>
      </w:r>
      <w:hyperlink w:anchor="161euvbpm49f">
        <w:r w:rsidDel="00000000" w:rsidR="00000000" w:rsidRPr="00000000">
          <w:rPr>
            <w:color w:val="0563c1"/>
            <w:u w:val="single"/>
            <w:rtl w:val="0"/>
          </w:rPr>
          <w:t xml:space="preserve">Exhibit B — Authorities [19]–[20]</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DAMAGES, JURY DEMAND, AND PRAYER</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13. Plaintiff seeks treble damages under MCL 600.2918 and MCL 600.2919a; compensatory and punitive/exemplary damages; attorney fees where authorized; costs, interest; and all equitable relief pleaded.</w:t>
      </w:r>
    </w:p>
    <w:p w:rsidR="00000000" w:rsidDel="00000000" w:rsidP="00000000" w:rsidRDefault="00000000" w:rsidRPr="00000000" w14:paraId="00000027">
      <w:pPr>
        <w:rPr/>
      </w:pPr>
      <w:r w:rsidDel="00000000" w:rsidR="00000000" w:rsidRPr="00000000">
        <w:rPr>
          <w:rtl w:val="0"/>
        </w:rPr>
        <w:t xml:space="preserve">Plaintiff demands trial by jury on all issues so triable.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VERIFICATION — MCR 1.109(D)(3)</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declare under the laws of the State of Michigan that the statements made in this Verified Complaint are true to the best of my knowledge, information, and belief, and that the factual basis for these Counts is set forth in Exhibit A — Affidavit, incorporated herein by reference.</w:t>
      </w:r>
    </w:p>
    <w:p w:rsidR="00000000" w:rsidDel="00000000" w:rsidP="00000000" w:rsidRDefault="00000000" w:rsidRPr="00000000" w14:paraId="0000002B">
      <w:pPr>
        <w:rPr/>
      </w:pPr>
      <w:r w:rsidDel="00000000" w:rsidR="00000000" w:rsidRPr="00000000">
        <w:rPr>
          <w:rtl w:val="0"/>
        </w:rPr>
        <w:t xml:space="preserve">Date: 2025-09-28    Muskegon, Michigan</w:t>
      </w:r>
    </w:p>
    <w:p w:rsidR="00000000" w:rsidDel="00000000" w:rsidP="00000000" w:rsidRDefault="00000000" w:rsidRPr="00000000" w14:paraId="0000002C">
      <w:pPr>
        <w:rPr/>
      </w:pPr>
      <w:r w:rsidDel="00000000" w:rsidR="00000000" w:rsidRPr="00000000">
        <w:rPr>
          <w:rtl w:val="0"/>
        </w:rPr>
        <w:t xml:space="preserve">__________________________________</w:t>
        <w:br w:type="textWrapping"/>
        <w:t xml:space="preserve">Andrew J. Pigors, Plaintiff</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jc w:val="center"/>
        <w:rPr/>
      </w:pPr>
      <w:r w:rsidDel="00000000" w:rsidR="00000000" w:rsidRPr="00000000">
        <w:rPr>
          <w:b w:val="1"/>
          <w:bCs w:val="1"/>
          <w:sz w:val="24"/>
          <w:szCs w:val="24"/>
          <w:rtl w:val="0"/>
        </w:rPr>
        <w:t xml:space="preserve">TABLE OF EXHIBITS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Exhibit A — Sworn Affidavit of Andrew J. Pigors — page </w:t>
      </w:r>
    </w:p>
    <w:p w:rsidR="00000000" w:rsidDel="00000000" w:rsidP="00000000" w:rsidRDefault="00000000" w:rsidRPr="00000000" w14:paraId="00000031">
      <w:pPr>
        <w:rPr/>
      </w:pPr>
      <w:r w:rsidDel="00000000" w:rsidR="00000000" w:rsidRPr="00000000">
        <w:rPr>
          <w:rtl w:val="0"/>
        </w:rPr>
        <w:t xml:space="preserve">2) Exhibit B — Authority Index (Clickable) — page </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bookmarkStart w:colFirst="0" w:colLast="0" w:name="z0gjvxbzm7cj" w:id="0"/>
    <w:bookmarkEnd w:id="0"/>
    <w:p w:rsidR="00000000" w:rsidDel="00000000" w:rsidP="00000000" w:rsidRDefault="00000000" w:rsidRPr="00000000" w14:paraId="00000033">
      <w:pPr>
        <w:rPr/>
      </w:pPr>
      <w:r w:rsidDel="00000000" w:rsidR="00000000" w:rsidRPr="00000000">
        <w:rPr>
          <w:b w:val="1"/>
          <w:bCs w:val="1"/>
          <w:sz w:val="24"/>
          <w:szCs w:val="24"/>
          <w:rtl w:val="0"/>
        </w:rPr>
        <w:t xml:space="preserve">Exhibit A — Sworn Affidavit of Andrew J. Pigors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Andrew J. Pigors, being first duly sworn, depose and state as follows:</w:t>
      </w:r>
    </w:p>
    <w:p w:rsidR="00000000" w:rsidDel="00000000" w:rsidP="00000000" w:rsidRDefault="00000000" w:rsidRPr="00000000" w14:paraId="00000036">
      <w:pPr>
        <w:rPr/>
      </w:pPr>
      <w:r w:rsidDel="00000000" w:rsidR="00000000" w:rsidRPr="00000000">
        <w:rPr>
          <w:rtl w:val="0"/>
        </w:rPr>
        <w:t xml:space="preserve">A. Identity, Residence, and Property</w:t>
      </w:r>
    </w:p>
    <w:p w:rsidR="00000000" w:rsidDel="00000000" w:rsidP="00000000" w:rsidRDefault="00000000" w:rsidRPr="00000000" w14:paraId="00000037">
      <w:pPr>
        <w:rPr/>
      </w:pPr>
      <w:r w:rsidDel="00000000" w:rsidR="00000000" w:rsidRPr="00000000">
        <w:rPr>
          <w:rtl w:val="0"/>
        </w:rPr>
        <w:t xml:space="preserve">1. I am an adult resident of Muskegon County, Michigan. I am the owner of a manufactured home located at Lot 17, 1977 Whitehall Road, Muskegon, Michigan 49445 (the “Home”). I rented only the lot associated with that address.</w:t>
      </w:r>
    </w:p>
    <w:p w:rsidR="00000000" w:rsidDel="00000000" w:rsidP="00000000" w:rsidRDefault="00000000" w:rsidRPr="00000000" w14:paraId="00000038">
      <w:pPr>
        <w:rPr/>
      </w:pPr>
      <w:r w:rsidDel="00000000" w:rsidR="00000000" w:rsidRPr="00000000">
        <w:rPr>
          <w:rtl w:val="0"/>
        </w:rPr>
        <w:t xml:space="preserve">2. The community has operated under names including Shady Oaks Park MHP LLC and Shady Oaks MHP LLC.</w:t>
      </w:r>
    </w:p>
    <w:p w:rsidR="00000000" w:rsidDel="00000000" w:rsidP="00000000" w:rsidRDefault="00000000" w:rsidRPr="00000000" w14:paraId="00000039">
      <w:pPr>
        <w:rPr/>
      </w:pPr>
      <w:r w:rsidDel="00000000" w:rsidR="00000000" w:rsidRPr="00000000">
        <w:rPr>
          <w:rtl w:val="0"/>
        </w:rPr>
        <w:t xml:space="preserve">3. To my knowledge, Shady Oaks MHP LLC has been defunct since 2022, yet that name was used interchangeably in eviction-related matters involving me.</w:t>
      </w:r>
    </w:p>
    <w:p w:rsidR="00000000" w:rsidDel="00000000" w:rsidP="00000000" w:rsidRDefault="00000000" w:rsidRPr="00000000" w14:paraId="0000003A">
      <w:pPr>
        <w:rPr/>
      </w:pPr>
      <w:r w:rsidDel="00000000" w:rsidR="00000000" w:rsidRPr="00000000">
        <w:rPr>
          <w:rtl w:val="0"/>
        </w:rPr>
        <w:t xml:space="preserve">4. Individuals on-site identified themselves as being from Homes of America. I understand Homes of America, LLC manages or controls the community.</w:t>
      </w:r>
    </w:p>
    <w:p w:rsidR="00000000" w:rsidDel="00000000" w:rsidP="00000000" w:rsidRDefault="00000000" w:rsidRPr="00000000" w14:paraId="0000003B">
      <w:pPr>
        <w:rPr/>
      </w:pPr>
      <w:r w:rsidDel="00000000" w:rsidR="00000000" w:rsidRPr="00000000">
        <w:rPr>
          <w:rtl w:val="0"/>
        </w:rPr>
        <w:t xml:space="preserve">5. My rent payments were negotiated by Partridge Securities, LLC with the endorsement “Partridge Securities for Shady Oaks Park MHP LLC,” even when checks were payable to Shady Oaks MHP.</w:t>
      </w:r>
    </w:p>
    <w:p w:rsidR="00000000" w:rsidDel="00000000" w:rsidP="00000000" w:rsidRDefault="00000000" w:rsidRPr="00000000" w14:paraId="0000003C">
      <w:pPr>
        <w:rPr/>
      </w:pPr>
      <w:r w:rsidDel="00000000" w:rsidR="00000000" w:rsidRPr="00000000">
        <w:rPr>
          <w:rtl w:val="0"/>
        </w:rPr>
        <w:t xml:space="preserve">6. From public information, Alden Global Capital acquired Partridge Securities in approximately 2008.</w:t>
      </w:r>
    </w:p>
    <w:p w:rsidR="00000000" w:rsidDel="00000000" w:rsidP="00000000" w:rsidRDefault="00000000" w:rsidRPr="00000000" w14:paraId="0000003D">
      <w:pPr>
        <w:rPr/>
      </w:pPr>
      <w:r w:rsidDel="00000000" w:rsidR="00000000" w:rsidRPr="00000000">
        <w:rPr>
          <w:rtl w:val="0"/>
        </w:rPr>
        <w:t xml:space="preserve">B. Ledger History, Payments, and Rent Increases</w:t>
      </w:r>
    </w:p>
    <w:p w:rsidR="00000000" w:rsidDel="00000000" w:rsidP="00000000" w:rsidRDefault="00000000" w:rsidRPr="00000000" w14:paraId="0000003E">
      <w:pPr>
        <w:rPr/>
      </w:pPr>
      <w:r w:rsidDel="00000000" w:rsidR="00000000" w:rsidRPr="00000000">
        <w:rPr>
          <w:rtl w:val="0"/>
        </w:rPr>
        <w:t xml:space="preserve">7. My rent was paid through 2025-01-01; the landlord’s ledger showed arrears inconsistent with my payments.</w:t>
      </w:r>
    </w:p>
    <w:p w:rsidR="00000000" w:rsidDel="00000000" w:rsidP="00000000" w:rsidRDefault="00000000" w:rsidRPr="00000000" w14:paraId="0000003F">
      <w:pPr>
        <w:rPr/>
      </w:pPr>
      <w:r w:rsidDel="00000000" w:rsidR="00000000" w:rsidRPr="00000000">
        <w:rPr>
          <w:rtl w:val="0"/>
        </w:rPr>
        <w:t xml:space="preserve">8. The landlord deleted my original account history and failed to reset the ledger; the deleted history shows my security deposit was charged, not credited, and I was caused to pay a prior tenant’s arrears.</w:t>
      </w:r>
    </w:p>
    <w:p w:rsidR="00000000" w:rsidDel="00000000" w:rsidP="00000000" w:rsidRDefault="00000000" w:rsidRPr="00000000" w14:paraId="00000040">
      <w:pPr>
        <w:rPr/>
      </w:pPr>
      <w:r w:rsidDel="00000000" w:rsidR="00000000" w:rsidRPr="00000000">
        <w:rPr>
          <w:rtl w:val="0"/>
        </w:rPr>
        <w:t xml:space="preserve">9. I received three different ledgers with conflicting balances; at least one was filed in a case dismissed with prejudice.</w:t>
      </w:r>
    </w:p>
    <w:p w:rsidR="00000000" w:rsidDel="00000000" w:rsidP="00000000" w:rsidRDefault="00000000" w:rsidRPr="00000000" w14:paraId="00000041">
      <w:pPr>
        <w:rPr/>
      </w:pPr>
      <w:r w:rsidDel="00000000" w:rsidR="00000000" w:rsidRPr="00000000">
        <w:rPr>
          <w:rtl w:val="0"/>
        </w:rPr>
        <w:t xml:space="preserve">10. My original lot rent was $395. On 2024-03-28, under coercion (“sign or sell/move”), I signed a document at Cricklewood (Ravenna, MI) raising lot rent to $695; the document lists only “Shady Oaks” with no LLC.</w:t>
      </w:r>
    </w:p>
    <w:p w:rsidR="00000000" w:rsidDel="00000000" w:rsidP="00000000" w:rsidRDefault="00000000" w:rsidRPr="00000000" w14:paraId="00000042">
      <w:pPr>
        <w:rPr/>
      </w:pPr>
      <w:r w:rsidDel="00000000" w:rsidR="00000000" w:rsidRPr="00000000">
        <w:rPr>
          <w:rtl w:val="0"/>
        </w:rPr>
        <w:t xml:space="preserve">11. In February 2025, my lot rent was unilaterally raised to $720; neighbors reported paying less, and comparable parks charged less.</w:t>
      </w:r>
    </w:p>
    <w:p w:rsidR="00000000" w:rsidDel="00000000" w:rsidP="00000000" w:rsidRDefault="00000000" w:rsidRPr="00000000" w14:paraId="00000043">
      <w:pPr>
        <w:rPr/>
      </w:pPr>
      <w:r w:rsidDel="00000000" w:rsidR="00000000" w:rsidRPr="00000000">
        <w:rPr>
          <w:rtl w:val="0"/>
        </w:rPr>
        <w:t xml:space="preserve">C. Environmental Conditions (EGLE)</w:t>
      </w:r>
    </w:p>
    <w:p w:rsidR="00000000" w:rsidDel="00000000" w:rsidP="00000000" w:rsidRDefault="00000000" w:rsidRPr="00000000" w14:paraId="00000044">
      <w:pPr>
        <w:rPr/>
      </w:pPr>
      <w:r w:rsidDel="00000000" w:rsidR="00000000" w:rsidRPr="00000000">
        <w:rPr>
          <w:rtl w:val="0"/>
        </w:rPr>
        <w:t xml:space="preserve">12. There was an active sewage leak in the park under EGLE oversight; the community took over 30 days to respond while increasing rent and pursuing eviction.</w:t>
      </w:r>
    </w:p>
    <w:p w:rsidR="00000000" w:rsidDel="00000000" w:rsidP="00000000" w:rsidRDefault="00000000" w:rsidRPr="00000000" w14:paraId="00000045">
      <w:pPr>
        <w:rPr/>
      </w:pPr>
      <w:r w:rsidDel="00000000" w:rsidR="00000000" w:rsidRPr="00000000">
        <w:rPr>
          <w:rtl w:val="0"/>
        </w:rPr>
        <w:t xml:space="preserve">D. Pre-Dispossession and Execution-Day Events</w:t>
      </w:r>
    </w:p>
    <w:p w:rsidR="00000000" w:rsidDel="00000000" w:rsidP="00000000" w:rsidRDefault="00000000" w:rsidRPr="00000000" w14:paraId="00000046">
      <w:pPr>
        <w:rPr/>
      </w:pPr>
      <w:r w:rsidDel="00000000" w:rsidR="00000000" w:rsidRPr="00000000">
        <w:rPr>
          <w:rtl w:val="0"/>
        </w:rPr>
        <w:t xml:space="preserve">13. Around 2025-06-30, individuals performing eviction work attempted to break in.</w:t>
      </w:r>
    </w:p>
    <w:p w:rsidR="00000000" w:rsidDel="00000000" w:rsidP="00000000" w:rsidRDefault="00000000" w:rsidRPr="00000000" w14:paraId="00000047">
      <w:pPr>
        <w:rPr/>
      </w:pPr>
      <w:r w:rsidDel="00000000" w:rsidR="00000000" w:rsidRPr="00000000">
        <w:rPr>
          <w:rtl w:val="0"/>
        </w:rPr>
        <w:t xml:space="preserve">14. On 2025-07-14, while I was on vacation with my minor son, agents entered, drilled locks, removed/destroyed property, and gave away items with a “free” sign within 24 hours.</w:t>
      </w:r>
    </w:p>
    <w:p w:rsidR="00000000" w:rsidDel="00000000" w:rsidP="00000000" w:rsidRDefault="00000000" w:rsidRPr="00000000" w14:paraId="00000048">
      <w:pPr>
        <w:rPr/>
      </w:pPr>
      <w:r w:rsidDel="00000000" w:rsidR="00000000" w:rsidRPr="00000000">
        <w:rPr>
          <w:rtl w:val="0"/>
        </w:rPr>
        <w:t xml:space="preserve">15. Muskegon County Sheriff’s Department personnel were present. I was told I was “trespassed” and required to sit in my car and watch; the scene was described as court-supervised.</w:t>
      </w:r>
    </w:p>
    <w:p w:rsidR="00000000" w:rsidDel="00000000" w:rsidP="00000000" w:rsidRDefault="00000000" w:rsidRPr="00000000" w14:paraId="00000049">
      <w:pPr>
        <w:rPr/>
      </w:pPr>
      <w:r w:rsidDel="00000000" w:rsidR="00000000" w:rsidRPr="00000000">
        <w:rPr>
          <w:rtl w:val="0"/>
        </w:rPr>
        <w:t xml:space="preserve">16. A writ of restitution/possession was not properly served on me before execution; even if it existed, a lot-possession writ does not authorize seizure/disposal of a titled manufactured home or personal property.</w:t>
      </w:r>
    </w:p>
    <w:p w:rsidR="00000000" w:rsidDel="00000000" w:rsidP="00000000" w:rsidRDefault="00000000" w:rsidRPr="00000000" w14:paraId="0000004A">
      <w:pPr>
        <w:rPr/>
      </w:pPr>
      <w:r w:rsidDel="00000000" w:rsidR="00000000" w:rsidRPr="00000000">
        <w:rPr>
          <w:rtl w:val="0"/>
        </w:rPr>
        <w:t xml:space="preserve">17. Individuals on-site identified themselves as being from Homes of America; Shady Oaks Park MHP LLC and the defunct Shady Oaks MHP LLC were used interchangeably.</w:t>
      </w:r>
    </w:p>
    <w:p w:rsidR="00000000" w:rsidDel="00000000" w:rsidP="00000000" w:rsidRDefault="00000000" w:rsidRPr="00000000" w14:paraId="0000004B">
      <w:pPr>
        <w:rPr/>
      </w:pPr>
      <w:r w:rsidDel="00000000" w:rsidR="00000000" w:rsidRPr="00000000">
        <w:rPr>
          <w:rtl w:val="0"/>
        </w:rPr>
        <w:t xml:space="preserve">E. Related Court Proceedings</w:t>
      </w:r>
    </w:p>
    <w:p w:rsidR="00000000" w:rsidDel="00000000" w:rsidP="00000000" w:rsidRDefault="00000000" w:rsidRPr="00000000" w14:paraId="0000004C">
      <w:pPr>
        <w:rPr/>
      </w:pPr>
      <w:r w:rsidDel="00000000" w:rsidR="00000000" w:rsidRPr="00000000">
        <w:rPr>
          <w:rtl w:val="0"/>
        </w:rPr>
        <w:t xml:space="preserve">18. In May 2025, Homes of America obtained an ex parte order concerning seven manufactured homes before Judge Kenneth Hoopes; the order stated that “Shady Oaks MHP is no longer doing business in Michigan.”</w:t>
      </w:r>
    </w:p>
    <w:p w:rsidR="00000000" w:rsidDel="00000000" w:rsidP="00000000" w:rsidRDefault="00000000" w:rsidRPr="00000000" w14:paraId="0000004D">
      <w:pPr>
        <w:rPr/>
      </w:pPr>
      <w:r w:rsidDel="00000000" w:rsidR="00000000" w:rsidRPr="00000000">
        <w:rPr>
          <w:rtl w:val="0"/>
        </w:rPr>
        <w:t xml:space="preserve">19. Judge Hoopes also presided over my landlord-tenant matter involving the same community.</w:t>
      </w:r>
    </w:p>
    <w:p w:rsidR="00000000" w:rsidDel="00000000" w:rsidP="00000000" w:rsidRDefault="00000000" w:rsidRPr="00000000" w14:paraId="0000004E">
      <w:pPr>
        <w:rPr/>
      </w:pPr>
      <w:r w:rsidDel="00000000" w:rsidR="00000000" w:rsidRPr="00000000">
        <w:rPr>
          <w:rtl w:val="0"/>
        </w:rPr>
        <w:t xml:space="preserve">F. Harm and Public Interest</w:t>
      </w:r>
    </w:p>
    <w:p w:rsidR="00000000" w:rsidDel="00000000" w:rsidP="00000000" w:rsidRDefault="00000000" w:rsidRPr="00000000" w14:paraId="0000004F">
      <w:pPr>
        <w:rPr/>
      </w:pPr>
      <w:r w:rsidDel="00000000" w:rsidR="00000000" w:rsidRPr="00000000">
        <w:rPr>
          <w:rtl w:val="0"/>
        </w:rPr>
        <w:t xml:space="preserve">20. The ledger practices, entity-name swapping, coerced re-leasing, unilateral rent increases, and execution events manufactured a false appearance of arrears and facilitated my dispossession despite my ownership and payments through 2025-01-01.</w:t>
      </w:r>
    </w:p>
    <w:p w:rsidR="00000000" w:rsidDel="00000000" w:rsidP="00000000" w:rsidRDefault="00000000" w:rsidRPr="00000000" w14:paraId="00000050">
      <w:pPr>
        <w:rPr/>
      </w:pPr>
      <w:r w:rsidDel="00000000" w:rsidR="00000000" w:rsidRPr="00000000">
        <w:rPr>
          <w:rtl w:val="0"/>
        </w:rPr>
        <w:t xml:space="preserve">21. I suffered loss of my home and contents, loss of use/enjoyment, emotional distress, and disruption of parenting-time stability.</w:t>
      </w:r>
    </w:p>
    <w:p w:rsidR="00000000" w:rsidDel="00000000" w:rsidP="00000000" w:rsidRDefault="00000000" w:rsidRPr="00000000" w14:paraId="00000051">
      <w:pPr>
        <w:rPr/>
      </w:pPr>
      <w:r w:rsidDel="00000000" w:rsidR="00000000" w:rsidRPr="00000000">
        <w:rPr>
          <w:rtl w:val="0"/>
        </w:rPr>
        <w:t xml:space="preserve">22. Similar conduct has affected many manufactured-housing residents across Michigan; accountability is in the public interest.</w:t>
      </w:r>
    </w:p>
    <w:p w:rsidR="00000000" w:rsidDel="00000000" w:rsidP="00000000" w:rsidRDefault="00000000" w:rsidRPr="00000000" w14:paraId="00000052">
      <w:pPr>
        <w:rPr/>
      </w:pPr>
      <w:r w:rsidDel="00000000" w:rsidR="00000000" w:rsidRPr="00000000">
        <w:rPr>
          <w:rtl w:val="0"/>
        </w:rPr>
        <w:t xml:space="preserve">G. Clarifications</w:t>
      </w:r>
    </w:p>
    <w:p w:rsidR="00000000" w:rsidDel="00000000" w:rsidP="00000000" w:rsidRDefault="00000000" w:rsidRPr="00000000" w14:paraId="00000053">
      <w:pPr>
        <w:rPr/>
      </w:pPr>
      <w:r w:rsidDel="00000000" w:rsidR="00000000" w:rsidRPr="00000000">
        <w:rPr>
          <w:rtl w:val="0"/>
        </w:rPr>
        <w:t xml:space="preserve">23. Unless otherwise stated, facts are based on my personal knowledge; where I reference records, they are based on my review of documents in my possession or public records.</w:t>
      </w:r>
    </w:p>
    <w:p w:rsidR="00000000" w:rsidDel="00000000" w:rsidP="00000000" w:rsidRDefault="00000000" w:rsidRPr="00000000" w14:paraId="00000054">
      <w:pPr>
        <w:rPr/>
      </w:pPr>
      <w:r w:rsidDel="00000000" w:rsidR="00000000" w:rsidRPr="00000000">
        <w:rPr>
          <w:rtl w:val="0"/>
        </w:rPr>
        <w:t xml:space="preserve">24. Dates are accurate to the best of my ability; where approximate, I so state. All dates are local to Muskegon County, Michigan (America/Detroit).</w:t>
      </w:r>
    </w:p>
    <w:p w:rsidR="00000000" w:rsidDel="00000000" w:rsidP="00000000" w:rsidRDefault="00000000" w:rsidRPr="00000000" w14:paraId="00000055">
      <w:pPr>
        <w:rPr/>
      </w:pPr>
      <w:r w:rsidDel="00000000" w:rsidR="00000000" w:rsidRPr="00000000">
        <w:rPr>
          <w:rtl w:val="0"/>
        </w:rPr>
        <w:t xml:space="preserve">Verification under MCR 1.109(D)(3): I declare under the laws of the State of Michigan that the statements above are true to the best of my knowledge, information, and belief.</w:t>
      </w:r>
    </w:p>
    <w:p w:rsidR="00000000" w:rsidDel="00000000" w:rsidP="00000000" w:rsidRDefault="00000000" w:rsidRPr="00000000" w14:paraId="00000056">
      <w:pPr>
        <w:rPr/>
      </w:pPr>
      <w:r w:rsidDel="00000000" w:rsidR="00000000" w:rsidRPr="00000000">
        <w:rPr>
          <w:rtl w:val="0"/>
        </w:rPr>
        <w:t xml:space="preserve">Date: 2025-09-28    Place: Muskegon, Michigan</w:t>
      </w:r>
    </w:p>
    <w:p w:rsidR="00000000" w:rsidDel="00000000" w:rsidP="00000000" w:rsidRDefault="00000000" w:rsidRPr="00000000" w14:paraId="00000057">
      <w:pPr>
        <w:rPr/>
      </w:pPr>
      <w:r w:rsidDel="00000000" w:rsidR="00000000" w:rsidRPr="00000000">
        <w:rPr>
          <w:rtl w:val="0"/>
        </w:rPr>
        <w:t xml:space="preserve">______________________________</w:t>
        <w:br w:type="textWrapping"/>
        <w:t xml:space="preserve">Andrew J. Pigors</w:t>
      </w:r>
    </w:p>
    <w:p w:rsidR="00000000" w:rsidDel="00000000" w:rsidP="00000000" w:rsidRDefault="00000000" w:rsidRPr="00000000" w14:paraId="00000058">
      <w:pPr>
        <w:rPr/>
      </w:pPr>
      <w:r w:rsidDel="00000000" w:rsidR="00000000" w:rsidRPr="00000000">
        <w:rPr>
          <w:rtl w:val="0"/>
        </w:rPr>
        <w:t xml:space="preserve">Jurat: Subscribed and sworn before me on ____________, 2025, by Andrew J. Pigors. Notary Public, State of Michigan; My Commission Expires: ______; Acting in County of: ______.</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bookmarkStart w:colFirst="0" w:colLast="0" w:name="161euvbpm49f" w:id="1"/>
    <w:bookmarkEnd w:id="1"/>
    <w:p w:rsidR="00000000" w:rsidDel="00000000" w:rsidP="00000000" w:rsidRDefault="00000000" w:rsidRPr="00000000" w14:paraId="0000005A">
      <w:pPr>
        <w:rPr/>
      </w:pPr>
      <w:r w:rsidDel="00000000" w:rsidR="00000000" w:rsidRPr="00000000">
        <w:rPr>
          <w:b w:val="1"/>
          <w:bCs w:val="1"/>
          <w:sz w:val="24"/>
          <w:szCs w:val="24"/>
          <w:rtl w:val="0"/>
        </w:rPr>
        <w:t xml:space="preserve">Exhibit B — Authority Index (Clickable)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6">
        <w:r w:rsidDel="00000000" w:rsidR="00000000" w:rsidRPr="00000000">
          <w:rPr>
            <w:color w:val="0563c1"/>
            <w:u w:val="single"/>
            <w:rtl w:val="0"/>
          </w:rPr>
          <w:t xml:space="preserve">[1] MCL 600.2918 (Anti-Lockout Statute) — forcible entry/detainer; unlawful interference; treble/per-occurrence damages.</w:t>
        </w:r>
      </w:hyperlink>
      <w:r w:rsidDel="00000000" w:rsidR="00000000" w:rsidRPr="00000000">
        <w:rPr>
          <w:rtl w:val="0"/>
        </w:rPr>
      </w:r>
    </w:p>
    <w:p w:rsidR="00000000" w:rsidDel="00000000" w:rsidP="00000000" w:rsidRDefault="00000000" w:rsidRPr="00000000" w14:paraId="0000005D">
      <w:pPr>
        <w:rPr/>
      </w:pPr>
      <w:hyperlink r:id="rId7">
        <w:r w:rsidDel="00000000" w:rsidR="00000000" w:rsidRPr="00000000">
          <w:rPr>
            <w:color w:val="0563c1"/>
            <w:u w:val="single"/>
            <w:rtl w:val="0"/>
          </w:rPr>
          <w:t xml:space="preserve">[2] Deroshia v Union Terminal Piers, 151 Mich App 715 (1986) — self-help lockouts prohibited; §2918 remedies.</w:t>
        </w:r>
      </w:hyperlink>
      <w:r w:rsidDel="00000000" w:rsidR="00000000" w:rsidRPr="00000000">
        <w:rPr>
          <w:rtl w:val="0"/>
        </w:rPr>
      </w:r>
    </w:p>
    <w:p w:rsidR="00000000" w:rsidDel="00000000" w:rsidP="00000000" w:rsidRDefault="00000000" w:rsidRPr="00000000" w14:paraId="0000005E">
      <w:pPr>
        <w:rPr/>
      </w:pPr>
      <w:hyperlink r:id="rId8">
        <w:r w:rsidDel="00000000" w:rsidR="00000000" w:rsidRPr="00000000">
          <w:rPr>
            <w:color w:val="0563c1"/>
            <w:u w:val="single"/>
            <w:rtl w:val="0"/>
          </w:rPr>
          <w:t xml:space="preserve">[3] J. Franklin Interests, LLC v Mu Meng, No. 296525 (Mich Ct App Sept. 29, 2011) (unpublished) — lockout + conversion analysis.</w:t>
        </w:r>
      </w:hyperlink>
      <w:r w:rsidDel="00000000" w:rsidR="00000000" w:rsidRPr="00000000">
        <w:rPr>
          <w:rtl w:val="0"/>
        </w:rPr>
      </w:r>
    </w:p>
    <w:p w:rsidR="00000000" w:rsidDel="00000000" w:rsidP="00000000" w:rsidRDefault="00000000" w:rsidRPr="00000000" w14:paraId="0000005F">
      <w:pPr>
        <w:rPr/>
      </w:pPr>
      <w:hyperlink r:id="rId9">
        <w:r w:rsidDel="00000000" w:rsidR="00000000" w:rsidRPr="00000000">
          <w:rPr>
            <w:color w:val="0563c1"/>
            <w:u w:val="single"/>
            <w:rtl w:val="0"/>
          </w:rPr>
          <w:t xml:space="preserve">[4] Party for Less, LLC v K&amp;P Realty, LLC, No. C16-2017-3336-CB (Kent Cty Bus Ct, July 31, 2018) — §2918 force vs interference.</w:t>
        </w:r>
      </w:hyperlink>
      <w:r w:rsidDel="00000000" w:rsidR="00000000" w:rsidRPr="00000000">
        <w:rPr>
          <w:rtl w:val="0"/>
        </w:rPr>
      </w:r>
    </w:p>
    <w:p w:rsidR="00000000" w:rsidDel="00000000" w:rsidP="00000000" w:rsidRDefault="00000000" w:rsidRPr="00000000" w14:paraId="00000060">
      <w:pPr>
        <w:rPr/>
      </w:pPr>
      <w:hyperlink r:id="rId10">
        <w:r w:rsidDel="00000000" w:rsidR="00000000" w:rsidRPr="00000000">
          <w:rPr>
            <w:color w:val="0563c1"/>
            <w:u w:val="single"/>
            <w:rtl w:val="0"/>
          </w:rPr>
          <w:t xml:space="preserve">[5] MCL 600.5775 — manufactured home park: “just cause” required; limits on unilateral changes.</w:t>
        </w:r>
      </w:hyperlink>
      <w:r w:rsidDel="00000000" w:rsidR="00000000" w:rsidRPr="00000000">
        <w:rPr>
          <w:rtl w:val="0"/>
        </w:rPr>
      </w:r>
    </w:p>
    <w:p w:rsidR="00000000" w:rsidDel="00000000" w:rsidP="00000000" w:rsidRDefault="00000000" w:rsidRPr="00000000" w14:paraId="00000061">
      <w:pPr>
        <w:rPr/>
      </w:pPr>
      <w:hyperlink r:id="rId11">
        <w:r w:rsidDel="00000000" w:rsidR="00000000" w:rsidRPr="00000000">
          <w:rPr>
            <w:color w:val="0563c1"/>
            <w:u w:val="single"/>
            <w:rtl w:val="0"/>
          </w:rPr>
          <w:t xml:space="preserve">[6] MCL 600.5781 — 90-day on-site sale/move rights after judgment; access and obligations.</w:t>
        </w:r>
      </w:hyperlink>
      <w:r w:rsidDel="00000000" w:rsidR="00000000" w:rsidRPr="00000000">
        <w:rPr>
          <w:rtl w:val="0"/>
        </w:rPr>
      </w:r>
    </w:p>
    <w:p w:rsidR="00000000" w:rsidDel="00000000" w:rsidP="00000000" w:rsidRDefault="00000000" w:rsidRPr="00000000" w14:paraId="00000062">
      <w:pPr>
        <w:rPr/>
      </w:pPr>
      <w:hyperlink r:id="rId12">
        <w:r w:rsidDel="00000000" w:rsidR="00000000" w:rsidRPr="00000000">
          <w:rPr>
            <w:color w:val="0563c1"/>
            <w:u w:val="single"/>
            <w:rtl w:val="0"/>
          </w:rPr>
          <w:t xml:space="preserve">[7] SCAO DC 105a (Judgment—Mobile Home Park; Just-Cause Termination) — 90-day rights notice.</w:t>
        </w:r>
      </w:hyperlink>
      <w:r w:rsidDel="00000000" w:rsidR="00000000" w:rsidRPr="00000000">
        <w:rPr>
          <w:rtl w:val="0"/>
        </w:rPr>
      </w:r>
    </w:p>
    <w:p w:rsidR="00000000" w:rsidDel="00000000" w:rsidP="00000000" w:rsidRDefault="00000000" w:rsidRPr="00000000" w14:paraId="00000063">
      <w:pPr>
        <w:rPr/>
      </w:pPr>
      <w:hyperlink r:id="rId13">
        <w:r w:rsidDel="00000000" w:rsidR="00000000" w:rsidRPr="00000000">
          <w:rPr>
            <w:color w:val="0563c1"/>
            <w:u w:val="single"/>
            <w:rtl w:val="0"/>
          </w:rPr>
          <w:t xml:space="preserve">[8] Michigan Judicial Institute — Residential Landlord–Tenant Law Benchbook (2025) — MH-park summary proceedings overview.</w:t>
        </w:r>
      </w:hyperlink>
      <w:r w:rsidDel="00000000" w:rsidR="00000000" w:rsidRPr="00000000">
        <w:rPr>
          <w:rtl w:val="0"/>
        </w:rPr>
      </w:r>
    </w:p>
    <w:p w:rsidR="00000000" w:rsidDel="00000000" w:rsidP="00000000" w:rsidRDefault="00000000" w:rsidRPr="00000000" w14:paraId="00000064">
      <w:pPr>
        <w:rPr/>
      </w:pPr>
      <w:hyperlink r:id="rId14">
        <w:r w:rsidDel="00000000" w:rsidR="00000000" w:rsidRPr="00000000">
          <w:rPr>
            <w:color w:val="0563c1"/>
            <w:u w:val="single"/>
            <w:rtl w:val="0"/>
          </w:rPr>
          <w:t xml:space="preserve">[9] MCR 2.605 — Declaratory Judgments (actual-controversy standard).</w:t>
        </w:r>
      </w:hyperlink>
      <w:r w:rsidDel="00000000" w:rsidR="00000000" w:rsidRPr="00000000">
        <w:rPr>
          <w:rtl w:val="0"/>
        </w:rPr>
      </w:r>
    </w:p>
    <w:p w:rsidR="00000000" w:rsidDel="00000000" w:rsidP="00000000" w:rsidRDefault="00000000" w:rsidRPr="00000000" w14:paraId="00000065">
      <w:pPr>
        <w:rPr/>
      </w:pPr>
      <w:hyperlink r:id="rId15">
        <w:r w:rsidDel="00000000" w:rsidR="00000000" w:rsidRPr="00000000">
          <w:rPr>
            <w:color w:val="0563c1"/>
            <w:u w:val="single"/>
            <w:rtl w:val="0"/>
          </w:rPr>
          <w:t xml:space="preserve">[10] MCR 3.310 — Injunctions (TROs / preliminary injunctions).</w:t>
        </w:r>
      </w:hyperlink>
      <w:r w:rsidDel="00000000" w:rsidR="00000000" w:rsidRPr="00000000">
        <w:rPr>
          <w:rtl w:val="0"/>
        </w:rPr>
      </w:r>
    </w:p>
    <w:p w:rsidR="00000000" w:rsidDel="00000000" w:rsidP="00000000" w:rsidRDefault="00000000" w:rsidRPr="00000000" w14:paraId="00000066">
      <w:pPr>
        <w:rPr/>
      </w:pPr>
      <w:hyperlink r:id="rId16">
        <w:r w:rsidDel="00000000" w:rsidR="00000000" w:rsidRPr="00000000">
          <w:rPr>
            <w:color w:val="0563c1"/>
            <w:u w:val="single"/>
            <w:rtl w:val="0"/>
          </w:rPr>
          <w:t xml:space="preserve">[11] Thermatool Corp v Borzym, 227 Mich App 366 (1998) — four-factor preliminary-injunction test.</w:t>
        </w:r>
      </w:hyperlink>
      <w:r w:rsidDel="00000000" w:rsidR="00000000" w:rsidRPr="00000000">
        <w:rPr>
          <w:rtl w:val="0"/>
        </w:rPr>
      </w:r>
    </w:p>
    <w:p w:rsidR="00000000" w:rsidDel="00000000" w:rsidP="00000000" w:rsidRDefault="00000000" w:rsidRPr="00000000" w14:paraId="00000067">
      <w:pPr>
        <w:rPr/>
      </w:pPr>
      <w:hyperlink r:id="rId17">
        <w:r w:rsidDel="00000000" w:rsidR="00000000" w:rsidRPr="00000000">
          <w:rPr>
            <w:color w:val="0563c1"/>
            <w:u w:val="single"/>
            <w:rtl w:val="0"/>
          </w:rPr>
          <w:t xml:space="preserve">[12] UAW v Central Michigan Univ Trustees, 295 Mich App 486 (2012) — declaratory/standing framework.</w:t>
        </w:r>
      </w:hyperlink>
      <w:r w:rsidDel="00000000" w:rsidR="00000000" w:rsidRPr="00000000">
        <w:rPr>
          <w:rtl w:val="0"/>
        </w:rPr>
      </w:r>
    </w:p>
    <w:p w:rsidR="00000000" w:rsidDel="00000000" w:rsidP="00000000" w:rsidRDefault="00000000" w:rsidRPr="00000000" w14:paraId="00000068">
      <w:pPr>
        <w:rPr/>
      </w:pPr>
      <w:hyperlink r:id="rId18">
        <w:r w:rsidDel="00000000" w:rsidR="00000000" w:rsidRPr="00000000">
          <w:rPr>
            <w:color w:val="0563c1"/>
            <w:u w:val="single"/>
            <w:rtl w:val="0"/>
          </w:rPr>
          <w:t xml:space="preserve">[13] Friedman v Dozorc, 412 Mich 1 (1981) — abuse-of-process elements &amp; limits.</w:t>
        </w:r>
      </w:hyperlink>
      <w:r w:rsidDel="00000000" w:rsidR="00000000" w:rsidRPr="00000000">
        <w:rPr>
          <w:rtl w:val="0"/>
        </w:rPr>
      </w:r>
    </w:p>
    <w:p w:rsidR="00000000" w:rsidDel="00000000" w:rsidP="00000000" w:rsidRDefault="00000000" w:rsidRPr="00000000" w14:paraId="00000069">
      <w:pPr>
        <w:rPr/>
      </w:pPr>
      <w:hyperlink r:id="rId19">
        <w:r w:rsidDel="00000000" w:rsidR="00000000" w:rsidRPr="00000000">
          <w:rPr>
            <w:color w:val="0563c1"/>
            <w:u w:val="single"/>
            <w:rtl w:val="0"/>
          </w:rPr>
          <w:t xml:space="preserve">[14] Bonner v Chicago Title Ins Co, 194 Mich App 462 (1992) — abuse-of-process; ulterior purpose + improper act.</w:t>
        </w:r>
      </w:hyperlink>
      <w:r w:rsidDel="00000000" w:rsidR="00000000" w:rsidRPr="00000000">
        <w:rPr>
          <w:rtl w:val="0"/>
        </w:rPr>
      </w:r>
    </w:p>
    <w:p w:rsidR="00000000" w:rsidDel="00000000" w:rsidP="00000000" w:rsidRDefault="00000000" w:rsidRPr="00000000" w14:paraId="0000006A">
      <w:pPr>
        <w:rPr/>
      </w:pPr>
      <w:hyperlink r:id="rId20">
        <w:r w:rsidDel="00000000" w:rsidR="00000000" w:rsidRPr="00000000">
          <w:rPr>
            <w:color w:val="0563c1"/>
            <w:u w:val="single"/>
            <w:rtl w:val="0"/>
          </w:rPr>
          <w:t xml:space="preserve">[15] Aroma Wines &amp; Equip., Inc. v Columbian Distribution Servs., Inc., 497 Mich 337 (2015) — statutory conversion “own use.”</w:t>
        </w:r>
      </w:hyperlink>
      <w:r w:rsidDel="00000000" w:rsidR="00000000" w:rsidRPr="00000000">
        <w:rPr>
          <w:rtl w:val="0"/>
        </w:rPr>
      </w:r>
    </w:p>
    <w:p w:rsidR="00000000" w:rsidDel="00000000" w:rsidP="00000000" w:rsidRDefault="00000000" w:rsidRPr="00000000" w14:paraId="0000006B">
      <w:pPr>
        <w:rPr/>
      </w:pPr>
      <w:hyperlink r:id="rId21">
        <w:r w:rsidDel="00000000" w:rsidR="00000000" w:rsidRPr="00000000">
          <w:rPr>
            <w:color w:val="0563c1"/>
            <w:u w:val="single"/>
            <w:rtl w:val="0"/>
          </w:rPr>
          <w:t xml:space="preserve">[16] Thoma v Tracy Motor Sales, Inc., 360 Mich 434 (1960) — classic conversion definition &amp; damages.</w:t>
        </w:r>
      </w:hyperlink>
      <w:r w:rsidDel="00000000" w:rsidR="00000000" w:rsidRPr="00000000">
        <w:rPr>
          <w:rtl w:val="0"/>
        </w:rPr>
      </w:r>
    </w:p>
    <w:p w:rsidR="00000000" w:rsidDel="00000000" w:rsidP="00000000" w:rsidRDefault="00000000" w:rsidRPr="00000000" w14:paraId="0000006C">
      <w:pPr>
        <w:rPr/>
      </w:pPr>
      <w:hyperlink r:id="rId22">
        <w:r w:rsidDel="00000000" w:rsidR="00000000" w:rsidRPr="00000000">
          <w:rPr>
            <w:color w:val="0563c1"/>
            <w:u w:val="single"/>
            <w:rtl w:val="0"/>
          </w:rPr>
          <w:t xml:space="preserve">[17] Magley v M &amp; W, Inc., 325 Mich App 307 (2018) — conversion remedies &amp; return-of-property measure.</w:t>
        </w:r>
      </w:hyperlink>
      <w:r w:rsidDel="00000000" w:rsidR="00000000" w:rsidRPr="00000000">
        <w:rPr>
          <w:rtl w:val="0"/>
        </w:rPr>
      </w:r>
    </w:p>
    <w:p w:rsidR="00000000" w:rsidDel="00000000" w:rsidP="00000000" w:rsidRDefault="00000000" w:rsidRPr="00000000" w14:paraId="0000006D">
      <w:pPr>
        <w:rPr/>
      </w:pPr>
      <w:hyperlink r:id="rId23">
        <w:r w:rsidDel="00000000" w:rsidR="00000000" w:rsidRPr="00000000">
          <w:rPr>
            <w:color w:val="0563c1"/>
            <w:u w:val="single"/>
            <w:rtl w:val="0"/>
          </w:rPr>
          <w:t xml:space="preserve">[18] Burns v Kirkpatrick, 91 Mich 364 (1892) — trespass to chattels (wrongful dominion/control).</w:t>
        </w:r>
      </w:hyperlink>
      <w:r w:rsidDel="00000000" w:rsidR="00000000" w:rsidRPr="00000000">
        <w:rPr>
          <w:rtl w:val="0"/>
        </w:rPr>
      </w:r>
    </w:p>
    <w:p w:rsidR="00000000" w:rsidDel="00000000" w:rsidP="00000000" w:rsidRDefault="00000000" w:rsidRPr="00000000" w14:paraId="0000006E">
      <w:pPr>
        <w:rPr/>
      </w:pPr>
      <w:hyperlink r:id="rId24">
        <w:r w:rsidDel="00000000" w:rsidR="00000000" w:rsidRPr="00000000">
          <w:rPr>
            <w:color w:val="0563c1"/>
            <w:u w:val="single"/>
            <w:rtl w:val="0"/>
          </w:rPr>
          <w:t xml:space="preserve">[19] The Rockwell Group, Inc. v NDS Radiology, PLLC, No. C06-2020-181073-CB (Kent Cty Bus Ct, Apr. 7, 2021) — modern trespass-to-chattels application.</w:t>
        </w:r>
      </w:hyperlink>
      <w:r w:rsidDel="00000000" w:rsidR="00000000" w:rsidRPr="00000000">
        <w:rPr>
          <w:rtl w:val="0"/>
        </w:rPr>
      </w:r>
    </w:p>
    <w:p w:rsidR="00000000" w:rsidDel="00000000" w:rsidP="00000000" w:rsidRDefault="00000000" w:rsidRPr="00000000" w14:paraId="0000006F">
      <w:pPr>
        <w:rPr/>
      </w:pPr>
      <w:hyperlink r:id="rId25">
        <w:r w:rsidDel="00000000" w:rsidR="00000000" w:rsidRPr="00000000">
          <w:rPr>
            <w:color w:val="0563c1"/>
            <w:u w:val="single"/>
            <w:rtl w:val="0"/>
          </w:rPr>
          <w:t xml:space="preserve">[20] Belle Isle Grill Corp v City of Detroit, 256 Mich App 463 (2003) — unjust enrichment elements &amp; limits.</w:t>
        </w:r>
      </w:hyperlink>
      <w:r w:rsidDel="00000000" w:rsidR="00000000" w:rsidRPr="00000000">
        <w:rPr>
          <w:rtl w:val="0"/>
        </w:rPr>
      </w:r>
    </w:p>
    <w:p w:rsidR="00000000" w:rsidDel="00000000" w:rsidP="00000000" w:rsidRDefault="00000000" w:rsidRPr="00000000" w14:paraId="00000070">
      <w:pPr>
        <w:rPr/>
      </w:pPr>
      <w:hyperlink r:id="rId26">
        <w:r w:rsidDel="00000000" w:rsidR="00000000" w:rsidRPr="00000000">
          <w:rPr>
            <w:color w:val="0563c1"/>
            <w:u w:val="single"/>
            <w:rtl w:val="0"/>
          </w:rPr>
          <w:t xml:space="preserve">[21] Karaus v Bank of New York Mellon, 300 Mich App 9 (2012) — unjust enrichment: direct-benefit requirement.</w:t>
        </w:r>
      </w:hyperlink>
      <w:r w:rsidDel="00000000" w:rsidR="00000000" w:rsidRPr="00000000">
        <w:rPr>
          <w:rtl w:val="0"/>
        </w:rPr>
      </w:r>
    </w:p>
    <w:p w:rsidR="00000000" w:rsidDel="00000000" w:rsidP="00000000" w:rsidRDefault="00000000" w:rsidRPr="00000000" w14:paraId="00000071">
      <w:pPr>
        <w:rPr/>
      </w:pPr>
      <w:hyperlink r:id="rId27">
        <w:r w:rsidDel="00000000" w:rsidR="00000000" w:rsidRPr="00000000">
          <w:rPr>
            <w:color w:val="0563c1"/>
            <w:u w:val="single"/>
            <w:rtl w:val="0"/>
          </w:rPr>
          <w:t xml:space="preserve">[22] Foodland Distributors v Al-Naimi, 220 Mich App 453 (1996) — veil-piercing test &amp; fraud/injustice.</w:t>
        </w:r>
      </w:hyperlink>
      <w:r w:rsidDel="00000000" w:rsidR="00000000" w:rsidRPr="00000000">
        <w:rPr>
          <w:rtl w:val="0"/>
        </w:rPr>
      </w:r>
    </w:p>
    <w:p w:rsidR="00000000" w:rsidDel="00000000" w:rsidP="00000000" w:rsidRDefault="00000000" w:rsidRPr="00000000" w14:paraId="00000072">
      <w:pPr>
        <w:rPr/>
      </w:pPr>
      <w:hyperlink r:id="rId28">
        <w:r w:rsidDel="00000000" w:rsidR="00000000" w:rsidRPr="00000000">
          <w:rPr>
            <w:color w:val="0563c1"/>
            <w:u w:val="single"/>
            <w:rtl w:val="0"/>
          </w:rPr>
          <w:t xml:space="preserve">[23] Green v Ziegelman, 282 Mich App 292 (2009) — veil-piercing posture &amp; procedure.</w:t>
        </w:r>
      </w:hyperlink>
      <w:r w:rsidDel="00000000" w:rsidR="00000000" w:rsidRPr="00000000">
        <w:rPr>
          <w:rtl w:val="0"/>
        </w:rPr>
      </w:r>
    </w:p>
    <w:p w:rsidR="00000000" w:rsidDel="00000000" w:rsidP="00000000" w:rsidRDefault="00000000" w:rsidRPr="00000000" w14:paraId="00000073">
      <w:pPr>
        <w:rPr/>
      </w:pPr>
      <w:hyperlink r:id="rId29">
        <w:r w:rsidDel="00000000" w:rsidR="00000000" w:rsidRPr="00000000">
          <w:rPr>
            <w:color w:val="0563c1"/>
            <w:u w:val="single"/>
            <w:rtl w:val="0"/>
          </w:rPr>
          <w:t xml:space="preserve">[24] Gallagher v Persha, 315 Mich App 647 (2016) — veil-piercing is a remedy, not an independent cause.</w:t>
        </w:r>
      </w:hyperlink>
      <w:r w:rsidDel="00000000" w:rsidR="00000000" w:rsidRPr="00000000">
        <w:rPr>
          <w:rtl w:val="0"/>
        </w:rPr>
      </w:r>
    </w:p>
    <w:sectPr>
      <w:footerReference r:id="rId30" w:type="default"/>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Pigors — Complaint Packet (Counts + Exhibits A &amp; B) | Generated 2025-09-28 13:23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law.justia.com/cases/michigan/supreme-court/2015/148907.html" TargetMode="External"/><Relationship Id="rId22" Type="http://schemas.openxmlformats.org/officeDocument/2006/relationships/hyperlink" Target="https://www.courts.michigan.gov/siteassets/case-documents/uploads/opinions/final/coa/20180717_c340507%2832%29_rptr_104o-340507-final-i.pdf" TargetMode="External"/><Relationship Id="rId21" Type="http://schemas.openxmlformats.org/officeDocument/2006/relationships/hyperlink" Target="https://law.justia.com/cases/michigan/supreme-court/1960/360-mich-434-2.html" TargetMode="External"/><Relationship Id="rId24" Type="http://schemas.openxmlformats.org/officeDocument/2006/relationships/hyperlink" Target="https://www.courts.michigan.gov/49653f/siteassets/business-court-opinions/c06-2020-181073-cb-%28april-07%2C-2021%29.pdf" TargetMode="External"/><Relationship Id="rId23" Type="http://schemas.openxmlformats.org/officeDocument/2006/relationships/hyperlink" Target="https://case-law.vlex.com/vid/burns-v-kirkpatrick-8970318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ts.michigan.gov/4a454f/siteassets/business-court-opinions/c16-2017-3336-cb-%28july-31%2C-2018%29.pdf" TargetMode="External"/><Relationship Id="rId26" Type="http://schemas.openxmlformats.org/officeDocument/2006/relationships/hyperlink" Target="https://www.courts.michigan.gov/siteassets/case-documents/uploads/opinions/final/coa/20121220_c307842%2853%29_rptr_40o-307842-final.pdf" TargetMode="External"/><Relationship Id="rId25" Type="http://schemas.openxmlformats.org/officeDocument/2006/relationships/hyperlink" Target="https://www.casemine.com/judgement/us/5914b801add7b04934782a41" TargetMode="External"/><Relationship Id="rId28" Type="http://schemas.openxmlformats.org/officeDocument/2006/relationships/hyperlink" Target="https://law.justia.com/cases/michigan/court-of-appeals-published/2009/20090203-c280624-57-17o-280624.html" TargetMode="External"/><Relationship Id="rId27" Type="http://schemas.openxmlformats.org/officeDocument/2006/relationships/hyperlink" Target="https://case-law.vlex.com/vid/foodland-distributors-v-naimi-890598883" TargetMode="External"/><Relationship Id="rId5" Type="http://schemas.openxmlformats.org/officeDocument/2006/relationships/styles" Target="styles.xml"/><Relationship Id="rId6" Type="http://schemas.openxmlformats.org/officeDocument/2006/relationships/hyperlink" Target="https://www.legislature.mi.gov/Laws/MCL?objectName=mcl-600-2918" TargetMode="External"/><Relationship Id="rId29" Type="http://schemas.openxmlformats.org/officeDocument/2006/relationships/hyperlink" Target="https://www.courts.michigan.gov/siteassets/case-documents/uploads/opinions/final/coa/20160609_c325471%2847%29_rptr_81o-325471-final.pdf" TargetMode="External"/><Relationship Id="rId7" Type="http://schemas.openxmlformats.org/officeDocument/2006/relationships/hyperlink" Target="https://www.casemine.com/judgement/us/59148d84add7b04934544682" TargetMode="External"/><Relationship Id="rId8" Type="http://schemas.openxmlformats.org/officeDocument/2006/relationships/hyperlink" Target="https://www.courts.michigan.gov/4a4959/siteassets/case-documents/uploads/opinions/final/coa/20110929_c296525_51_296525.opn.pdf" TargetMode="External"/><Relationship Id="rId30" Type="http://schemas.openxmlformats.org/officeDocument/2006/relationships/footer" Target="footer1.xml"/><Relationship Id="rId11" Type="http://schemas.openxmlformats.org/officeDocument/2006/relationships/hyperlink" Target="https://legislature.mi.gov/Laws/MCL?objectName=MCL-600-5781" TargetMode="External"/><Relationship Id="rId10" Type="http://schemas.openxmlformats.org/officeDocument/2006/relationships/hyperlink" Target="https://www.legislature.mi.gov/Laws/MCL?objectName=mcl-600-5775" TargetMode="External"/><Relationship Id="rId13" Type="http://schemas.openxmlformats.org/officeDocument/2006/relationships/hyperlink" Target="https://www.courts.michigan.gov/siteassets/publications/benchbooks/lltbb/lltbb.pdf" TargetMode="External"/><Relationship Id="rId12" Type="http://schemas.openxmlformats.org/officeDocument/2006/relationships/hyperlink" Target="https://www.courts.michigan.gov/4ab4f7/siteassets/forms/scao-approved/dc105a_new.pdf" TargetMode="External"/><Relationship Id="rId15" Type="http://schemas.openxmlformats.org/officeDocument/2006/relationships/hyperlink" Target="https://www.courts.michigan.gov/siteassets/rules-instructions-administrative-orders/michigan-court-rules/court-rules-book-ch-3-responsive-html5.zip/index.html" TargetMode="External"/><Relationship Id="rId14" Type="http://schemas.openxmlformats.org/officeDocument/2006/relationships/hyperlink" Target="https://www.courts.michigan.gov/siteassets/rules-instructions-administrative-orders/michigan-court-rules/court-rules-book-ch-2-responsive-html5.zip/index.html" TargetMode="External"/><Relationship Id="rId17" Type="http://schemas.openxmlformats.org/officeDocument/2006/relationships/hyperlink" Target="https://www.michbar.org/opinions/appeals/2012/022812/51004.pdf" TargetMode="External"/><Relationship Id="rId16" Type="http://schemas.openxmlformats.org/officeDocument/2006/relationships/hyperlink" Target="https://caselaw.findlaw.com/mi-court-of-appeals/1178551.html" TargetMode="External"/><Relationship Id="rId19" Type="http://schemas.openxmlformats.org/officeDocument/2006/relationships/hyperlink" Target="https://www.casemine.com/judgement/us/5914877cadd7b049344e5891" TargetMode="External"/><Relationship Id="rId18" Type="http://schemas.openxmlformats.org/officeDocument/2006/relationships/hyperlink" Target="https://law.justia.com/cases/michigan/supreme-court/1981/61534-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