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Motion for Relief from Judgment</w:t>
      </w:r>
    </w:p>
    <w:p>
      <w:r>
        <w:t>STATE OF MICHIGAN</w:t>
      </w:r>
    </w:p>
    <w:p>
      <w:r>
        <w:t>14th CIRCUIT COURT – FAMILY DIVISION</w:t>
      </w:r>
    </w:p>
    <w:p>
      <w:r>
        <w:t>COUNTY OF MUSKEGON</w:t>
      </w:r>
    </w:p>
    <w:p/>
    <w:p>
      <w:pPr>
        <w:pStyle w:val="Heading2"/>
      </w:pPr>
      <w:r>
        <w:t>Plaintiff: Andrew J. Pigors</w:t>
      </w:r>
    </w:p>
    <w:p>
      <w:pPr>
        <w:pStyle w:val="Heading2"/>
      </w:pPr>
      <w:r>
        <w:t>Defendant: Emily Ann Watson</w:t>
      </w:r>
    </w:p>
    <w:p>
      <w:pPr>
        <w:pStyle w:val="Heading2"/>
      </w:pPr>
      <w:r>
        <w:t>Case No.: 2024-001507-DC</w:t>
      </w:r>
    </w:p>
    <w:p>
      <w:pPr>
        <w:pStyle w:val="Heading2"/>
      </w:pPr>
      <w:r>
        <w:t>Motion for Relief from Judgment</w:t>
      </w:r>
    </w:p>
    <w:p>
      <w:r>
        <w:t>The court’s failure to properly assess the 12 best interest factors under MCL 722.23 has resulted in a judgment that materially harms Lincoln’s well-being and must be reconsidered. Despite my demonstrated emotional bond with Lincoln and my consistent presence in his life, the court did not give proper weight to the love, stability, and material support I provide, as required by MCL 722.23(a), (b), and (c). Lincoln thrives under my care through structured educational activities and a secure home environment, which sharply contrasts with the instability in Emily’s household, involving her brother’s history of violence and substance abuse—issues the court failed to adequately address in violation of MCL 722.23(d), (e), and (k). The court further ignored Emily's moral fitness concerns, including her improper use of prescription medication, while failing to recognize my financial stability and proven ability to provide for Lincoln’s needs, disregarding MCL 722.23(g), even though I have secured steady employment and health insurance for Lincoln. Additionally, the Friend of the Court (FOC) failed in its duty to investigate and report on these issues, as required by MCL 552.505(1), including failing to fully examine household conditions and interview relevant witnesses. The court also overlooked Emily’s acts of parental alienation, such as withholding medical information and disregarding court-ordered parenting time, which violate MCL 722.23(j) and MCL 722.27a(9), and run contrary to Shade v. Wright, 291 Mich App 17 (2010), where fostering a child’s relationship with both parents was deemed essential. Additionally, newly discovered evidence of ongoing parental alienation and Emily's financial and moral fitness concerns, which surfaced after the trial, justifies relief under MCR 2.612(C)(1)(b), since this evidence could not have been reasonably presented during the original proceedings. Furthermore, the court’s failure to protect my due process rights contradicts Stanley v. Illinois, 405 U.S. 645 (1972), where the Supreme Court affirmed a father’s right to participate fully in custody decisions. Given these significant judicial errors and the harm to Lincoln’s well-being, I respectfully request that the court grant my motion for relief from judgment under MCR 2.612(C)(1)(a), (b), and (f), and reconsider the custody arrangement to prioritize Lincoln’s best interests in accordance with Michigan law.</w:t>
      </w:r>
    </w:p>
    <w:p/>
    <w:p>
      <w:pPr>
        <w:pStyle w:val="Heading2"/>
      </w:pPr>
      <w:r>
        <w:t>Relief Requested</w:t>
      </w:r>
    </w:p>
    <w:p>
      <w:r>
        <w:t xml:space="preserve">I respectfully request that the court: </w:t>
        <w:br/>
        <w:t>1. Grant relief from the judgment under MCR 2.612(C)(1) due to newly discovered evidence and significant judicial errors.</w:t>
        <w:br/>
        <w:t>2. Reassess custody of Lincoln based on the factors of MCL 722.23 and prioritize his well-being in accordance with these legal standards.</w:t>
        <w:br/>
        <w:t>3. Provide an expedited hearing date to avoid further harm to Lincoln's emotional and physical well-being.</w:t>
      </w:r>
    </w:p>
    <w:p/>
    <w:p>
      <w:pPr>
        <w:pStyle w:val="Heading2"/>
      </w:pPr>
      <w:r>
        <w:t>Respectfully Submitted</w:t>
      </w:r>
    </w:p>
    <w:p>
      <w:r>
        <w:t>Andrew J. Pigors</w:t>
      </w:r>
    </w:p>
    <w:p>
      <w:r>
        <w:t>1977 Whitehall Road</w:t>
      </w:r>
    </w:p>
    <w:p>
      <w:r>
        <w:t>Muskegon, MI 49445</w:t>
      </w:r>
    </w:p>
    <w:p>
      <w:r>
        <w:t>Date: September 4,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