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14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7395"/>
        <w:tblGridChange w:id="0">
          <w:tblGrid>
            <w:gridCol w:w="2745"/>
            <w:gridCol w:w="739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line="256.7994545454545" w:lineRule="auto"/>
              <w:ind w:left="-580" w:firstLine="0"/>
              <w:jc w:val="both"/>
              <w:rPr>
                <w:sz w:val="20"/>
                <w:szCs w:val="20"/>
              </w:rPr>
            </w:pPr>
            <w:r w:rsidDel="00000000" w:rsidR="00000000" w:rsidRPr="00000000">
              <w:rPr>
                <w:i w:val="1"/>
                <w:color w:val="548dd4"/>
                <w:sz w:val="20"/>
                <w:szCs w:val="20"/>
                <w:rtl w:val="0"/>
              </w:rPr>
              <w:t xml:space="preserve">Hasta </w:t>
            </w:r>
            <w:r w:rsidDel="00000000" w:rsidR="00000000" w:rsidRPr="00000000">
              <w:rPr>
                <w:sz w:val="20"/>
                <w:szCs w:val="20"/>
                <w:rtl w:val="0"/>
              </w:rPr>
              <w:t xml:space="preserve">Hasta el momento, se han desarrollado los siguientes avances en Electric VR:</w:t>
            </w:r>
          </w:p>
          <w:p w:rsidR="00000000" w:rsidDel="00000000" w:rsidP="00000000" w:rsidRDefault="00000000" w:rsidRPr="00000000" w14:paraId="0000000F">
            <w:pPr>
              <w:numPr>
                <w:ilvl w:val="0"/>
                <w:numId w:val="2"/>
              </w:numPr>
              <w:spacing w:after="0" w:afterAutospacing="0" w:line="256.7994545454545" w:lineRule="auto"/>
              <w:ind w:left="720" w:hanging="360"/>
              <w:jc w:val="both"/>
              <w:rPr>
                <w:sz w:val="20"/>
                <w:szCs w:val="20"/>
                <w:u w:val="none"/>
              </w:rPr>
            </w:pPr>
            <w:r w:rsidDel="00000000" w:rsidR="00000000" w:rsidRPr="00000000">
              <w:rPr>
                <w:sz w:val="20"/>
                <w:szCs w:val="20"/>
                <w:rtl w:val="0"/>
              </w:rPr>
              <w:t xml:space="preserve">Implementación de mecánicas de interacción, como el uso del casco de seguridad virtual, que permite a los técnicos comprender la importancia de esta medida de seguridad en un entorno de realidad virtual.</w:t>
            </w:r>
          </w:p>
          <w:p w:rsidR="00000000" w:rsidDel="00000000" w:rsidP="00000000" w:rsidRDefault="00000000" w:rsidRPr="00000000" w14:paraId="00000010">
            <w:pPr>
              <w:numPr>
                <w:ilvl w:val="0"/>
                <w:numId w:val="2"/>
              </w:numPr>
              <w:spacing w:line="256.7994545454545" w:lineRule="auto"/>
              <w:ind w:left="720" w:hanging="360"/>
              <w:jc w:val="both"/>
              <w:rPr>
                <w:sz w:val="20"/>
                <w:szCs w:val="20"/>
                <w:u w:val="none"/>
              </w:rPr>
            </w:pPr>
            <w:r w:rsidDel="00000000" w:rsidR="00000000" w:rsidRPr="00000000">
              <w:rPr>
                <w:sz w:val="20"/>
                <w:szCs w:val="20"/>
                <w:rtl w:val="0"/>
              </w:rPr>
              <w:t xml:space="preserve">Creación de un escenario de entrenamiento que simula un ambiente eléctrico realista, donde se pueden practicar protocolos de corte y reposición.</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2">
            <w:pPr>
              <w:spacing w:line="256.7994545454545" w:lineRule="auto"/>
              <w:ind w:left="0" w:firstLine="0"/>
              <w:jc w:val="both"/>
              <w:rPr>
                <w:sz w:val="20"/>
                <w:szCs w:val="20"/>
              </w:rPr>
            </w:pPr>
            <w:r w:rsidDel="00000000" w:rsidR="00000000" w:rsidRPr="00000000">
              <w:rPr>
                <w:sz w:val="20"/>
                <w:szCs w:val="20"/>
                <w:rtl w:val="0"/>
              </w:rPr>
              <w:t xml:space="preserve">El objetivo de nuestro proyecto es la capacitación de manera remota en las sucursales de la empresa Chilquinta, nos enfocamos en el proceso de “corte y reposición de la caja”, lo cual agilizará la capacitación;  se ha ajustado para incluir un enfoque más específico en la prevención de riesgos eléctricos. Ahora se busca, además, que el programa no solo instruya en procedimientos, sino que también refuerce la conciencia de los riesgos y las medidas preventivas a través de escenarios interactivos en VR.</w:t>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sz w:val="20"/>
                <w:szCs w:val="20"/>
              </w:rPr>
            </w:pPr>
            <w:r w:rsidDel="00000000" w:rsidR="00000000" w:rsidRPr="00000000">
              <w:rPr>
                <w:sz w:val="20"/>
                <w:szCs w:val="20"/>
                <w:rtl w:val="0"/>
              </w:rPr>
              <w:t xml:space="preserve">La metodología que usamos para el trabajo es la “scrum” esta se centra en la entrega incremental de productos, fomentando la colaboración, la flexibilidad y la mejora continua.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Evidencias: </w:t>
            </w:r>
          </w:p>
          <w:p w:rsidR="00000000" w:rsidDel="00000000" w:rsidP="00000000" w:rsidRDefault="00000000" w:rsidRPr="00000000" w14:paraId="0000001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Fotografías y videos del proyecto (visualización en unity del proyecto)</w:t>
            </w:r>
          </w:p>
          <w:p w:rsidR="00000000" w:rsidDel="00000000" w:rsidP="00000000" w:rsidRDefault="00000000" w:rsidRPr="00000000" w14:paraId="00000018">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Figma (prototipo)</w:t>
            </w:r>
          </w:p>
          <w:p w:rsidR="00000000" w:rsidDel="00000000" w:rsidP="00000000" w:rsidRDefault="00000000" w:rsidRPr="00000000" w14:paraId="00000019">
            <w:pPr>
              <w:numPr>
                <w:ilvl w:val="0"/>
                <w:numId w:val="1"/>
              </w:numPr>
              <w:ind w:left="720" w:hanging="360"/>
              <w:jc w:val="both"/>
              <w:rPr>
                <w:sz w:val="20"/>
                <w:szCs w:val="20"/>
                <w:u w:val="none"/>
              </w:rPr>
            </w:pPr>
            <w:r w:rsidDel="00000000" w:rsidR="00000000" w:rsidRPr="00000000">
              <w:rPr>
                <w:sz w:val="20"/>
                <w:szCs w:val="20"/>
                <w:rtl w:val="0"/>
              </w:rPr>
              <w:t xml:space="preserve">Planilla de requerimientos</w:t>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W w:w="987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70"/>
            <w:tblGridChange w:id="0">
              <w:tblGrid>
                <w:gridCol w:w="9870"/>
              </w:tblGrid>
            </w:tblGridChange>
          </w:tblGrid>
          <w:tr>
            <w:trPr>
              <w:cantSplit w:val="0"/>
              <w:trHeight w:val="368.63411458333303"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D">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p>
            </w:tc>
          </w:tr>
        </w:tbl>
      </w:sdtContent>
    </w:sdt>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tbl>
      <w:tblPr>
        <w:tblStyle w:val="Table4"/>
        <w:tblW w:w="10350.0" w:type="dxa"/>
        <w:jc w:val="left"/>
        <w:tblInd w:w="-55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380"/>
        <w:gridCol w:w="1305"/>
        <w:gridCol w:w="1275"/>
        <w:gridCol w:w="1275"/>
        <w:gridCol w:w="1275"/>
        <w:gridCol w:w="1425"/>
        <w:gridCol w:w="855"/>
        <w:tblGridChange w:id="0">
          <w:tblGrid>
            <w:gridCol w:w="1560"/>
            <w:gridCol w:w="1380"/>
            <w:gridCol w:w="1305"/>
            <w:gridCol w:w="1275"/>
            <w:gridCol w:w="1275"/>
            <w:gridCol w:w="1275"/>
            <w:gridCol w:w="142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1">
            <w:pPr>
              <w:jc w:val="both"/>
              <w:rPr>
                <w:i w:val="1"/>
                <w:sz w:val="18"/>
                <w:szCs w:val="18"/>
              </w:rPr>
            </w:pPr>
            <w:r w:rsidDel="00000000" w:rsidR="00000000" w:rsidRPr="00000000">
              <w:rPr>
                <w:i w:val="1"/>
                <w:sz w:val="18"/>
                <w:szCs w:val="18"/>
                <w:rtl w:val="0"/>
              </w:rPr>
              <w:t xml:space="preserve">1. Acceso a Información</w:t>
            </w:r>
          </w:p>
          <w:p w:rsidR="00000000" w:rsidDel="00000000" w:rsidP="00000000" w:rsidRDefault="00000000" w:rsidRPr="00000000" w14:paraId="00000032">
            <w:pPr>
              <w:jc w:val="both"/>
              <w:rPr>
                <w:b w:val="1"/>
                <w:sz w:val="18"/>
                <w:szCs w:val="18"/>
              </w:rPr>
            </w:pPr>
            <w:r w:rsidDel="00000000" w:rsidR="00000000" w:rsidRPr="00000000">
              <w:rPr>
                <w:i w:val="1"/>
                <w:sz w:val="18"/>
                <w:szCs w:val="18"/>
                <w:rtl w:val="0"/>
              </w:rPr>
              <w:t xml:space="preserve">El acceso a fuentes de información y expertos en seguridad ayuda a definir las mejores prácticas y protocolos de prevención, asegurando que las simulaciones sean seguras y realistas.</w:t>
            </w:r>
            <w:r w:rsidDel="00000000" w:rsidR="00000000" w:rsidRPr="00000000">
              <w:rPr>
                <w:rtl w:val="0"/>
              </w:rPr>
            </w:r>
          </w:p>
        </w:tc>
        <w:tc>
          <w:tcPr/>
          <w:p w:rsidR="00000000" w:rsidDel="00000000" w:rsidP="00000000" w:rsidRDefault="00000000" w:rsidRPr="00000000" w14:paraId="00000033">
            <w:pPr>
              <w:jc w:val="both"/>
              <w:rPr>
                <w:i w:val="1"/>
                <w:sz w:val="18"/>
                <w:szCs w:val="18"/>
              </w:rPr>
            </w:pPr>
            <w:r w:rsidDel="00000000" w:rsidR="00000000" w:rsidRPr="00000000">
              <w:rPr>
                <w:sz w:val="18"/>
                <w:szCs w:val="18"/>
                <w:rtl w:val="0"/>
              </w:rPr>
              <w:t xml:space="preserve">1)Recolección de información, análisis de requisitos con Chilquinta.</w:t>
            </w:r>
            <w:r w:rsidDel="00000000" w:rsidR="00000000" w:rsidRPr="00000000">
              <w:rPr>
                <w:rtl w:val="0"/>
              </w:rPr>
            </w:r>
          </w:p>
        </w:tc>
        <w:tc>
          <w:tcPr/>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1)Cuenta de Unity</w:t>
            </w:r>
          </w:p>
          <w:p w:rsidR="00000000" w:rsidDel="00000000" w:rsidP="00000000" w:rsidRDefault="00000000" w:rsidRPr="00000000" w14:paraId="00000035">
            <w:pPr>
              <w:jc w:val="both"/>
              <w:rPr>
                <w:sz w:val="18"/>
                <w:szCs w:val="18"/>
              </w:rPr>
            </w:pPr>
            <w:r w:rsidDel="00000000" w:rsidR="00000000" w:rsidRPr="00000000">
              <w:rPr>
                <w:rtl w:val="0"/>
              </w:rPr>
            </w:r>
          </w:p>
        </w:tc>
        <w:tc>
          <w:tcPr/>
          <w:p w:rsidR="00000000" w:rsidDel="00000000" w:rsidP="00000000" w:rsidRDefault="00000000" w:rsidRPr="00000000" w14:paraId="00000036">
            <w:pPr>
              <w:jc w:val="both"/>
              <w:rPr>
                <w:b w:val="1"/>
                <w:sz w:val="18"/>
                <w:szCs w:val="18"/>
              </w:rPr>
            </w:pPr>
            <w:r w:rsidDel="00000000" w:rsidR="00000000" w:rsidRPr="00000000">
              <w:rPr>
                <w:sz w:val="18"/>
                <w:szCs w:val="18"/>
                <w:rtl w:val="0"/>
              </w:rPr>
              <w:t xml:space="preserve">Semanas 1 - 2</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sz w:val="18"/>
                <w:szCs w:val="18"/>
              </w:rPr>
            </w:pPr>
            <w:r w:rsidDel="00000000" w:rsidR="00000000" w:rsidRPr="00000000">
              <w:rPr>
                <w:sz w:val="18"/>
                <w:szCs w:val="18"/>
                <w:rtl w:val="0"/>
              </w:rPr>
              <w:t xml:space="preserve">Luis Lagos</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sz w:val="18"/>
                <w:szCs w:val="18"/>
              </w:rPr>
            </w:pPr>
            <w:r w:rsidDel="00000000" w:rsidR="00000000" w:rsidRPr="00000000">
              <w:rPr>
                <w:sz w:val="18"/>
                <w:szCs w:val="18"/>
                <w:rtl w:val="0"/>
              </w:rPr>
              <w:t xml:space="preserve">Tener un acceso constante a los representantes de Chilquinta y disponer de documentación técnica clara pueden facilitar esta fase. Además, el uso de entrevistas para esclarecer los requisitos ayudaría a alinear la visión del equipo de desarrollo con las expectativas del cliente.</w:t>
            </w: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sz w:val="16"/>
                <w:szCs w:val="16"/>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3A">
            <w:pPr>
              <w:jc w:val="both"/>
              <w:rPr>
                <w:rFonts w:ascii="Calibri" w:cs="Calibri" w:eastAsia="Calibri" w:hAnsi="Calibri"/>
                <w:sz w:val="18"/>
                <w:szCs w:val="18"/>
              </w:rPr>
            </w:pPr>
            <w:r w:rsidDel="00000000" w:rsidR="00000000" w:rsidRPr="00000000">
              <w:rPr>
                <w:sz w:val="18"/>
                <w:szCs w:val="18"/>
                <w:rtl w:val="0"/>
              </w:rPr>
              <w:t xml:space="preserve">No ha habido ajustes</w:t>
            </w:r>
            <w:r w:rsidDel="00000000" w:rsidR="00000000" w:rsidRPr="00000000">
              <w:rPr>
                <w:rtl w:val="0"/>
              </w:rPr>
            </w:r>
          </w:p>
        </w:tc>
      </w:tr>
      <w:tr>
        <w:trPr>
          <w:cantSplit w:val="0"/>
          <w:trHeight w:val="850.3937007874016" w:hRule="atLeast"/>
          <w:tblHeader w:val="0"/>
        </w:trPr>
        <w:tc>
          <w:tcPr/>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2. Colaboración del Equipo</w:t>
            </w:r>
          </w:p>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La colaboración interna del equipo permite una distribución eficiente de tareas, acelerando el proceso de integración y superación de los retos encontrados.</w:t>
            </w:r>
          </w:p>
        </w:tc>
        <w:tc>
          <w:tcPr/>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2)Diseño del entorno virtual y de la interfaz de usuario.</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2)Video del proceso de “corte y reposición de la caja” de capacitación de Chilquinta.</w:t>
            </w:r>
          </w:p>
          <w:p w:rsidR="00000000" w:rsidDel="00000000" w:rsidP="00000000" w:rsidRDefault="00000000" w:rsidRPr="00000000" w14:paraId="000000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sz w:val="18"/>
                <w:szCs w:val="18"/>
              </w:rPr>
            </w:pPr>
            <w:r w:rsidDel="00000000" w:rsidR="00000000" w:rsidRPr="00000000">
              <w:rPr>
                <w:sz w:val="18"/>
                <w:szCs w:val="18"/>
                <w:rtl w:val="0"/>
              </w:rPr>
              <w:t xml:space="preserve">Semanas 3 - 6</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sz w:val="18"/>
                <w:szCs w:val="18"/>
              </w:rPr>
            </w:pPr>
            <w:r w:rsidDel="00000000" w:rsidR="00000000" w:rsidRPr="00000000">
              <w:rPr>
                <w:sz w:val="18"/>
                <w:szCs w:val="18"/>
                <w:rtl w:val="0"/>
              </w:rPr>
              <w:t xml:space="preserve">Matías Ruiz </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sz w:val="18"/>
                <w:szCs w:val="18"/>
              </w:rPr>
            </w:pPr>
            <w:r w:rsidDel="00000000" w:rsidR="00000000" w:rsidRPr="00000000">
              <w:rPr>
                <w:sz w:val="18"/>
                <w:szCs w:val="18"/>
                <w:rtl w:val="0"/>
              </w:rPr>
              <w:t xml:space="preserve">El equipo puede enfrentar desafíos en la creación de una interfaz intuitiva que capture todos los detalles necesarios sin abrumar al usuario. Además, recrear entornos realistas de trabajo podría ser complicado sin una referencia clara</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sz w:val="18"/>
                <w:szCs w:val="18"/>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sz w:val="18"/>
                <w:szCs w:val="18"/>
                <w:rtl w:val="0"/>
              </w:rPr>
              <w:t xml:space="preserve">No ha habido ajustes</w:t>
            </w:r>
            <w:r w:rsidDel="00000000" w:rsidR="00000000" w:rsidRPr="00000000">
              <w:rPr>
                <w:rtl w:val="0"/>
              </w:rPr>
            </w:r>
          </w:p>
        </w:tc>
      </w:tr>
      <w:tr>
        <w:trPr>
          <w:cantSplit w:val="0"/>
          <w:trHeight w:val="1133.8582677165355" w:hRule="atLeast"/>
          <w:tblHeader w:val="0"/>
        </w:trPr>
        <w:tc>
          <w:tcPr/>
          <w:p w:rsidR="00000000" w:rsidDel="00000000" w:rsidP="00000000" w:rsidRDefault="00000000" w:rsidRPr="00000000" w14:paraId="00000045">
            <w:pPr>
              <w:jc w:val="both"/>
              <w:rPr>
                <w:i w:val="1"/>
                <w:sz w:val="18"/>
                <w:szCs w:val="18"/>
              </w:rPr>
            </w:pPr>
            <w:r w:rsidDel="00000000" w:rsidR="00000000" w:rsidRPr="00000000">
              <w:rPr>
                <w:rtl w:val="0"/>
              </w:rPr>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3)Programación y desarrollo del entorno VR.</w:t>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sz w:val="18"/>
                <w:szCs w:val="18"/>
                <w:rtl w:val="0"/>
              </w:rPr>
              <w:t xml:space="preserve">3)VR Meta quest 2 y/o 3.</w:t>
            </w:r>
            <w:r w:rsidDel="00000000" w:rsidR="00000000" w:rsidRPr="00000000">
              <w:rPr>
                <w:rtl w:val="0"/>
              </w:rPr>
            </w:r>
          </w:p>
        </w:tc>
        <w:tc>
          <w:tcPr/>
          <w:p w:rsidR="00000000" w:rsidDel="00000000" w:rsidP="00000000" w:rsidRDefault="00000000" w:rsidRPr="00000000" w14:paraId="00000048">
            <w:pPr>
              <w:jc w:val="both"/>
              <w:rPr>
                <w:rFonts w:ascii="Calibri" w:cs="Calibri" w:eastAsia="Calibri" w:hAnsi="Calibri"/>
                <w:sz w:val="18"/>
                <w:szCs w:val="18"/>
              </w:rPr>
            </w:pPr>
            <w:r w:rsidDel="00000000" w:rsidR="00000000" w:rsidRPr="00000000">
              <w:rPr>
                <w:sz w:val="18"/>
                <w:szCs w:val="18"/>
                <w:rtl w:val="0"/>
              </w:rPr>
              <w:t xml:space="preserve">Semanas 7 - 11</w:t>
            </w:r>
            <w:r w:rsidDel="00000000" w:rsidR="00000000" w:rsidRPr="00000000">
              <w:rPr>
                <w:rtl w:val="0"/>
              </w:rPr>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Jorge</w:t>
            </w:r>
          </w:p>
          <w:p w:rsidR="00000000" w:rsidDel="00000000" w:rsidP="00000000" w:rsidRDefault="00000000" w:rsidRPr="00000000" w14:paraId="0000004A">
            <w:pPr>
              <w:jc w:val="both"/>
              <w:rPr>
                <w:rFonts w:ascii="Calibri" w:cs="Calibri" w:eastAsia="Calibri" w:hAnsi="Calibri"/>
                <w:sz w:val="18"/>
                <w:szCs w:val="18"/>
              </w:rPr>
            </w:pPr>
            <w:r w:rsidDel="00000000" w:rsidR="00000000" w:rsidRPr="00000000">
              <w:rPr>
                <w:sz w:val="18"/>
                <w:szCs w:val="18"/>
                <w:rtl w:val="0"/>
              </w:rPr>
              <w:t xml:space="preserve">Ñancupil</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sz w:val="18"/>
                <w:szCs w:val="18"/>
              </w:rPr>
            </w:pPr>
            <w:r w:rsidDel="00000000" w:rsidR="00000000" w:rsidRPr="00000000">
              <w:rPr>
                <w:sz w:val="18"/>
                <w:szCs w:val="18"/>
                <w:rtl w:val="0"/>
              </w:rPr>
              <w:t xml:space="preserve">Contar con programadores experimentados en VR y disponer de un entorno de pruebas robusto facilita el proceso de desarrollo. El uso de bibliotecas o frameworks especializados en VR también puede acelerar la programación, reduciendo el tiempo de implementación.</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sz w:val="18"/>
                <w:szCs w:val="18"/>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sz w:val="18"/>
                <w:szCs w:val="18"/>
                <w:rtl w:val="0"/>
              </w:rPr>
              <w:t xml:space="preserve">No ha habido ajustes</w:t>
            </w:r>
            <w:r w:rsidDel="00000000" w:rsidR="00000000" w:rsidRPr="00000000">
              <w:rPr>
                <w:rtl w:val="0"/>
              </w:rPr>
            </w:r>
          </w:p>
        </w:tc>
      </w:tr>
      <w:tr>
        <w:trPr>
          <w:cantSplit w:val="0"/>
          <w:trHeight w:val="1417.3228346456694" w:hRule="atLeast"/>
          <w:tblHeader w:val="0"/>
        </w:trPr>
        <w:tc>
          <w:tcPr/>
          <w:p w:rsidR="00000000" w:rsidDel="00000000" w:rsidP="00000000" w:rsidRDefault="00000000" w:rsidRPr="00000000" w14:paraId="0000004E">
            <w:pPr>
              <w:jc w:val="both"/>
              <w:rPr>
                <w:i w:val="1"/>
                <w:sz w:val="18"/>
                <w:szCs w:val="18"/>
              </w:rPr>
            </w:pPr>
            <w:r w:rsidDel="00000000" w:rsidR="00000000" w:rsidRPr="00000000">
              <w:rPr>
                <w:rtl w:val="0"/>
              </w:rPr>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4)Pruebas de usuario, ajustes según el feedback recibido.</w:t>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sz w:val="18"/>
                <w:szCs w:val="18"/>
              </w:rPr>
            </w:pPr>
            <w:r w:rsidDel="00000000" w:rsidR="00000000" w:rsidRPr="00000000">
              <w:rPr>
                <w:sz w:val="18"/>
                <w:szCs w:val="18"/>
                <w:rtl w:val="0"/>
              </w:rPr>
              <w:t xml:space="preserve">Semanas 12 - 14</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sz w:val="18"/>
                <w:szCs w:val="18"/>
              </w:rPr>
            </w:pPr>
            <w:r w:rsidDel="00000000" w:rsidR="00000000" w:rsidRPr="00000000">
              <w:rPr>
                <w:sz w:val="18"/>
                <w:szCs w:val="18"/>
                <w:rtl w:val="0"/>
              </w:rPr>
              <w:t xml:space="preserve">Matias Ruiz  </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sz w:val="18"/>
                <w:szCs w:val="18"/>
              </w:rPr>
            </w:pPr>
            <w:r w:rsidDel="00000000" w:rsidR="00000000" w:rsidRPr="00000000">
              <w:rPr>
                <w:sz w:val="18"/>
                <w:szCs w:val="18"/>
                <w:rtl w:val="0"/>
              </w:rPr>
              <w:t xml:space="preserve">La participación  de usuario por parte de la empresa puede ser un piloto de pruebas que nos ayudaría para priorizar el feedback</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sz w:val="18"/>
                <w:szCs w:val="18"/>
              </w:rPr>
            </w:pPr>
            <w:r w:rsidDel="00000000" w:rsidR="00000000" w:rsidRPr="00000000">
              <w:rPr>
                <w:sz w:val="18"/>
                <w:szCs w:val="18"/>
                <w:rtl w:val="0"/>
              </w:rPr>
              <w:t xml:space="preserve">No iniciado</w:t>
            </w:r>
            <w:r w:rsidDel="00000000" w:rsidR="00000000" w:rsidRPr="00000000">
              <w:rPr>
                <w:rtl w:val="0"/>
              </w:rPr>
            </w:r>
          </w:p>
        </w:tc>
        <w:tc>
          <w:tcPr/>
          <w:p w:rsidR="00000000" w:rsidDel="00000000" w:rsidP="00000000" w:rsidRDefault="00000000" w:rsidRPr="00000000" w14:paraId="00000055">
            <w:pPr>
              <w:jc w:val="both"/>
              <w:rPr>
                <w:rFonts w:ascii="Calibri" w:cs="Calibri" w:eastAsia="Calibri" w:hAnsi="Calibri"/>
                <w:i w:val="1"/>
                <w:color w:val="548dd4"/>
                <w:sz w:val="18"/>
                <w:szCs w:val="18"/>
              </w:rPr>
            </w:pPr>
            <w:r w:rsidDel="00000000" w:rsidR="00000000" w:rsidRPr="00000000">
              <w:rPr>
                <w:sz w:val="18"/>
                <w:szCs w:val="18"/>
                <w:rtl w:val="0"/>
              </w:rPr>
              <w:t xml:space="preserve">No ha habido ajustes</w:t>
            </w:r>
            <w:r w:rsidDel="00000000" w:rsidR="00000000" w:rsidRPr="00000000">
              <w:rPr>
                <w:rtl w:val="0"/>
              </w:rPr>
            </w:r>
          </w:p>
        </w:tc>
      </w:tr>
      <w:tr>
        <w:trPr>
          <w:cantSplit w:val="0"/>
          <w:trHeight w:val="1133.8582677165355" w:hRule="atLeast"/>
          <w:tblHeader w:val="0"/>
        </w:trPr>
        <w:tc>
          <w:tcPr/>
          <w:p w:rsidR="00000000" w:rsidDel="00000000" w:rsidP="00000000" w:rsidRDefault="00000000" w:rsidRPr="00000000" w14:paraId="00000056">
            <w:pPr>
              <w:jc w:val="both"/>
              <w:rPr>
                <w:i w:val="1"/>
                <w:sz w:val="18"/>
                <w:szCs w:val="18"/>
              </w:rPr>
            </w:pPr>
            <w:r w:rsidDel="00000000" w:rsidR="00000000" w:rsidRPr="00000000">
              <w:rPr>
                <w:rtl w:val="0"/>
              </w:rPr>
            </w:r>
          </w:p>
        </w:tc>
        <w:tc>
          <w:tcPr/>
          <w:p w:rsidR="00000000" w:rsidDel="00000000" w:rsidP="00000000" w:rsidRDefault="00000000" w:rsidRPr="00000000" w14:paraId="00000057">
            <w:pPr>
              <w:jc w:val="both"/>
              <w:rPr>
                <w:sz w:val="18"/>
                <w:szCs w:val="18"/>
              </w:rPr>
            </w:pPr>
            <w:r w:rsidDel="00000000" w:rsidR="00000000" w:rsidRPr="00000000">
              <w:rPr>
                <w:i w:val="1"/>
                <w:sz w:val="18"/>
                <w:szCs w:val="18"/>
                <w:rtl w:val="0"/>
              </w:rPr>
              <w:t xml:space="preserve">5)Documentación final del proyecto y manuales de usuario.</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sz w:val="18"/>
                <w:szCs w:val="18"/>
              </w:rPr>
            </w:pPr>
            <w:r w:rsidDel="00000000" w:rsidR="00000000" w:rsidRPr="00000000">
              <w:rPr>
                <w:sz w:val="18"/>
                <w:szCs w:val="18"/>
                <w:rtl w:val="0"/>
              </w:rPr>
              <w:t xml:space="preserve">Semanas 15 - 16</w:t>
            </w: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sz w:val="18"/>
                <w:szCs w:val="18"/>
              </w:rPr>
            </w:pPr>
            <w:r w:rsidDel="00000000" w:rsidR="00000000" w:rsidRPr="00000000">
              <w:rPr>
                <w:sz w:val="18"/>
                <w:szCs w:val="18"/>
                <w:rtl w:val="0"/>
              </w:rPr>
              <w:t xml:space="preserve">Luis Lagos</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sz w:val="18"/>
                <w:szCs w:val="18"/>
              </w:rPr>
            </w:pPr>
            <w:r w:rsidDel="00000000" w:rsidR="00000000" w:rsidRPr="00000000">
              <w:rPr>
                <w:sz w:val="18"/>
                <w:szCs w:val="18"/>
                <w:rtl w:val="0"/>
              </w:rPr>
              <w:t xml:space="preserve">poseemos conocimientos previos sobre la documentación  y técnicas para aplicarlas en el proyecto</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sz w:val="18"/>
                <w:szCs w:val="18"/>
              </w:rPr>
            </w:pPr>
            <w:r w:rsidDel="00000000" w:rsidR="00000000" w:rsidRPr="00000000">
              <w:rPr>
                <w:sz w:val="18"/>
                <w:szCs w:val="18"/>
                <w:rtl w:val="0"/>
              </w:rPr>
              <w:t xml:space="preserve">No iniciado</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548dd4"/>
                <w:sz w:val="18"/>
                <w:szCs w:val="18"/>
              </w:rPr>
            </w:pPr>
            <w:r w:rsidDel="00000000" w:rsidR="00000000" w:rsidRPr="00000000">
              <w:rPr>
                <w:sz w:val="18"/>
                <w:szCs w:val="18"/>
                <w:rtl w:val="0"/>
              </w:rPr>
              <w:t xml:space="preserve">No ha habido ajustes</w:t>
            </w:r>
            <w:r w:rsidDel="00000000" w:rsidR="00000000" w:rsidRPr="00000000">
              <w:rPr>
                <w:rtl w:val="0"/>
              </w:rPr>
            </w:r>
          </w:p>
        </w:tc>
      </w:tr>
      <w:tr>
        <w:trPr>
          <w:cantSplit w:val="0"/>
          <w:trHeight w:val="1133.8582677165355" w:hRule="atLeast"/>
          <w:tblHeader w:val="0"/>
        </w:trPr>
        <w:tc>
          <w:tcPr/>
          <w:p w:rsidR="00000000" w:rsidDel="00000000" w:rsidP="00000000" w:rsidRDefault="00000000" w:rsidRPr="00000000" w14:paraId="0000005E">
            <w:pPr>
              <w:jc w:val="both"/>
              <w:rPr>
                <w:i w:val="1"/>
                <w:sz w:val="18"/>
                <w:szCs w:val="18"/>
              </w:rPr>
            </w:pPr>
            <w:r w:rsidDel="00000000" w:rsidR="00000000" w:rsidRPr="00000000">
              <w:rPr>
                <w:rtl w:val="0"/>
              </w:rPr>
            </w:r>
          </w:p>
        </w:tc>
        <w:tc>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6)Presentación del software y capacitación a instructores.</w:t>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sz w:val="18"/>
                <w:szCs w:val="18"/>
              </w:rPr>
            </w:pPr>
            <w:r w:rsidDel="00000000" w:rsidR="00000000" w:rsidRPr="00000000">
              <w:rPr>
                <w:sz w:val="18"/>
                <w:szCs w:val="18"/>
                <w:rtl w:val="0"/>
              </w:rPr>
              <w:t xml:space="preserve">Semanas 17 - 20</w:t>
            </w: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sz w:val="18"/>
                <w:szCs w:val="18"/>
              </w:rPr>
            </w:pPr>
            <w:r w:rsidDel="00000000" w:rsidR="00000000" w:rsidRPr="00000000">
              <w:rPr>
                <w:sz w:val="18"/>
                <w:szCs w:val="18"/>
                <w:rtl w:val="0"/>
              </w:rPr>
              <w:t xml:space="preserve">Jorge Ñancupil</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sz w:val="18"/>
                <w:szCs w:val="18"/>
              </w:rPr>
            </w:pPr>
            <w:r w:rsidDel="00000000" w:rsidR="00000000" w:rsidRPr="00000000">
              <w:rPr>
                <w:sz w:val="18"/>
                <w:szCs w:val="18"/>
                <w:rtl w:val="0"/>
              </w:rPr>
              <w:t xml:space="preserve">La disposición de instructores interesados en aprender y que valoren las ventajas de la VR facilitaría la implementación. Proporcionar materiales de apoyo y realizar demostraciones prácticas podría aumentar la aceptación y la confianza en el uso del software.</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sz w:val="18"/>
                <w:szCs w:val="18"/>
              </w:rPr>
            </w:pPr>
            <w:r w:rsidDel="00000000" w:rsidR="00000000" w:rsidRPr="00000000">
              <w:rPr>
                <w:sz w:val="18"/>
                <w:szCs w:val="18"/>
                <w:rtl w:val="0"/>
              </w:rPr>
              <w:t xml:space="preserve">No iniciado</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48dd4"/>
                <w:sz w:val="18"/>
                <w:szCs w:val="18"/>
              </w:rPr>
            </w:pPr>
            <w:r w:rsidDel="00000000" w:rsidR="00000000" w:rsidRPr="00000000">
              <w:rPr>
                <w:sz w:val="18"/>
                <w:szCs w:val="18"/>
                <w:rtl w:val="0"/>
              </w:rPr>
              <w:t xml:space="preserve">No ha habido ajustes</w:t>
            </w:r>
            <w:r w:rsidDel="00000000" w:rsidR="00000000" w:rsidRPr="00000000">
              <w:rPr>
                <w:rtl w:val="0"/>
              </w:rPr>
            </w:r>
          </w:p>
        </w:tc>
      </w:tr>
    </w:tbl>
    <w:p w:rsidR="00000000" w:rsidDel="00000000" w:rsidP="00000000" w:rsidRDefault="00000000" w:rsidRPr="00000000" w14:paraId="00000066">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B">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1. Acceso a Información</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El acceso a fuentes de información y expertos en seguridad ayuda a definir las mejores prácticas y protocolos de prevención, asegurando que las simulaciones sean seguras y realistas.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2. Colaboración del Equipo</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La colaboración interna del equipo permite una distribución eficiente de tareas, acelerando el proceso de integración y superación de los retos encontrados.</w:t>
            </w:r>
          </w:p>
          <w:p w:rsidR="00000000" w:rsidDel="00000000" w:rsidP="00000000" w:rsidRDefault="00000000" w:rsidRPr="00000000" w14:paraId="00000070">
            <w:pPr>
              <w:spacing w:after="240" w:before="240" w:line="276" w:lineRule="auto"/>
              <w:jc w:val="both"/>
              <w:rPr>
                <w:sz w:val="20"/>
                <w:szCs w:val="20"/>
              </w:rPr>
            </w:pPr>
            <w:r w:rsidDel="00000000" w:rsidR="00000000" w:rsidRPr="00000000">
              <w:rPr>
                <w:sz w:val="20"/>
                <w:szCs w:val="20"/>
                <w:rtl w:val="0"/>
              </w:rPr>
              <w:t xml:space="preserve">3. Falta de Conocimiento en Prevención de Riesgos</w:t>
            </w:r>
          </w:p>
          <w:p w:rsidR="00000000" w:rsidDel="00000000" w:rsidP="00000000" w:rsidRDefault="00000000" w:rsidRPr="00000000" w14:paraId="00000071">
            <w:pPr>
              <w:spacing w:after="240" w:before="240" w:line="276" w:lineRule="auto"/>
              <w:jc w:val="both"/>
              <w:rPr>
                <w:sz w:val="20"/>
                <w:szCs w:val="20"/>
              </w:rPr>
            </w:pPr>
            <w:r w:rsidDel="00000000" w:rsidR="00000000" w:rsidRPr="00000000">
              <w:rPr>
                <w:sz w:val="20"/>
                <w:szCs w:val="20"/>
                <w:rtl w:val="0"/>
              </w:rPr>
              <w:t xml:space="preserve">Uno de los principales desafíos es el desconocimiento técnico del equipo sobre los riesgos específicos en el proceso de corte y reposición. La necesidad de integrar medidas de seguridad realistas dentro de las simulaciones presenta un reto inicial.</w:t>
            </w:r>
          </w:p>
          <w:p w:rsidR="00000000" w:rsidDel="00000000" w:rsidP="00000000" w:rsidRDefault="00000000" w:rsidRPr="00000000" w14:paraId="00000072">
            <w:pPr>
              <w:spacing w:after="240" w:before="240" w:line="276" w:lineRule="auto"/>
              <w:jc w:val="both"/>
              <w:rPr>
                <w:sz w:val="20"/>
                <w:szCs w:val="20"/>
              </w:rPr>
            </w:pPr>
            <w:r w:rsidDel="00000000" w:rsidR="00000000" w:rsidRPr="00000000">
              <w:rPr>
                <w:sz w:val="20"/>
                <w:szCs w:val="20"/>
                <w:rtl w:val="0"/>
              </w:rPr>
              <w:t xml:space="preserve">4. Dificultad para Explicar Precauciones</w:t>
            </w:r>
          </w:p>
          <w:p w:rsidR="00000000" w:rsidDel="00000000" w:rsidP="00000000" w:rsidRDefault="00000000" w:rsidRPr="00000000" w14:paraId="00000073">
            <w:pPr>
              <w:spacing w:after="240" w:before="240" w:line="276" w:lineRule="auto"/>
              <w:jc w:val="both"/>
              <w:rPr>
                <w:i w:val="1"/>
                <w:color w:val="548dd4"/>
                <w:sz w:val="20"/>
                <w:szCs w:val="20"/>
              </w:rPr>
            </w:pPr>
            <w:r w:rsidDel="00000000" w:rsidR="00000000" w:rsidRPr="00000000">
              <w:rPr>
                <w:sz w:val="20"/>
                <w:szCs w:val="20"/>
                <w:rtl w:val="0"/>
              </w:rPr>
              <w:t xml:space="preserve">Traducir las precauciones de seguridad a una experiencia virtual comprensible y práctica sigue siendo un desafío, ya que requiere garantizar que las simulaciones sean tanto realistas como didácticas, enseñando claramente cómo evitar riesgos.</w:t>
            </w:r>
            <w:r w:rsidDel="00000000" w:rsidR="00000000" w:rsidRPr="00000000">
              <w:rPr>
                <w:rtl w:val="0"/>
              </w:rPr>
            </w:r>
          </w:p>
        </w:tc>
      </w:tr>
    </w:tbl>
    <w:p w:rsidR="00000000" w:rsidDel="00000000" w:rsidP="00000000" w:rsidRDefault="00000000" w:rsidRPr="00000000" w14:paraId="00000074">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5">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No hemos tenido ajustes o hemos eliminado partes de nuestro plan de trabajo, debido a que hemos tenido estos facilitadores:</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Acceso a Información: Contar con fuentes y expertos en seguridad permite definir prácticas y protocolos para crear simulaciones seguras y realistas.</w:t>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sz w:val="20"/>
                <w:szCs w:val="20"/>
                <w:rtl w:val="0"/>
              </w:rPr>
              <w:t xml:space="preserve">Colaboración del Equipo: La colaboración facilita una distribución eficiente de tareas, acelerando la integración y superación de desafíos.</w:t>
            </w:r>
            <w:r w:rsidDel="00000000" w:rsidR="00000000" w:rsidRPr="00000000">
              <w:rPr>
                <w:rtl w:val="0"/>
              </w:rPr>
            </w:r>
          </w:p>
        </w:tc>
      </w:tr>
    </w:tbl>
    <w:p w:rsidR="00000000" w:rsidDel="00000000" w:rsidP="00000000" w:rsidRDefault="00000000" w:rsidRPr="00000000" w14:paraId="0000007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B">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sz w:val="20"/>
                <w:szCs w:val="20"/>
                <w:rtl w:val="0"/>
              </w:rPr>
              <w:t xml:space="preserve">Las pruebas de usuario aún no han iniciado debido a un atraso en el desarrollo.</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0FkmgIjY/mAZ9RcT2hiWTrwTw==">CgMxLjAaHwoBMBIaChgICVIUChJ0YWJsZS53dDd0d3E5YXkxZXgyCGguZ2pkZ3hzOAByITFVZkJrYkVfRHBZeF9VMl9wM1pURUVyQjFGTm5TT3hSUA==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