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5.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w:t>
      </w:r>
      <w:r>
        <w:t xml:space="preserve"> </w:t>
      </w:r>
      <w:r>
        <w:t xml:space="preserve">based</w:t>
      </w:r>
      <w:r>
        <w:t xml:space="preserve"> </w:t>
      </w:r>
      <w:r>
        <w:t xml:space="preserve">sensitivities</w:t>
      </w:r>
      <w:r>
        <w:t xml:space="preserve"> </w:t>
      </w:r>
      <w:r>
        <w:t xml:space="preserve">and</w:t>
      </w:r>
      <w:r>
        <w:t xml:space="preserve"> </w:t>
      </w:r>
      <w:r>
        <w:t xml:space="preserve">shapes</w:t>
      </w:r>
      <w:r>
        <w:t xml:space="preserve"> </w:t>
      </w:r>
      <w:r>
        <w:t xml:space="preserve">of</w:t>
      </w:r>
      <w:r>
        <w:t xml:space="preserve"> </w:t>
      </w:r>
      <w:r>
        <w:t xml:space="preserve">the</w:t>
      </w:r>
      <w:r>
        <w:t xml:space="preserve"> </w:t>
      </w:r>
      <w:r>
        <w:t xml:space="preserve">thermal</w:t>
      </w:r>
      <w:r>
        <w:t xml:space="preserve"> </w:t>
      </w:r>
      <w:r>
        <w:t xml:space="preserve">niche:</w:t>
      </w:r>
      <w:r>
        <w:t xml:space="preserve"> </w:t>
      </w:r>
      <w:r>
        <w:t xml:space="preserve">patterns</w:t>
      </w:r>
      <w:r>
        <w:t xml:space="preserve"> </w:t>
      </w:r>
      <w:r>
        <w:t xml:space="preserve">and</w:t>
      </w:r>
      <w:r>
        <w:t xml:space="preserve"> </w:t>
      </w:r>
      <w:r>
        <w:t xml:space="preserve">trends</w:t>
      </w:r>
      <w:r>
        <w:t xml:space="preserve"> </w:t>
      </w:r>
      <w:r>
        <w:t xml:space="preserve">across</w:t>
      </w:r>
      <w:r>
        <w:t xml:space="preserve"> </w:t>
      </w:r>
      <w:r>
        <w:t xml:space="preserve">groundfish</w:t>
      </w:r>
      <w:r>
        <w:t xml:space="preserve"> </w:t>
      </w:r>
      <w:r>
        <w:t xml:space="preserve">species</w:t>
      </w:r>
      <w:r>
        <w:t xml:space="preserve"> </w:t>
      </w:r>
      <w:r>
        <w:t xml:space="preserve">in</w:t>
      </w:r>
      <w:r>
        <w:t xml:space="preserve"> </w:t>
      </w:r>
      <w:r>
        <w:t xml:space="preserve">the</w:t>
      </w:r>
      <w:r>
        <w:t xml:space="preserve"> </w:t>
      </w:r>
      <w:r>
        <w:t xml:space="preserve">NE</w:t>
      </w:r>
      <w:r>
        <w:t xml:space="preserve"> </w:t>
      </w:r>
      <w:r>
        <w:t xml:space="preserve">Pacific</w:t>
      </w:r>
    </w:p>
    <w:p>
      <w:pPr>
        <w:pStyle w:val="Author"/>
      </w:pPr>
      <w:r>
        <w:t xml:space="preserve">Eric</w:t>
      </w:r>
      <w:r>
        <w:t xml:space="preserve"> </w:t>
      </w:r>
      <w:r>
        <w:t xml:space="preserve">J.</w:t>
      </w:r>
      <w:r>
        <w:t xml:space="preserve"> </w:t>
      </w:r>
      <w:r>
        <w:t xml:space="preserve">Ward</w:t>
      </w:r>
      <w:r>
        <w:rPr>
          <w:vertAlign w:val="superscript"/>
        </w:rPr>
        <w:t xml:space="preserve">1</w:t>
      </w:r>
    </w:p>
    <w:p>
      <w:pPr>
        <w:pStyle w:val="FirstParagraph"/>
      </w:pPr>
      <w:r>
        <w:t xml:space="preserve">Sean, Philina, Lewis</w:t>
      </w:r>
      <w:r>
        <w:t xml:space="preserve"> </w:t>
      </w:r>
      <w:r>
        <w:t xml:space="preserve">others: Tim, Sam, Halle, Jameal, Chris, Scott, Kelli, Ole, Kayleigh, Mary, Kate, Jordan, Mike, Isaac</w:t>
      </w:r>
    </w:p>
    <w:p>
      <w:pPr>
        <w:pStyle w:val="BodyText"/>
      </w:pPr>
      <m:oMath>
        <m:sSup>
          <m:e>
            <m:r>
              <m:t>​</m:t>
            </m:r>
          </m:e>
          <m:sup>
            <m:r>
              <m:t>1</m:t>
            </m:r>
          </m:sup>
        </m:sSup>
      </m:oMath>
      <w:hyperlink r:id="rId20">
        <w:r>
          <w:rPr>
            <w:rStyle w:val="Hyperlink"/>
          </w:rPr>
          <w:t xml:space="preserve">eric.ward@noaa.gov</w:t>
        </w:r>
      </w:hyperlink>
      <w:r>
        <w:t xml:space="preserve">, Conservation Biology Division, Northwest Fisheries Science Center, National Marine Fisheries Service, National Oceanic and Atmospheric Administration, 2725 Montlake Blvd E, Seattle WA, 98112, USA</w:t>
      </w:r>
      <w:r>
        <w:br/>
      </w:r>
    </w:p>
    <w:bookmarkStart w:id="22" w:name="introduction"/>
    <w:p>
      <w:pPr>
        <w:pStyle w:val="Heading2"/>
      </w:pPr>
      <w:r>
        <w:t xml:space="preserve">Introduction</w:t>
      </w:r>
    </w:p>
    <w:p>
      <w:pPr>
        <w:pStyle w:val="FirstParagraph"/>
      </w:pPr>
      <w:r>
        <w:t xml:space="preserve">There have been rapid advancements in both the complexity of statistical approaches for modeling the spatiotemporal variability of species, and methods used to quantify environmental drivers on distribution—particularly in the face of climate change. Quantifying the tolerance of species to temperature or oxygen across its range may be useful for prioritizing species that may be most at risk, or for making future predictions to novel environments (unsampled areas, future predictions). These types of predictions have been used to understand how fish populations and the fisheries that depend on them may shift in response to climate change</w:t>
      </w:r>
      <w:r>
        <w:t xml:space="preserve"> </w:t>
      </w:r>
      <w:r>
        <w:t xml:space="preserve">(Rogers</w:t>
      </w:r>
      <w:r>
        <w:t xml:space="preserve"> </w:t>
      </w:r>
      <w:r>
        <w:rPr>
          <w:iCs/>
          <w:i/>
        </w:rPr>
        <w:t xml:space="preserve">et al.</w:t>
      </w:r>
      <w:r>
        <w:t xml:space="preserve">, 2019)</w:t>
      </w:r>
      <w:r>
        <w:t xml:space="preserve">, identify species tolerance limits</w:t>
      </w:r>
      <w:r>
        <w:t xml:space="preserve"> </w:t>
      </w:r>
      <w:r>
        <w:t xml:space="preserve">(Ern</w:t>
      </w:r>
      <w:r>
        <w:t xml:space="preserve"> </w:t>
      </w:r>
      <w:r>
        <w:rPr>
          <w:iCs/>
          <w:i/>
        </w:rPr>
        <w:t xml:space="preserve">et al.</w:t>
      </w:r>
      <w:r>
        <w:t xml:space="preserve">, 2017)</w:t>
      </w:r>
      <w:r>
        <w:t xml:space="preserve">, and understand the dynamics of invasive species</w:t>
      </w:r>
      <w:r>
        <w:t xml:space="preserve"> </w:t>
      </w:r>
      <w:r>
        <w:t xml:space="preserve">(Pertierra</w:t>
      </w:r>
      <w:r>
        <w:t xml:space="preserve"> </w:t>
      </w:r>
      <w:r>
        <w:rPr>
          <w:iCs/>
          <w:i/>
        </w:rPr>
        <w:t xml:space="preserve">et al.</w:t>
      </w:r>
      <w:r>
        <w:t xml:space="preserve">, 2017)</w:t>
      </w:r>
      <w:r>
        <w:t xml:space="preserve">.</w:t>
      </w:r>
    </w:p>
    <w:p>
      <w:pPr>
        <w:pStyle w:val="BodyText"/>
      </w:pPr>
      <w:r>
        <w:t xml:space="preserve">There are many frameworks and classes of models that have been used to describe spatiotemporal variation in environmental variables, such as temperature, with species ranges or viability. Among the more common frameworks include species distribution models (SDMs), environmental niche modeling (ENM), and habitat suitability models (HSM). While these approaches are often used interchangably, some previous authors have differentiated them—for example</w:t>
      </w:r>
      <w:r>
        <w:t xml:space="preserve"> </w:t>
      </w:r>
      <w:r>
        <w:t xml:space="preserve">(McInerny and Etienne, 2012)</w:t>
      </w:r>
      <w:r>
        <w:t xml:space="preserve"> </w:t>
      </w:r>
      <w:r>
        <w:t xml:space="preserve">distinguished SDMs from ENMs based on SDMs generally including dispersal or movement, and ENMs not. Regardless of the terminology used, a common thread across these approaches is to make inference about the distribution of environmental variables that an organism does or may potentially inhabit (often referred to as</w:t>
      </w:r>
      <w:r>
        <w:t xml:space="preserve"> </w:t>
      </w:r>
      <w:r>
        <w:t xml:space="preserve">‘</w:t>
      </w:r>
      <w:r>
        <w:t xml:space="preserve">niche</w:t>
      </w:r>
      <w:r>
        <w:t xml:space="preserve">’</w:t>
      </w:r>
      <w:r>
        <w:t xml:space="preserve">). Just as the names of analyses may be a source of confusing, there is a large variety of uses and interpretations of the term</w:t>
      </w:r>
      <w:r>
        <w:t xml:space="preserve"> </w:t>
      </w:r>
      <w:r>
        <w:t xml:space="preserve">‘</w:t>
      </w:r>
      <w:r>
        <w:t xml:space="preserve">niche</w:t>
      </w:r>
      <w:r>
        <w:t xml:space="preserve">’</w:t>
      </w:r>
      <w:r>
        <w:t xml:space="preserve"> </w:t>
      </w:r>
      <w:r>
        <w:t xml:space="preserve">(Araújo and Guisan, 2006)</w:t>
      </w:r>
      <w:r>
        <w:t xml:space="preserve">. We differentiate the realized niche (where a species occurs) from the larger fundamental niche (the environmental conditions that would permit a species to occur). We also follow previous authors in using the Grinellian niche to define the space that an organism may inhabit, constrained by environmental variables</w:t>
      </w:r>
      <w:r>
        <w:t xml:space="preserve"> </w:t>
      </w:r>
      <w:r>
        <w:t xml:space="preserve">(Tingley</w:t>
      </w:r>
      <w:r>
        <w:t xml:space="preserve"> </w:t>
      </w:r>
      <w:r>
        <w:rPr>
          <w:iCs/>
          <w:i/>
        </w:rPr>
        <w:t xml:space="preserve">et al.</w:t>
      </w:r>
      <w:r>
        <w:t xml:space="preserve">, 2009)</w:t>
      </w:r>
      <w:r>
        <w:t xml:space="preserve">.</w:t>
      </w:r>
    </w:p>
    <w:p>
      <w:pPr>
        <w:pStyle w:val="BodyText"/>
      </w:pPr>
      <w:r>
        <w:t xml:space="preserve">There are a number of existing approaches for quantifying the Grinnellian niche, or range of climatic conditions that a species might inhabit. Some previous studies have taken a largely empirical approach, using the observed range of environmental conditions where species are found</w:t>
      </w:r>
      <w:r>
        <w:t xml:space="preserve"> </w:t>
      </w:r>
      <w:r>
        <w:t xml:space="preserve">(Tingley</w:t>
      </w:r>
      <w:r>
        <w:t xml:space="preserve"> </w:t>
      </w:r>
      <w:r>
        <w:rPr>
          <w:iCs/>
          <w:i/>
        </w:rPr>
        <w:t xml:space="preserve">et al.</w:t>
      </w:r>
      <w:r>
        <w:t xml:space="preserve">, 2009)</w:t>
      </w:r>
      <w:r>
        <w:t xml:space="preserve">. Model based approaches have also been developed, generally with presence-only data (e.g. ecological niche factor analysis, MaxEnt), though assumptions about absences may be problematic in some settings</w:t>
      </w:r>
      <w:r>
        <w:t xml:space="preserve"> </w:t>
      </w:r>
      <w:r>
        <w:t xml:space="preserve">(Hirzel and Lay, 2008)</w:t>
      </w:r>
      <w:r>
        <w:t xml:space="preserve">. Recognizing that there’s no single approach that will perform best for all species and ecosystems</w:t>
      </w:r>
      <w:r>
        <w:t xml:space="preserve"> </w:t>
      </w:r>
      <w:r>
        <w:t xml:space="preserve">(Qiao</w:t>
      </w:r>
      <w:r>
        <w:t xml:space="preserve"> </w:t>
      </w:r>
      <w:r>
        <w:rPr>
          <w:iCs/>
          <w:i/>
        </w:rPr>
        <w:t xml:space="preserve">et al.</w:t>
      </w:r>
      <w:r>
        <w:t xml:space="preserve">, 2015)</w:t>
      </w:r>
      <w:r>
        <w:t xml:space="preserve">, we aim to develop a strictly model-based approach to estimate properties of the Grinnellian niche, using georeferenced surveys of biological and abiotic responses. (Probably talk about some other examples here, e.g.</w:t>
      </w:r>
      <w:r>
        <w:t xml:space="preserve"> </w:t>
      </w:r>
      <w:r>
        <w:t xml:space="preserve">Selden</w:t>
      </w:r>
      <w:r>
        <w:t xml:space="preserve"> </w:t>
      </w:r>
      <w:r>
        <w:rPr>
          <w:iCs/>
          <w:i/>
        </w:rPr>
        <w:t xml:space="preserve">et al.</w:t>
      </w:r>
      <w:r>
        <w:t xml:space="preserve"> </w:t>
      </w:r>
      <w:r>
        <w:t xml:space="preserve">(2018)</w:t>
      </w:r>
      <w:r>
        <w:t xml:space="preserve">)</w:t>
      </w:r>
    </w:p>
    <w:p>
      <w:pPr>
        <w:pStyle w:val="BodyText"/>
      </w:pPr>
      <w:r>
        <w:t xml:space="preserve">The objective of this paper is to extend existing spatiotemporal modeling tools to estimate the sensitivity of the thermal niche of groundfish species, and quantify changes in direction and width of the thermal niche through time. We focus on groundfish species from long term datasets from the Northeast Pacific Ocean. Using three long term fisheries independent datasets collected across a gradient of temperatures, we are able to (1) estimate the thermal niches for groundfish species to identify species with the widest and narrowest temperature affinities in each region, (2) ask whether differences in affinities exist between regions, and (3) develop spatial maps across species to identify areas of overlap. All code to reproduce our analysis is in our public Github repository,</w:t>
      </w:r>
      <w:r>
        <w:t xml:space="preserve"> </w:t>
      </w:r>
      <w:hyperlink r:id="rId21">
        <w:r>
          <w:rPr>
            <w:rStyle w:val="Hyperlink"/>
          </w:rPr>
          <w:t xml:space="preserve">https://github.com/fate-spatialindicators/consonants-static</w:t>
        </w:r>
      </w:hyperlink>
      <w:r>
        <w:t xml:space="preserve">.</w:t>
      </w:r>
    </w:p>
    <w:bookmarkEnd w:id="22"/>
    <w:bookmarkStart w:id="28" w:name="methods"/>
    <w:p>
      <w:pPr>
        <w:pStyle w:val="Heading2"/>
      </w:pPr>
      <w:r>
        <w:t xml:space="preserve">Methods</w:t>
      </w:r>
    </w:p>
    <w:bookmarkStart w:id="23" w:name="data"/>
    <w:p>
      <w:pPr>
        <w:pStyle w:val="Heading3"/>
      </w:pPr>
      <w:r>
        <w:t xml:space="preserve">Data</w:t>
      </w:r>
    </w:p>
    <w:p>
      <w:pPr>
        <w:pStyle w:val="FirstParagraph"/>
      </w:pPr>
      <w:r>
        <w:t xml:space="preserve">Around the world, trawl surveys of marine fishes are routinely conducted to support science and management; these surveys sample both commercially important species, as well as species of conservation concern. We used groundfish survey data across three regions in the Northeast Pacific Ocean: the west coast of the United States (COW), British Columbia (BC), and Gulf of Alaska (GOA). Data from the US west coast bottom trawl survey has been collected annually in since 2003</w:t>
      </w:r>
      <w:r>
        <w:t xml:space="preserve"> </w:t>
      </w:r>
      <w:r>
        <w:t xml:space="preserve">(Keller</w:t>
      </w:r>
      <w:r>
        <w:t xml:space="preserve"> </w:t>
      </w:r>
      <w:r>
        <w:rPr>
          <w:iCs/>
          <w:i/>
        </w:rPr>
        <w:t xml:space="preserve">et al.</w:t>
      </w:r>
      <w:r>
        <w:t xml:space="preserve">, n.d.)</w:t>
      </w:r>
      <w:r>
        <w:t xml:space="preserve">. Surveys in British Columbia have been conducted since 2005—these surveys are stratified in four regions, with two surveyed in odd years (Hecate Strait and Queen Charlotte Sound) and two in even years (West Coast Vancouver Island and West Coast Haida Gwaii)</w:t>
      </w:r>
      <w:r>
        <w:t xml:space="preserve"> </w:t>
      </w:r>
      <w:r>
        <w:t xml:space="preserve">(Sinclair</w:t>
      </w:r>
      <w:r>
        <w:t xml:space="preserve"> </w:t>
      </w:r>
      <w:r>
        <w:rPr>
          <w:iCs/>
          <w:i/>
        </w:rPr>
        <w:t xml:space="preserve">et al.</w:t>
      </w:r>
      <w:r>
        <w:t xml:space="preserve">, 2003; Anderson</w:t>
      </w:r>
      <w:r>
        <w:t xml:space="preserve"> </w:t>
      </w:r>
      <w:r>
        <w:rPr>
          <w:iCs/>
          <w:i/>
        </w:rPr>
        <w:t xml:space="preserve">et al.</w:t>
      </w:r>
      <w:r>
        <w:t xml:space="preserve">, 2019)</w:t>
      </w:r>
      <w:r>
        <w:t xml:space="preserve">. Finally, we used data from the Gulf of Alaska (GOA) bottom trawl survey on the continental shelf, which has been collected since 1984. This survey region extends from the Islands of Four Mountains in the Aleutian Islands to Dixon Entrance in Southeast Alaska. Prior to 1999, the GOA survey was conducted every three years, but since 1999 has been a biennial survey. Because of changes in the GOA sampling design and gear use in early years and 2001, we only included years 1990-1999, and 2003 - present. Because all three surveys in our analysis use a similar design (stratified random sampling), they allow for broad comparisons across regions.</w:t>
      </w:r>
    </w:p>
    <w:p>
      <w:pPr>
        <w:pStyle w:val="BodyText"/>
      </w:pPr>
      <w:r>
        <w:t xml:space="preserve">[Add sentence or two about temperature sampling]</w:t>
      </w:r>
    </w:p>
    <w:p>
      <w:pPr>
        <w:pStyle w:val="BodyText"/>
      </w:pPr>
      <w:r>
        <w:t xml:space="preserve">As each of these surveys collects data on a large number of species, we restricted our analysis to the more data - rich, restricting analyses to species with at least 50 observations in all survey years (n = COW, n = 24 in GOA, n = XX in BC).</w:t>
      </w:r>
    </w:p>
    <w:bookmarkEnd w:id="23"/>
    <w:bookmarkStart w:id="24" w:name="models"/>
    <w:p>
      <w:pPr>
        <w:pStyle w:val="Heading3"/>
      </w:pPr>
      <w:r>
        <w:t xml:space="preserve">Models</w:t>
      </w:r>
    </w:p>
    <w:p>
      <w:pPr>
        <w:pStyle w:val="FirstParagraph"/>
      </w:pPr>
      <w:r>
        <w:t xml:space="preserve">To estimate environmental affinities of groundfish species across the three survey regions, we extended a commonly used approach for these types of fisheries survey data. Spatiotemporal generalized linear mixed models (GLMMs) that have been widely used in fisheries to assess population status via index standardization</w:t>
      </w:r>
      <w:r>
        <w:t xml:space="preserve"> </w:t>
      </w:r>
      <w:r>
        <w:t xml:space="preserve">(Thorson</w:t>
      </w:r>
      <w:r>
        <w:t xml:space="preserve"> </w:t>
      </w:r>
      <w:r>
        <w:rPr>
          <w:iCs/>
          <w:i/>
        </w:rPr>
        <w:t xml:space="preserve">et al.</w:t>
      </w:r>
      <w:r>
        <w:t xml:space="preserve">, 2015)</w:t>
      </w:r>
      <w:r>
        <w:t xml:space="preserve">, quantify range shifts</w:t>
      </w:r>
      <w:r>
        <w:t xml:space="preserve"> </w:t>
      </w:r>
      <w:r>
        <w:t xml:space="preserve">(Thorson</w:t>
      </w:r>
      <w:r>
        <w:t xml:space="preserve"> </w:t>
      </w:r>
      <w:r>
        <w:rPr>
          <w:iCs/>
          <w:i/>
        </w:rPr>
        <w:t xml:space="preserve">et al.</w:t>
      </w:r>
      <w:r>
        <w:t xml:space="preserve">, 2016; Maureaud</w:t>
      </w:r>
      <w:r>
        <w:t xml:space="preserve"> </w:t>
      </w:r>
      <w:r>
        <w:rPr>
          <w:iCs/>
          <w:i/>
        </w:rPr>
        <w:t xml:space="preserve">et al.</w:t>
      </w:r>
      <w:r>
        <w:t xml:space="preserve">, 2021)</w:t>
      </w:r>
      <w:r>
        <w:t xml:space="preserve"> </w:t>
      </w:r>
      <w:r>
        <w:t xml:space="preserve">and identify spatial areas with high recruitment</w:t>
      </w:r>
      <w:r>
        <w:t xml:space="preserve"> </w:t>
      </w:r>
      <w:r>
        <w:t xml:space="preserve">(Tolimieri</w:t>
      </w:r>
      <w:r>
        <w:t xml:space="preserve"> </w:t>
      </w:r>
      <w:r>
        <w:rPr>
          <w:iCs/>
          <w:i/>
        </w:rPr>
        <w:t xml:space="preserve">et al.</w:t>
      </w:r>
      <w:r>
        <w:t xml:space="preserve">, 2020)</w:t>
      </w:r>
      <w:r>
        <w:t xml:space="preserve">. These spatiotemporal GLMMs are flexible in that commonly used distribution families can be used to model the response. Because fisheries data are often skewed and zero-inflated, it has been common for applications of these models to use a hurdle or delta-framework with two submodels, represnting a model for the probability of occurrence, and a second sub-model representing positive catch rates. Though flexible, a downside of this approach is that interpretation may be more complex, as covariates and spatial variation may influence both the presence absence and positive part of the model. Alternatives to the hurdle model include modeling total density with a hurdle model, which has been used previously in the analysis of catch per unit effort (CPUE data)</w:t>
      </w:r>
      <w:r>
        <w:t xml:space="preserve"> </w:t>
      </w:r>
      <w:r>
        <w:t xml:space="preserve">(Shono, 2008; Anderson</w:t>
      </w:r>
      <w:r>
        <w:t xml:space="preserve"> </w:t>
      </w:r>
      <w:r>
        <w:rPr>
          <w:iCs/>
          <w:i/>
        </w:rPr>
        <w:t xml:space="preserve">et al.</w:t>
      </w:r>
      <w:r>
        <w:t xml:space="preserve">, 2019)</w:t>
      </w:r>
      <w:r>
        <w:t xml:space="preserve">. For the purposes of our estimation of thermal niche widths, we used the Tweedie distribution to model total groundfish density.</w:t>
      </w:r>
    </w:p>
    <w:p>
      <w:pPr>
        <w:pStyle w:val="BodyText"/>
      </w:pPr>
      <w:r>
        <w:t xml:space="preserve">The general form of the spatiotemporal GLMM can be represented as</w:t>
      </w:r>
    </w:p>
    <w:p>
      <w:pPr>
        <w:pStyle w:val="BodyText"/>
      </w:pPr>
      <m:oMathPara>
        <m:oMathParaPr>
          <m:jc m:val="center"/>
        </m:oMathParaPr>
        <m:oMath>
          <m:sSub>
            <m:e>
              <m:r>
                <m:t>u</m:t>
              </m:r>
            </m:e>
            <m:sub>
              <m:r>
                <m:t>s</m:t>
              </m:r>
              <m:r>
                <m:rPr>
                  <m:sty m:val="p"/>
                </m:rPr>
                <m:t>,</m:t>
              </m:r>
              <m:r>
                <m:t>t</m:t>
              </m:r>
            </m:sub>
          </m:sSub>
          <m:r>
            <m:rPr>
              <m:sty m:val="p"/>
            </m:rPr>
            <m:t>=</m:t>
          </m:r>
          <m:sSup>
            <m:e>
              <m:r>
                <m:t>f</m:t>
              </m:r>
            </m:e>
            <m:sup>
              <m:r>
                <m:rPr>
                  <m:sty m:val="p"/>
                </m:rPr>
                <m:t>−</m:t>
              </m:r>
              <m:r>
                <m:t>1</m:t>
              </m:r>
            </m:sup>
          </m:sSup>
          <m:r>
            <m:rPr>
              <m:sty m:val="p"/>
            </m:rPr>
            <m:t>(</m:t>
          </m:r>
          <m:r>
            <m:rPr>
              <m:nor/>
              <m:sty m:val="b"/>
            </m:rPr>
            <m:t>X</m:t>
          </m:r>
          <m:r>
            <m:rPr>
              <m:nor/>
              <m:sty m:val="b"/>
            </m:rPr>
            <m:t>b</m:t>
          </m:r>
          <m:r>
            <m:rPr>
              <m:sty m:val="p"/>
            </m:rPr>
            <m:t>+</m:t>
          </m:r>
          <m:sSub>
            <m:e>
              <m:r>
                <m:rPr>
                  <m:sty m:val="b"/>
                </m:rPr>
                <m:t>ω</m:t>
              </m:r>
            </m:e>
            <m:sub>
              <m:r>
                <m:rPr>
                  <m:sty m:val="b"/>
                </m:rPr>
                <m:t>s</m:t>
              </m:r>
            </m:sub>
          </m:sSub>
          <m:r>
            <m:rPr>
              <m:sty m:val="p"/>
            </m:rPr>
            <m:t>+</m:t>
          </m:r>
          <m:sSub>
            <m:e>
              <m:r>
                <m:t>ϵ</m:t>
              </m:r>
            </m:e>
            <m:sub>
              <m:r>
                <m:t>s</m:t>
              </m:r>
              <m:r>
                <m:rPr>
                  <m:sty m:val="p"/>
                </m:rPr>
                <m:t>,</m:t>
              </m:r>
              <m:r>
                <m:t>t</m:t>
              </m:r>
            </m:sub>
          </m:sSub>
          <m:r>
            <m:rPr>
              <m:sty m:val="p"/>
            </m:rPr>
            <m:t>)</m:t>
          </m:r>
        </m:oMath>
      </m:oMathPara>
    </w:p>
    <w:p>
      <w:pPr>
        <w:pStyle w:val="FirstParagraph"/>
      </w:pPr>
      <w:r>
        <w:t xml:space="preserve">where like a GLM, the</w:t>
      </w:r>
      <w:r>
        <w:t xml:space="preserve"> </w:t>
      </w:r>
      <m:oMath>
        <m:sSub>
          <m:e>
            <m:r>
              <m:t>u</m:t>
            </m:r>
          </m:e>
          <m:sub>
            <m:r>
              <m:t>s</m:t>
            </m:r>
            <m:r>
              <m:rPr>
                <m:sty m:val="p"/>
              </m:rPr>
              <m:t>,</m:t>
            </m:r>
            <m:r>
              <m:t>t</m:t>
            </m:r>
          </m:sub>
        </m:sSub>
      </m:oMath>
      <w:r>
        <w:t xml:space="preserve"> </w:t>
      </w:r>
      <w:r>
        <w:t xml:space="preserve">represents the prediction at location</w:t>
      </w:r>
      <w:r>
        <w:t xml:space="preserve"> </w:t>
      </w:r>
      <m:oMath>
        <m:r>
          <m:t>s</m:t>
        </m:r>
      </m:oMath>
      <w:r>
        <w:t xml:space="preserve"> </w:t>
      </w:r>
      <w:r>
        <w:t xml:space="preserve">and time</w:t>
      </w:r>
      <w:r>
        <w:t xml:space="preserve"> </w:t>
      </w:r>
      <m:oMath>
        <m:r>
          <m:t>t</m:t>
        </m:r>
      </m:oMath>
      <w:r>
        <w:t xml:space="preserve"> </w:t>
      </w:r>
      <w:r>
        <w:t xml:space="preserve">in link space,</w:t>
      </w:r>
      <w:r>
        <w:t xml:space="preserve"> </w:t>
      </w:r>
      <m:oMath>
        <m:sSup>
          <m:e>
            <m:r>
              <m:t>f</m:t>
            </m:r>
          </m:e>
          <m:sup>
            <m:r>
              <m:rPr>
                <m:sty m:val="p"/>
              </m:rPr>
              <m:t>−</m:t>
            </m:r>
            <m:r>
              <m:t>1</m:t>
            </m:r>
          </m:sup>
        </m:sSup>
        <m:r>
          <m:rPr>
            <m:sty m:val="p"/>
          </m:rPr>
          <m:t>(</m:t>
        </m:r>
        <m:r>
          <m:rPr>
            <m:sty m:val="p"/>
          </m:rPr>
          <m:t>)</m:t>
        </m:r>
      </m:oMath>
      <w:r>
        <w:t xml:space="preserve"> </w:t>
      </w:r>
      <w:r>
        <w:t xml:space="preserve">is the inverse link function,</w:t>
      </w:r>
      <w:r>
        <w:t xml:space="preserve"> </w:t>
      </w:r>
      <m:oMath>
        <m:r>
          <m:rPr>
            <m:nor/>
            <m:sty m:val="b"/>
          </m:rPr>
          <m:t>X</m:t>
        </m:r>
      </m:oMath>
      <w:r>
        <w:t xml:space="preserve"> </w:t>
      </w:r>
      <w:r>
        <w:t xml:space="preserve">represents a matrix of fixed effects coefficients (year effects, depth or environmental covariates) with estimated coefficients</w:t>
      </w:r>
      <w:r>
        <w:t xml:space="preserve"> </w:t>
      </w:r>
      <m:oMath>
        <m:r>
          <m:rPr>
            <m:nor/>
            <m:sty m:val="b"/>
          </m:rPr>
          <m:t>b</m:t>
        </m:r>
      </m:oMath>
      <w:r>
        <w:t xml:space="preserve">. We separate the spatial variation</w:t>
      </w:r>
      <w:r>
        <w:t xml:space="preserve"> </w:t>
      </w:r>
      <m:oMath>
        <m:sSub>
          <m:e>
            <m:r>
              <m:rPr>
                <m:sty m:val="b"/>
              </m:rPr>
              <m:t>ω</m:t>
            </m:r>
          </m:e>
          <m:sub>
            <m:r>
              <m:rPr>
                <m:sty m:val="b"/>
              </m:rPr>
              <m:t>s</m:t>
            </m:r>
          </m:sub>
        </m:sSub>
        <m:r>
          <m:rPr>
            <m:sty m:val="p"/>
          </m:rPr>
          <m:t>∼</m:t>
        </m:r>
        <m:r>
          <m:t>M</m:t>
        </m:r>
        <m:r>
          <m:t>V</m:t>
        </m:r>
        <m:r>
          <m:t>N</m:t>
        </m:r>
        <m:r>
          <m:rPr>
            <m:sty m:val="p"/>
          </m:rPr>
          <m:t>(</m:t>
        </m:r>
        <m:r>
          <m:rPr>
            <m:sty m:val="b"/>
          </m:rPr>
          <m:t>0</m:t>
        </m:r>
        <m:r>
          <m:rPr>
            <m:sty m:val="p"/>
          </m:rPr>
          <m:t>,</m:t>
        </m:r>
        <m:sSub>
          <m:e>
            <m:r>
              <m:rPr>
                <m:sty m:val="b"/>
              </m:rPr>
              <m:t>Σ</m:t>
            </m:r>
          </m:e>
          <m:sub>
            <m:r>
              <m:rPr>
                <m:sty m:val="b"/>
              </m:rPr>
              <m:t>ω</m:t>
            </m:r>
          </m:sub>
        </m:sSub>
        <m:r>
          <m:rPr>
            <m:sty m:val="p"/>
          </m:rPr>
          <m:t>)</m:t>
        </m:r>
      </m:oMath>
      <w:r>
        <w:t xml:space="preserve">, from the year-to-year spatiotemporal variation</w:t>
      </w:r>
      <w:r>
        <w:t xml:space="preserve"> </w:t>
      </w:r>
      <m:oMath>
        <m:sSub>
          <m:e>
            <m:r>
              <m:rPr>
                <m:sty m:val="b"/>
              </m:rPr>
              <m:t>ϵ</m:t>
            </m:r>
          </m:e>
          <m:sub>
            <m:r>
              <m:rPr>
                <m:sty m:val="b"/>
              </m:rPr>
              <m:t>t</m:t>
            </m:r>
          </m:sub>
        </m:sSub>
        <m:r>
          <m:rPr>
            <m:sty m:val="p"/>
          </m:rPr>
          <m:t>∼</m:t>
        </m:r>
        <m:r>
          <m:t>M</m:t>
        </m:r>
        <m:r>
          <m:t>V</m:t>
        </m:r>
        <m:r>
          <m:t>N</m:t>
        </m:r>
        <m:r>
          <m:rPr>
            <m:sty m:val="p"/>
          </m:rPr>
          <m:t>(</m:t>
        </m:r>
        <m:r>
          <m:rPr>
            <m:sty m:val="b"/>
          </m:rPr>
          <m:t>0</m:t>
        </m:r>
        <m:r>
          <m:rPr>
            <m:sty m:val="p"/>
          </m:rPr>
          <m:t>,</m:t>
        </m:r>
        <m:sSub>
          <m:e>
            <m:r>
              <m:rPr>
                <m:sty m:val="b"/>
              </m:rPr>
              <m:t>Σ</m:t>
            </m:r>
          </m:e>
          <m:sub>
            <m:r>
              <m:rPr>
                <m:sty m:val="b"/>
              </m:rPr>
              <m:t>ϵ</m:t>
            </m:r>
          </m:sub>
        </m:sSub>
        <m:r>
          <m:rPr>
            <m:sty m:val="p"/>
          </m:rPr>
          <m:t>)</m:t>
        </m:r>
      </m:oMath>
      <w:r>
        <w:t xml:space="preserve">, where the spatial component represents a spatial intercept (as a random field) and the spatiotemporal component represents temporal deviations from that.</w:t>
      </w:r>
    </w:p>
    <w:p>
      <w:pPr>
        <w:pStyle w:val="BodyText"/>
      </w:pPr>
      <w:r>
        <w:t xml:space="preserve">We constructed separate GLMMs by region, but used the same structure. Each model included fixed year effects, and random spatial and spatiotemporal effects. We estimated the thermal sensitivities for each species by including in-situ bottom temperature as a quadratic fixed effect. Perhaps two biggest decisions in our modeling involved whether or not to include depth, and whether or not to center variables [EW: I don’t know we need this sentence]. Just as oxygen and altitude are correlated in SDMs of terrestrial species, depth and temperature are highly correlated through most of the range included in our analysis (Fig. S1); these types of relationships have shown to be problematic for some SDMs</w:t>
      </w:r>
      <w:r>
        <w:t xml:space="preserve"> </w:t>
      </w:r>
      <w:r>
        <w:t xml:space="preserve">(Júnior and Nóbrega, 2018; Feng</w:t>
      </w:r>
      <w:r>
        <w:t xml:space="preserve"> </w:t>
      </w:r>
      <w:r>
        <w:rPr>
          <w:iCs/>
          <w:i/>
        </w:rPr>
        <w:t xml:space="preserve">et al.</w:t>
      </w:r>
      <w:r>
        <w:t xml:space="preserve">, 2019)</w:t>
      </w:r>
      <w:r>
        <w:t xml:space="preserve">. Depth was log-transformed and included as a penalized regression spline to account for non-linearities, and temperature was included as a quadratic predictor in</w:t>
      </w:r>
      <w:r>
        <w:t xml:space="preserve"> </w:t>
      </w:r>
      <m:oMath>
        <m:r>
          <m:rPr>
            <m:nor/>
            <m:sty m:val="b"/>
          </m:rPr>
          <m:t>X</m:t>
        </m:r>
      </m:oMath>
      <w:r>
        <w:t xml:space="preserve">. Because of strong correlations between bottom temperature and depth on the west coast, we also ran models without depth included.</w:t>
      </w:r>
    </w:p>
    <w:p>
      <w:pPr>
        <w:pStyle w:val="BodyText"/>
      </w:pPr>
      <w:r>
        <w:t xml:space="preserve">Latent spatial random fields, representing spatial variation not explained by other covariates, were approximated using a triangulated mesh</w:t>
      </w:r>
      <w:r>
        <w:t xml:space="preserve"> </w:t>
      </w:r>
      <w:r>
        <w:t xml:space="preserve">(Lindgren</w:t>
      </w:r>
      <w:r>
        <w:t xml:space="preserve"> </w:t>
      </w:r>
      <w:r>
        <w:rPr>
          <w:iCs/>
          <w:i/>
        </w:rPr>
        <w:t xml:space="preserve">et al.</w:t>
      </w:r>
      <w:r>
        <w:t xml:space="preserve">, 2011)</w:t>
      </w:r>
      <w:r>
        <w:t xml:space="preserve"> </w:t>
      </w:r>
      <w:r>
        <w:t xml:space="preserve">with vertices at 350 knots as calculated with the INLA R package</w:t>
      </w:r>
      <w:r>
        <w:t xml:space="preserve"> </w:t>
      </w:r>
      <w:r>
        <w:t xml:space="preserve">(Rue</w:t>
      </w:r>
      <w:r>
        <w:t xml:space="preserve"> </w:t>
      </w:r>
      <w:r>
        <w:rPr>
          <w:iCs/>
          <w:i/>
        </w:rPr>
        <w:t xml:space="preserve">et al.</w:t>
      </w:r>
      <w:r>
        <w:t xml:space="preserve">, 2009)</w:t>
      </w:r>
      <w:r>
        <w:t xml:space="preserve">. We found the minimum log likelihood using the R nlminb optimization routine with Template Model Builder (TMB;</w:t>
      </w:r>
      <w:r>
        <w:t xml:space="preserve"> </w:t>
      </w:r>
      <w:r>
        <w:t xml:space="preserve">(Kristensen</w:t>
      </w:r>
      <w:r>
        <w:t xml:space="preserve"> </w:t>
      </w:r>
      <w:r>
        <w:rPr>
          <w:iCs/>
          <w:i/>
        </w:rPr>
        <w:t xml:space="preserve">et al.</w:t>
      </w:r>
      <w:r>
        <w:t xml:space="preserve">, 2016)</w:t>
      </w:r>
      <w:r>
        <w:t xml:space="preserve">) implementing the Laplace approximation to the marginal likelihood. TMB uses the generalized delta-method to calculate standard errors. Specifically, we fit all models in R 4.1.0 [r_core_team_2022] using the package sdmTMB</w:t>
      </w:r>
      <w:r>
        <w:t xml:space="preserve"> </w:t>
      </w:r>
      <w:r>
        <w:t xml:space="preserve">(</w:t>
      </w:r>
      <w:r>
        <w:rPr>
          <w:bCs/>
          <w:b/>
        </w:rPr>
        <w:t xml:space="preserve">anderson_sdmtmb_2022?</w:t>
      </w:r>
      <w:r>
        <w:t xml:space="preserve">)</w:t>
      </w:r>
      <w:r>
        <w:t xml:space="preserve"> </w:t>
      </w:r>
      <w:r>
        <w:t xml:space="preserve">which interfaces automatic differentiation in Template Model Builder</w:t>
      </w:r>
      <w:r>
        <w:t xml:space="preserve"> </w:t>
      </w:r>
      <w:r>
        <w:t xml:space="preserve">(Kristensen</w:t>
      </w:r>
      <w:r>
        <w:t xml:space="preserve"> </w:t>
      </w:r>
      <w:r>
        <w:rPr>
          <w:iCs/>
          <w:i/>
        </w:rPr>
        <w:t xml:space="preserve">et al.</w:t>
      </w:r>
      <w:r>
        <w:t xml:space="preserve">, 2016)</w:t>
      </w:r>
      <w:r>
        <w:t xml:space="preserve"> </w:t>
      </w:r>
      <w:r>
        <w:t xml:space="preserve">with INLA</w:t>
      </w:r>
      <w:r>
        <w:t xml:space="preserve"> </w:t>
      </w:r>
      <w:r>
        <w:t xml:space="preserve">(Rue</w:t>
      </w:r>
      <w:r>
        <w:t xml:space="preserve"> </w:t>
      </w:r>
      <w:r>
        <w:rPr>
          <w:iCs/>
          <w:i/>
        </w:rPr>
        <w:t xml:space="preserve">et al.</w:t>
      </w:r>
      <w:r>
        <w:t xml:space="preserve">, 2009)</w:t>
      </w:r>
      <w:r>
        <w:t xml:space="preserve">.</w:t>
      </w:r>
    </w:p>
    <w:bookmarkEnd w:id="24"/>
    <w:bookmarkStart w:id="25" w:name="X4de7216cb4ffcad7c3c6af03fbeabf06bea1341"/>
    <w:p>
      <w:pPr>
        <w:pStyle w:val="Heading3"/>
      </w:pPr>
      <w:r>
        <w:t xml:space="preserve">Estimating the sensitivity of the thermal niche</w:t>
      </w:r>
    </w:p>
    <w:p>
      <w:pPr>
        <w:pStyle w:val="FirstParagraph"/>
      </w:pPr>
      <w:r>
        <w:t xml:space="preserve">We used the estimated quadratic coefficients on temperature to define the sensitivity of the thermal niche. Based on the shape of the relationships (Fig. 1), a number of derived parameters can be used to describe the area or steepness —examples include minimum and maximum vertices (quadratic roots), width, height, or the effect of a change in 1 standard deviation on the peak density. As many of these derived quantities are highly correlated, we chose to focus on the estimated temperature corresponding to peak density (point</w:t>
      </w:r>
      <w:r>
        <w:t xml:space="preserve"> </w:t>
      </w:r>
      <m:oMath>
        <m:r>
          <m:rPr>
            <m:sty m:val="p"/>
          </m:rPr>
          <m:t>(</m:t>
        </m:r>
        <m:r>
          <m:t>c</m:t>
        </m:r>
        <m:r>
          <m:rPr>
            <m:sty m:val="p"/>
          </m:rPr>
          <m:t>)</m:t>
        </m:r>
      </m:oMath>
      <w:r>
        <w:t xml:space="preserve"> </w:t>
      </w:r>
      <w:r>
        <w:t xml:space="preserve">Fig. 1), and width or difference between vertices,</w:t>
      </w:r>
      <w:r>
        <w:t xml:space="preserve"> </w:t>
      </w:r>
      <m:oMath>
        <m:r>
          <m:rPr>
            <m:sty m:val="p"/>
          </m:rPr>
          <m:t>(</m:t>
        </m:r>
        <m:r>
          <m:t>b</m:t>
        </m:r>
        <m:r>
          <m:rPr>
            <m:sty m:val="p"/>
          </m:rPr>
          <m:t>)</m:t>
        </m:r>
        <m:r>
          <m:rPr>
            <m:sty m:val="p"/>
          </m:rPr>
          <m:t>−</m:t>
        </m:r>
        <m:r>
          <m:rPr>
            <m:sty m:val="p"/>
          </m:rPr>
          <m:t>(</m:t>
        </m:r>
        <m:r>
          <m:t>a</m:t>
        </m:r>
        <m:r>
          <m:rPr>
            <m:sty m:val="p"/>
          </m:rPr>
          <m:t>)</m:t>
        </m:r>
      </m:oMath>
      <w:r>
        <w:t xml:space="preserve">. The density of a species is estimated to increase over a range of temperatures between these vertices. Across species, those with broad ranges—or wide and shallow parabolas—are expected to be less sensitive to changes in temperature than those with narrow ranges.</w:t>
      </w:r>
    </w:p>
    <w:bookmarkEnd w:id="25"/>
    <w:bookmarkStart w:id="26" w:name="model-based-thermal-niche-widths"/>
    <w:p>
      <w:pPr>
        <w:pStyle w:val="Heading3"/>
      </w:pPr>
      <w:r>
        <w:t xml:space="preserve">Model based thermal niche widths</w:t>
      </w:r>
    </w:p>
    <w:p>
      <w:pPr>
        <w:pStyle w:val="FirstParagraph"/>
      </w:pPr>
      <w:r>
        <w:t xml:space="preserve">Decision: include uncertainty or no?</w:t>
      </w:r>
    </w:p>
    <w:bookmarkEnd w:id="26"/>
    <w:bookmarkStart w:id="27" w:name="regional-comparisons"/>
    <w:p>
      <w:pPr>
        <w:pStyle w:val="Heading3"/>
      </w:pPr>
      <w:r>
        <w:t xml:space="preserve">Regional comparisons</w:t>
      </w:r>
    </w:p>
    <w:p>
      <w:pPr>
        <w:pStyle w:val="FirstParagraph"/>
      </w:pPr>
      <w:r>
        <w:t xml:space="preserve">To compare results across ranges, we first focused on comparing the thermal niche width (range) and location (mid-point).</w:t>
      </w:r>
    </w:p>
    <w:p>
      <w:pPr>
        <w:pStyle w:val="BodyText"/>
      </w:pPr>
      <w:r>
        <w:t xml:space="preserve">Second, we looked at evidence for a relationships between the thermal niche width and and location</w:t>
      </w:r>
    </w:p>
    <w:bookmarkEnd w:id="27"/>
    <w:bookmarkEnd w:id="28"/>
    <w:bookmarkStart w:id="30" w:name="results"/>
    <w:p>
      <w:pPr>
        <w:pStyle w:val="Heading2"/>
      </w:pPr>
      <w:r>
        <w:t xml:space="preserve">Results</w:t>
      </w:r>
    </w:p>
    <w:p>
      <w:pPr>
        <w:pStyle w:val="FirstParagraph"/>
      </w:pPr>
      <w:r>
        <w:t xml:space="preserve">Thus, the interpretation of the temperature effects can be measured in terms of standard deviations (for a point at average depth and spatial location).</w:t>
      </w:r>
    </w:p>
    <w:p>
      <w:pPr>
        <w:pStyle w:val="BodyText"/>
      </w:pPr>
      <w:r>
        <w:t xml:space="preserve">Because these variables are centered, the interpretation for temperature effects represents the effect of a change of ~ 1 SD</w:t>
      </w:r>
    </w:p>
    <w:p>
      <w:pPr>
        <w:pStyle w:val="BodyText"/>
      </w:pPr>
      <w:r>
        <w:t xml:space="preserve">In general, comparing models across GOA / COW was tricky because a majority of</w:t>
      </w:r>
      <w:r>
        <w:t xml:space="preserve"> </w:t>
      </w:r>
      <w:r>
        <w:t xml:space="preserve">GOA: Pacific cod / northern rockfish / Dover sole seem like they’d benefit from cooler water. Spiny dogfish may benefit from warmer water.</w:t>
      </w:r>
    </w:p>
    <w:p>
      <w:pPr>
        <w:pStyle w:val="BodyText"/>
      </w:pPr>
      <w:r>
        <w:t xml:space="preserve">COW: deep species, darkblotched rockfish, tanner crab, thornyheads seem like they’d benefit from cooler water. Lingcod / sanddab / dungeness crab / stripetail &amp; chilipepper seem like they’d benefit from warmer water. [look at depths – lots of these spp are found in shallow/warmer water]</w:t>
      </w:r>
    </w:p>
    <w:bookmarkStart w:id="29" w:name="comparisons-across-regions"/>
    <w:p>
      <w:pPr>
        <w:pStyle w:val="Heading3"/>
      </w:pPr>
      <w:r>
        <w:t xml:space="preserve">Comparisons across regions</w:t>
      </w:r>
    </w:p>
    <w:p>
      <w:pPr>
        <w:pStyle w:val="FirstParagraph"/>
      </w:pPr>
      <w:r>
        <w:t xml:space="preserve">Some of the differences in COW / GOA surveys are that the COW survey is sampling some much deeper areas with greater frequency – there’s a super tight correlation between temp and depth in this range, and very little variation in temperature, which is perhaps why the deep spp have narrow thermal ranges. COW surveys have a wider range of temp values (more observations at both very cold and very warm temps)</w:t>
      </w:r>
    </w:p>
    <w:p>
      <w:pPr>
        <w:pStyle w:val="BodyText"/>
      </w:pPr>
      <w:r>
        <w:t xml:space="preserve">plot ideas: boxplots of niche widths by region, and midpoint values by region included below. Interesting relationship between COW midpoint vs range, but this might be spurious</w:t>
      </w:r>
    </w:p>
    <w:bookmarkEnd w:id="29"/>
    <w:bookmarkEnd w:id="30"/>
    <w:bookmarkStart w:id="31" w:name="discussion"/>
    <w:p>
      <w:pPr>
        <w:pStyle w:val="Heading2"/>
      </w:pPr>
      <w:r>
        <w:t xml:space="preserve">Discussion</w:t>
      </w:r>
    </w:p>
    <w:p>
      <w:pPr>
        <w:pStyle w:val="FirstParagraph"/>
      </w:pPr>
      <w:r>
        <w:t xml:space="preserve">To do</w:t>
      </w:r>
    </w:p>
    <w:bookmarkEnd w:id="31"/>
    <w:bookmarkStart w:id="36" w:name="figure-legend"/>
    <w:p>
      <w:pPr>
        <w:pStyle w:val="Heading2"/>
      </w:pPr>
      <w:r>
        <w:t xml:space="preserve">Figure Legend</w:t>
      </w:r>
    </w:p>
    <w:p>
      <w:pPr>
        <w:pStyle w:val="FirstParagraph"/>
      </w:pPr>
      <w:r>
        <w:t xml:space="preserve">Figure 1. Illustration of parameters that may be derived from quadratic relationships between temperature and density. Vertices (a) and (b) are interpreted as minimum and maximum values, and their difference, (b) - (a), represents the range of temperatures over which densities are expected to increase. Point (c) gives the temperature corresponding to maximum (or minimum) density (d). We quantify the effect of changing 1 standard deviation, (c) +/1 as (e); though to keep indicators on a relative scale, the ratio (d)/(e) can also be used.</w:t>
      </w:r>
    </w:p>
    <w:p>
      <w:pPr>
        <w:pStyle w:val="BodyText"/>
      </w:pPr>
      <w:r>
        <w:t xml:space="preserve">Figure 2. Estimated quadratic parameters for groundfish species in the California Current (COW), British Columbia (BC), and Gulf of Alaska (GOA). Points represent the estimated midpoint, and lines represent the estimated ranges (quadratic roots).</w:t>
      </w:r>
    </w:p>
    <w:p>
      <w:pPr>
        <w:pStyle w:val="BodyText"/>
      </w:pPr>
      <w:r>
        <w:t xml:space="preserve">Figure 3. Comparison of quadratic parameters, with and without depth included, for groundfish species in the California Current (COW), British Columbia (BC), and Gulf of Alaska (GOA). Points represent the estimated midpoint, and lines represent the estimated ranges (quadratic roots).</w:t>
      </w:r>
    </w:p>
    <w:p>
      <w:pPr>
        <w:pStyle w:val="CaptionedFigure"/>
      </w:pPr>
      <w:r>
        <w:drawing>
          <wp:inline>
            <wp:extent cx="5334000" cy="5334000"/>
            <wp:effectExtent b="0" l="0" r="0" t="0"/>
            <wp:docPr descr="Figure 1" title="" id="1" name="Picture"/>
            <a:graphic>
              <a:graphicData uri="http://schemas.openxmlformats.org/drawingml/2006/picture">
                <pic:pic>
                  <pic:nvPicPr>
                    <pic:cNvPr descr="static_paper_files/figure-docx/fig1-1.png" id="0"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w:t>
      </w:r>
    </w:p>
    <w:p>
      <w:pPr>
        <w:pStyle w:val="CaptionedFigure"/>
      </w:pPr>
      <w:r>
        <w:drawing>
          <wp:inline>
            <wp:extent cx="5334000" cy="4267200"/>
            <wp:effectExtent b="0" l="0" r="0" t="0"/>
            <wp:docPr descr="Figure 2" title="" id="1" name="Picture"/>
            <a:graphic>
              <a:graphicData uri="http://schemas.openxmlformats.org/drawingml/2006/picture">
                <pic:pic>
                  <pic:nvPicPr>
                    <pic:cNvPr descr="static_paper_files/figure-docx/fig2-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2</w:t>
      </w:r>
    </w:p>
    <w:p>
      <w:pPr>
        <w:pStyle w:val="BodyText"/>
      </w:pPr>
      <w:r>
        <w:drawing>
          <wp:inline>
            <wp:extent cx="5334000" cy="3556000"/>
            <wp:effectExtent b="0" l="0" r="0" t="0"/>
            <wp:docPr descr="" title="" id="1" name="Picture"/>
            <a:graphic>
              <a:graphicData uri="http://schemas.openxmlformats.org/drawingml/2006/picture">
                <pic:pic>
                  <pic:nvPicPr>
                    <pic:cNvPr descr="static_paper_files/figure-docx/fig-deptheffect-1.png" id="0" name="Picture"/>
                    <pic:cNvPicPr>
                      <a:picLocks noChangeArrowheads="1" noChangeAspect="1"/>
                    </pic:cNvPicPr>
                  </pic:nvPicPr>
                  <pic:blipFill>
                    <a:blip r:embed="rId34"/>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1" name="Picture"/>
            <a:graphic>
              <a:graphicData uri="http://schemas.openxmlformats.org/drawingml/2006/picture">
                <pic:pic>
                  <pic:nvPicPr>
                    <pic:cNvPr descr="static_paper_files/figure-docx/fig-dotplot-1.png" id="0" name="Picture"/>
                    <pic:cNvPicPr>
                      <a:picLocks noChangeArrowheads="1" noChangeAspect="1"/>
                    </pic:cNvPicPr>
                  </pic:nvPicPr>
                  <pic:blipFill>
                    <a:blip r:embed="rId35"/>
                    <a:stretch>
                      <a:fillRect/>
                    </a:stretch>
                  </pic:blipFill>
                  <pic:spPr bwMode="auto">
                    <a:xfrm>
                      <a:off x="0" y="0"/>
                      <a:ext cx="5334000" cy="3556000"/>
                    </a:xfrm>
                    <a:prstGeom prst="rect">
                      <a:avLst/>
                    </a:prstGeom>
                    <a:noFill/>
                    <a:ln w="9525">
                      <a:noFill/>
                      <a:headEnd/>
                      <a:tailEnd/>
                    </a:ln>
                  </pic:spPr>
                </pic:pic>
              </a:graphicData>
            </a:graphic>
          </wp:inline>
        </w:drawing>
      </w:r>
    </w:p>
    <w:bookmarkEnd w:id="36"/>
    <w:bookmarkStart w:id="83" w:name="references"/>
    <w:p>
      <w:pPr>
        <w:pStyle w:val="Heading2"/>
      </w:pPr>
      <w:r>
        <w:t xml:space="preserve">References</w:t>
      </w:r>
    </w:p>
    <w:bookmarkStart w:id="82" w:name="refs"/>
    <w:bookmarkStart w:id="38" w:name="ref-anderson_reproducible_2019"/>
    <w:p>
      <w:pPr>
        <w:pStyle w:val="Bibliography"/>
      </w:pPr>
      <w:r>
        <w:t xml:space="preserve">Anderson, S. C., Keppel, E. A., and Edwards, A. M. 2019. A reproducible data synopsis for over 100 species of</w:t>
      </w:r>
      <w:r>
        <w:t xml:space="preserve"> </w:t>
      </w:r>
      <w:r>
        <w:t xml:space="preserve">British</w:t>
      </w:r>
      <w:r>
        <w:t xml:space="preserve"> </w:t>
      </w:r>
      <w:r>
        <w:t xml:space="preserve">Columbia</w:t>
      </w:r>
      <w:r>
        <w:t xml:space="preserve"> </w:t>
      </w:r>
      <w:r>
        <w:t xml:space="preserve">groundfish. DFO Can. Sci. Advis. Sec. Res. Doc., 2019/041.</w:t>
      </w:r>
      <w:r>
        <w:t xml:space="preserve"> </w:t>
      </w:r>
      <w:hyperlink r:id="rId37">
        <w:r>
          <w:rPr>
            <w:rStyle w:val="Hyperlink"/>
          </w:rPr>
          <w:t xml:space="preserve">http://www.dfo-mpo.gc.ca/csas-sccs/Publications/ResDocs-DocRech/2019/2019_041-eng.html</w:t>
        </w:r>
      </w:hyperlink>
      <w:r>
        <w:t xml:space="preserve">.</w:t>
      </w:r>
    </w:p>
    <w:bookmarkEnd w:id="38"/>
    <w:bookmarkStart w:id="40" w:name="ref-araujo_five_2006"/>
    <w:p>
      <w:pPr>
        <w:pStyle w:val="Bibliography"/>
      </w:pPr>
      <w:r>
        <w:t xml:space="preserve">Araújo, M. B., and Guisan, A. 2006. Five (or so) challenges for species distribution modelling. Journal of Biogeography, 33: 1677–1688.</w:t>
      </w:r>
      <w:r>
        <w:t xml:space="preserve"> </w:t>
      </w:r>
      <w:hyperlink r:id="rId39">
        <w:r>
          <w:rPr>
            <w:rStyle w:val="Hyperlink"/>
          </w:rPr>
          <w:t xml:space="preserve">https://onlinelibrary.wiley.com/doi/abs/10.1111/j.1365-2699.2006.01584.x</w:t>
        </w:r>
      </w:hyperlink>
      <w:r>
        <w:t xml:space="preserve"> </w:t>
      </w:r>
      <w:r>
        <w:t xml:space="preserve">(Accessed 9 June 2021).</w:t>
      </w:r>
    </w:p>
    <w:bookmarkEnd w:id="40"/>
    <w:bookmarkStart w:id="42" w:name="ref-ern_effects_2017"/>
    <w:p>
      <w:pPr>
        <w:pStyle w:val="Bibliography"/>
      </w:pPr>
      <w:r>
        <w:t xml:space="preserve">Ern, R., Johansen, J. L., Rummer, J. L., and Esbaugh, A. J. 2017. Effects of hypoxia and ocean acidification on the upper thermal niche boundaries of coral reef fishes. Biology Letters, 13: 20170135.</w:t>
      </w:r>
      <w:r>
        <w:t xml:space="preserve"> </w:t>
      </w:r>
      <w:hyperlink r:id="rId41">
        <w:r>
          <w:rPr>
            <w:rStyle w:val="Hyperlink"/>
          </w:rPr>
          <w:t xml:space="preserve">https://royalsocietypublishing.org/doi/full/10.1098/rsbl.2017.0135</w:t>
        </w:r>
      </w:hyperlink>
      <w:r>
        <w:t xml:space="preserve"> </w:t>
      </w:r>
      <w:r>
        <w:t xml:space="preserve">(Accessed 15 June 2021).</w:t>
      </w:r>
    </w:p>
    <w:bookmarkEnd w:id="42"/>
    <w:bookmarkStart w:id="44" w:name="ref-feng_collinearity_2019"/>
    <w:p>
      <w:pPr>
        <w:pStyle w:val="Bibliography"/>
      </w:pPr>
      <w:r>
        <w:t xml:space="preserve">Feng, X., Park, D. S., Liang, Y., Pandey, R., and Papeş, M. 2019. Collinearity in ecological niche modeling:</w:t>
      </w:r>
      <w:r>
        <w:t xml:space="preserve"> </w:t>
      </w:r>
      <w:r>
        <w:t xml:space="preserve">Confusions</w:t>
      </w:r>
      <w:r>
        <w:t xml:space="preserve"> </w:t>
      </w:r>
      <w:r>
        <w:t xml:space="preserve">and challenges. Ecology and Evolution, 9: 10365–10376.</w:t>
      </w:r>
      <w:r>
        <w:t xml:space="preserve"> </w:t>
      </w:r>
      <w:hyperlink r:id="rId43">
        <w:r>
          <w:rPr>
            <w:rStyle w:val="Hyperlink"/>
          </w:rPr>
          <w:t xml:space="preserve">https://onlinelibrary.wiley.com/doi/abs/10.1002/ece3.5555</w:t>
        </w:r>
      </w:hyperlink>
      <w:r>
        <w:t xml:space="preserve"> </w:t>
      </w:r>
      <w:r>
        <w:t xml:space="preserve">(Accessed 9 June 2021).</w:t>
      </w:r>
    </w:p>
    <w:bookmarkEnd w:id="44"/>
    <w:bookmarkStart w:id="46" w:name="ref-givan_thermal_2018"/>
    <w:p>
      <w:pPr>
        <w:pStyle w:val="Bibliography"/>
      </w:pPr>
      <w:r>
        <w:t xml:space="preserve">Givan, O., Edelist, D., Sonin, O., and Belmaker, J. 2018. Thermal affinity as the dominant factor changing</w:t>
      </w:r>
      <w:r>
        <w:t xml:space="preserve"> </w:t>
      </w:r>
      <w:r>
        <w:t xml:space="preserve">Mediterranean</w:t>
      </w:r>
      <w:r>
        <w:t xml:space="preserve"> </w:t>
      </w:r>
      <w:r>
        <w:t xml:space="preserve">fish abundances. Global Change Biology, 24: e80–e89.</w:t>
      </w:r>
      <w:r>
        <w:t xml:space="preserve"> </w:t>
      </w:r>
      <w:hyperlink r:id="rId45">
        <w:r>
          <w:rPr>
            <w:rStyle w:val="Hyperlink"/>
          </w:rPr>
          <w:t xml:space="preserve">https://onlinelibrary.wiley.com/doi/abs/10.1111/gcb.13835</w:t>
        </w:r>
      </w:hyperlink>
      <w:r>
        <w:t xml:space="preserve"> </w:t>
      </w:r>
      <w:r>
        <w:t xml:space="preserve">(Accessed 18 June 2021).</w:t>
      </w:r>
    </w:p>
    <w:bookmarkEnd w:id="46"/>
    <w:bookmarkStart w:id="48" w:name="ref-hirzel_habitat_2008"/>
    <w:p>
      <w:pPr>
        <w:pStyle w:val="Bibliography"/>
      </w:pPr>
      <w:r>
        <w:t xml:space="preserve">Hirzel, A. H., and Lay, G. L. 2008. Habitat suitability modelling and niche theory. Journal of Applied Ecology, 45: 1372–1381.</w:t>
      </w:r>
      <w:r>
        <w:t xml:space="preserve"> </w:t>
      </w:r>
      <w:hyperlink r:id="rId47">
        <w:r>
          <w:rPr>
            <w:rStyle w:val="Hyperlink"/>
          </w:rPr>
          <w:t xml:space="preserve">https://besjournals.onlinelibrary.wiley.com/doi/abs/10.1111/j.1365-2664.2008.01524.x</w:t>
        </w:r>
      </w:hyperlink>
      <w:r>
        <w:t xml:space="preserve"> </w:t>
      </w:r>
      <w:r>
        <w:t xml:space="preserve">(Accessed 11 June 2021).</w:t>
      </w:r>
    </w:p>
    <w:bookmarkEnd w:id="48"/>
    <w:bookmarkStart w:id="50" w:name="ref-junior_evaluating_2018"/>
    <w:p>
      <w:pPr>
        <w:pStyle w:val="Bibliography"/>
      </w:pPr>
      <w:r>
        <w:t xml:space="preserve">Júnior, P. D. M., and Nóbrega, C. C. 2018. Evaluating collinearity effects on species distribution models:</w:t>
      </w:r>
      <w:r>
        <w:t xml:space="preserve"> </w:t>
      </w:r>
      <w:r>
        <w:t xml:space="preserve">An</w:t>
      </w:r>
      <w:r>
        <w:t xml:space="preserve"> </w:t>
      </w:r>
      <w:r>
        <w:t xml:space="preserve">approach based on virtual species simulation. PLOS ONE, 13: e0202403.</w:t>
      </w:r>
      <w:r>
        <w:t xml:space="preserve"> </w:t>
      </w:r>
      <w:hyperlink r:id="rId49">
        <w:r>
          <w:rPr>
            <w:rStyle w:val="Hyperlink"/>
          </w:rPr>
          <w:t xml:space="preserve">https://journals.plos.org/plosone/article?id=10.1371/journal.pone.0202403</w:t>
        </w:r>
      </w:hyperlink>
      <w:r>
        <w:t xml:space="preserve"> </w:t>
      </w:r>
      <w:r>
        <w:t xml:space="preserve">(Accessed 9 June 2021).</w:t>
      </w:r>
    </w:p>
    <w:bookmarkEnd w:id="50"/>
    <w:bookmarkStart w:id="52" w:name="ref-keller_northwest_nodate"/>
    <w:p>
      <w:pPr>
        <w:pStyle w:val="Bibliography"/>
      </w:pPr>
      <w:r>
        <w:t xml:space="preserve">Keller, A. A., Wallace, J. R., and Methot, R. D. (n.d.). The</w:t>
      </w:r>
      <w:r>
        <w:t xml:space="preserve"> </w:t>
      </w:r>
      <w:r>
        <w:t xml:space="preserve">Northwest</w:t>
      </w:r>
      <w:r>
        <w:t xml:space="preserve"> </w:t>
      </w:r>
      <w:r>
        <w:t xml:space="preserve">Fisheries</w:t>
      </w:r>
      <w:r>
        <w:t xml:space="preserve"> </w:t>
      </w:r>
      <w:r>
        <w:t xml:space="preserve">Science</w:t>
      </w:r>
      <w:r>
        <w:t xml:space="preserve"> </w:t>
      </w:r>
      <w:r>
        <w:t xml:space="preserve">Center</w:t>
      </w:r>
      <w:r>
        <w:t xml:space="preserve">’s</w:t>
      </w:r>
      <w:r>
        <w:t xml:space="preserve"> </w:t>
      </w:r>
      <w:r>
        <w:t xml:space="preserve">West</w:t>
      </w:r>
      <w:r>
        <w:t xml:space="preserve"> </w:t>
      </w:r>
      <w:r>
        <w:t xml:space="preserve">Coast</w:t>
      </w:r>
      <w:r>
        <w:t xml:space="preserve"> </w:t>
      </w:r>
      <w:r>
        <w:t xml:space="preserve">Groundfish</w:t>
      </w:r>
      <w:r>
        <w:t xml:space="preserve"> </w:t>
      </w:r>
      <w:r>
        <w:t xml:space="preserve">Bottom</w:t>
      </w:r>
      <w:r>
        <w:t xml:space="preserve"> </w:t>
      </w:r>
      <w:r>
        <w:t xml:space="preserve">Trawl</w:t>
      </w:r>
      <w:r>
        <w:t xml:space="preserve"> </w:t>
      </w:r>
      <w:r>
        <w:t xml:space="preserve">Survey</w:t>
      </w:r>
      <w:r>
        <w:t xml:space="preserve">:</w:t>
      </w:r>
      <w:r>
        <w:t xml:space="preserve"> </w:t>
      </w:r>
      <w:r>
        <w:t xml:space="preserve">Survey</w:t>
      </w:r>
      <w:r>
        <w:t xml:space="preserve"> </w:t>
      </w:r>
      <w:r>
        <w:t xml:space="preserve">History</w:t>
      </w:r>
      <w:r>
        <w:t xml:space="preserve">,</w:t>
      </w:r>
      <w:r>
        <w:t xml:space="preserve"> </w:t>
      </w:r>
      <w:r>
        <w:t xml:space="preserve">Design</w:t>
      </w:r>
      <w:r>
        <w:t xml:space="preserve">, and</w:t>
      </w:r>
      <w:r>
        <w:t xml:space="preserve"> </w:t>
      </w:r>
      <w:r>
        <w:t xml:space="preserve">Description</w:t>
      </w:r>
      <w:r>
        <w:t xml:space="preserve">. {NOAA} {Technical} {Memorandum}, NMFS-NWFSC-136. U.S. Department of Commerce, Seattle, WA.</w:t>
      </w:r>
      <w:r>
        <w:t xml:space="preserve"> </w:t>
      </w:r>
      <w:hyperlink r:id="rId51">
        <w:r>
          <w:rPr>
            <w:rStyle w:val="Hyperlink"/>
          </w:rPr>
          <w:t xml:space="preserve">https://repository.library.noaa.gov/view/noaa/14179</w:t>
        </w:r>
      </w:hyperlink>
      <w:r>
        <w:t xml:space="preserve">.</w:t>
      </w:r>
    </w:p>
    <w:bookmarkEnd w:id="52"/>
    <w:bookmarkStart w:id="54" w:name="ref-kristensen_tmb_2016"/>
    <w:p>
      <w:pPr>
        <w:pStyle w:val="Bibliography"/>
      </w:pPr>
      <w:r>
        <w:t xml:space="preserve">Kristensen, K., Nielsen, A., Berg, C. W., Skaug, H., and Bell, B. M. 2016.</w:t>
      </w:r>
      <w:r>
        <w:t xml:space="preserve"> </w:t>
      </w:r>
      <w:r>
        <w:t xml:space="preserve">TMB</w:t>
      </w:r>
      <w:r>
        <w:t xml:space="preserve">:</w:t>
      </w:r>
      <w:r>
        <w:t xml:space="preserve"> </w:t>
      </w:r>
      <w:r>
        <w:t xml:space="preserve">Automatic</w:t>
      </w:r>
      <w:r>
        <w:t xml:space="preserve"> </w:t>
      </w:r>
      <w:r>
        <w:t xml:space="preserve">Differentiation</w:t>
      </w:r>
      <w:r>
        <w:t xml:space="preserve"> </w:t>
      </w:r>
      <w:r>
        <w:t xml:space="preserve">and</w:t>
      </w:r>
      <w:r>
        <w:t xml:space="preserve"> </w:t>
      </w:r>
      <w:r>
        <w:t xml:space="preserve">Laplace</w:t>
      </w:r>
      <w:r>
        <w:t xml:space="preserve"> </w:t>
      </w:r>
      <w:r>
        <w:t xml:space="preserve">Approximation</w:t>
      </w:r>
      <w:r>
        <w:t xml:space="preserve">. Journal of Statistical Software, 70: 1–21.</w:t>
      </w:r>
      <w:r>
        <w:t xml:space="preserve"> </w:t>
      </w:r>
      <w:hyperlink r:id="rId53">
        <w:r>
          <w:rPr>
            <w:rStyle w:val="Hyperlink"/>
          </w:rPr>
          <w:t xml:space="preserve">https://www.jstatsoft.org/index.php/jss/article/view/v070i05</w:t>
        </w:r>
      </w:hyperlink>
      <w:r>
        <w:t xml:space="preserve"> </w:t>
      </w:r>
      <w:r>
        <w:t xml:space="preserve">(Accessed 9 June 2021).</w:t>
      </w:r>
    </w:p>
    <w:bookmarkEnd w:id="54"/>
    <w:bookmarkStart w:id="56" w:name="ref-lindgren_explicit_2011"/>
    <w:p>
      <w:pPr>
        <w:pStyle w:val="Bibliography"/>
      </w:pPr>
      <w:r>
        <w:t xml:space="preserve">Lindgren, F., Rue, H., and Lindström, J. 2011. An explicit link between</w:t>
      </w:r>
      <w:r>
        <w:t xml:space="preserve"> </w:t>
      </w:r>
      <w:r>
        <w:t xml:space="preserve">Gaussian</w:t>
      </w:r>
      <w:r>
        <w:t xml:space="preserve"> </w:t>
      </w:r>
      <w:r>
        <w:t xml:space="preserve">fields and</w:t>
      </w:r>
      <w:r>
        <w:t xml:space="preserve"> </w:t>
      </w:r>
      <w:r>
        <w:t xml:space="preserve">Gaussian</w:t>
      </w:r>
      <w:r>
        <w:t xml:space="preserve"> </w:t>
      </w:r>
      <w:r>
        <w:t xml:space="preserve">Markov</w:t>
      </w:r>
      <w:r>
        <w:t xml:space="preserve"> </w:t>
      </w:r>
      <w:r>
        <w:t xml:space="preserve">random fields: The stochastic partial differential equation approach. Journal of the Royal Statistical Society: Series B (Statistical Methodology), 73: 423–498.</w:t>
      </w:r>
      <w:r>
        <w:t xml:space="preserve"> </w:t>
      </w:r>
      <w:hyperlink r:id="rId55">
        <w:r>
          <w:rPr>
            <w:rStyle w:val="Hyperlink"/>
          </w:rPr>
          <w:t xml:space="preserve">https://rss.onlinelibrary.wiley.com/doi/abs/10.1111/j.1467-9868.2011.00777.x</w:t>
        </w:r>
      </w:hyperlink>
      <w:r>
        <w:t xml:space="preserve"> </w:t>
      </w:r>
      <w:r>
        <w:t xml:space="preserve">(Accessed 9 June 2021).</w:t>
      </w:r>
    </w:p>
    <w:bookmarkEnd w:id="56"/>
    <w:bookmarkStart w:id="58" w:name="ref-maureaud_are_2021"/>
    <w:p>
      <w:pPr>
        <w:pStyle w:val="Bibliography"/>
      </w:pPr>
      <w:r>
        <w:t xml:space="preserve">Maureaud, A. A., Frelat, R., Pécuchet, L., Shackell, N., Mérigot, B., Pinsky, M. L., Amador, K.,</w:t>
      </w:r>
      <w:r>
        <w:t xml:space="preserve"> </w:t>
      </w:r>
      <w:r>
        <w:rPr>
          <w:iCs/>
          <w:i/>
        </w:rPr>
        <w:t xml:space="preserve">et al.</w:t>
      </w:r>
      <w:r>
        <w:t xml:space="preserve"> 2021. Are we ready to track climate-driven shifts in marine species across international boundaries? -</w:t>
      </w:r>
      <w:r>
        <w:t xml:space="preserve"> </w:t>
      </w:r>
      <w:r>
        <w:t xml:space="preserve">A</w:t>
      </w:r>
      <w:r>
        <w:t xml:space="preserve"> </w:t>
      </w:r>
      <w:r>
        <w:t xml:space="preserve">global survey of scientific bottom trawl data. Global Change Biology, 27: 220–236.</w:t>
      </w:r>
      <w:r>
        <w:t xml:space="preserve"> </w:t>
      </w:r>
      <w:hyperlink r:id="rId57">
        <w:r>
          <w:rPr>
            <w:rStyle w:val="Hyperlink"/>
          </w:rPr>
          <w:t xml:space="preserve">https://onlinelibrary.wiley.com/doi/abs/10.1111/gcb.15404</w:t>
        </w:r>
      </w:hyperlink>
      <w:r>
        <w:t xml:space="preserve"> </w:t>
      </w:r>
      <w:r>
        <w:t xml:space="preserve">(Accessed 9 June 2021).</w:t>
      </w:r>
    </w:p>
    <w:bookmarkEnd w:id="58"/>
    <w:bookmarkStart w:id="60" w:name="ref-mcinerny_ditch_2012"/>
    <w:p>
      <w:pPr>
        <w:pStyle w:val="Bibliography"/>
      </w:pPr>
      <w:r>
        <w:t xml:space="preserve">McInerny, G. J., and Etienne, R. S. 2012. Ditch the niche – is the niche a useful concept in ecology or species distribution modelling? Journal of Biogeography, 39: 2096–2102.</w:t>
      </w:r>
      <w:r>
        <w:t xml:space="preserve"> </w:t>
      </w:r>
      <w:hyperlink r:id="rId59">
        <w:r>
          <w:rPr>
            <w:rStyle w:val="Hyperlink"/>
          </w:rPr>
          <w:t xml:space="preserve">https://onlinelibrary.wiley.com/doi/abs/10.1111/jbi.12033</w:t>
        </w:r>
      </w:hyperlink>
      <w:r>
        <w:t xml:space="preserve"> </w:t>
      </w:r>
      <w:r>
        <w:t xml:space="preserve">(Accessed 9 June 2021).</w:t>
      </w:r>
    </w:p>
    <w:bookmarkEnd w:id="60"/>
    <w:bookmarkStart w:id="62" w:name="ref-pertierra_global_2017"/>
    <w:p>
      <w:pPr>
        <w:pStyle w:val="Bibliography"/>
      </w:pPr>
      <w:r>
        <w:t xml:space="preserve">Pertierra, L. R., Aragón, P., Shaw, J. D., Bergstrom, D. M., Terauds, A., and Olalla-Tárraga, M. Á. 2017. Global thermal niche models of two</w:t>
      </w:r>
      <w:r>
        <w:t xml:space="preserve"> </w:t>
      </w:r>
      <w:r>
        <w:t xml:space="preserve">European</w:t>
      </w:r>
      <w:r>
        <w:t xml:space="preserve"> </w:t>
      </w:r>
      <w:r>
        <w:t xml:space="preserve">grasses show high invasion risks in</w:t>
      </w:r>
      <w:r>
        <w:t xml:space="preserve"> </w:t>
      </w:r>
      <w:r>
        <w:t xml:space="preserve">Antarctica</w:t>
      </w:r>
      <w:r>
        <w:t xml:space="preserve">. Global Change Biology, 23: 2863–2873.</w:t>
      </w:r>
      <w:r>
        <w:t xml:space="preserve"> </w:t>
      </w:r>
      <w:hyperlink r:id="rId61">
        <w:r>
          <w:rPr>
            <w:rStyle w:val="Hyperlink"/>
          </w:rPr>
          <w:t xml:space="preserve">https://onlinelibrary.wiley.com/doi/abs/10.1111/gcb.13596</w:t>
        </w:r>
      </w:hyperlink>
      <w:r>
        <w:t xml:space="preserve"> </w:t>
      </w:r>
      <w:r>
        <w:t xml:space="preserve">(Accessed 9 June 2021).</w:t>
      </w:r>
    </w:p>
    <w:bookmarkEnd w:id="62"/>
    <w:bookmarkStart w:id="64" w:name="ref-qiao_no_2015"/>
    <w:p>
      <w:pPr>
        <w:pStyle w:val="Bibliography"/>
      </w:pPr>
      <w:r>
        <w:t xml:space="preserve">Qiao, H., Soberón, J., and Peterson, A. T. 2015. No silver bullets in correlative ecological niche modelling: Insights from testing among many potential algorithms for niche estimation. Methods in Ecology and Evolution, 6: 1126–1136.</w:t>
      </w:r>
      <w:r>
        <w:t xml:space="preserve"> </w:t>
      </w:r>
      <w:hyperlink r:id="rId63">
        <w:r>
          <w:rPr>
            <w:rStyle w:val="Hyperlink"/>
          </w:rPr>
          <w:t xml:space="preserve">https://besjournals.onlinelibrary.wiley.com/doi/abs/10.1111/2041-210X.12397</w:t>
        </w:r>
      </w:hyperlink>
      <w:r>
        <w:t xml:space="preserve"> </w:t>
      </w:r>
      <w:r>
        <w:t xml:space="preserve">(Accessed 9 June 2021).</w:t>
      </w:r>
    </w:p>
    <w:bookmarkEnd w:id="64"/>
    <w:bookmarkStart w:id="66" w:name="ref-rogers_shifting_2019"/>
    <w:p>
      <w:pPr>
        <w:pStyle w:val="Bibliography"/>
      </w:pPr>
      <w:r>
        <w:t xml:space="preserve">Rogers, L. A., Griffin, R., Young, T., Fuller, E., Martin, K. S., and Pinsky, M. L. 2019. Shifting habitats expose fishing communities to risk under climate change. Nature Climate Change, 9: 512–516.</w:t>
      </w:r>
      <w:r>
        <w:t xml:space="preserve"> </w:t>
      </w:r>
      <w:hyperlink r:id="rId65">
        <w:r>
          <w:rPr>
            <w:rStyle w:val="Hyperlink"/>
          </w:rPr>
          <w:t xml:space="preserve">https://www.nature.com/articles/s41558-019-0503-z</w:t>
        </w:r>
      </w:hyperlink>
      <w:r>
        <w:t xml:space="preserve"> </w:t>
      </w:r>
      <w:r>
        <w:t xml:space="preserve">(Accessed 15 June 2021).</w:t>
      </w:r>
    </w:p>
    <w:bookmarkEnd w:id="66"/>
    <w:bookmarkStart w:id="68" w:name="ref-rue_approximate_2009"/>
    <w:p>
      <w:pPr>
        <w:pStyle w:val="Bibliography"/>
      </w:pPr>
      <w:r>
        <w:t xml:space="preserve">Rue, H., Martino, S., and Chopin, N. 2009. Approximate</w:t>
      </w:r>
      <w:r>
        <w:t xml:space="preserve"> </w:t>
      </w:r>
      <w:r>
        <w:t xml:space="preserve">Bayesian</w:t>
      </w:r>
      <w:r>
        <w:t xml:space="preserve"> </w:t>
      </w:r>
      <w:r>
        <w:t xml:space="preserve">inference for latent</w:t>
      </w:r>
      <w:r>
        <w:t xml:space="preserve"> </w:t>
      </w:r>
      <w:r>
        <w:t xml:space="preserve">Gaussian</w:t>
      </w:r>
      <w:r>
        <w:t xml:space="preserve"> </w:t>
      </w:r>
      <w:r>
        <w:t xml:space="preserve">models by using integrated nested</w:t>
      </w:r>
      <w:r>
        <w:t xml:space="preserve"> </w:t>
      </w:r>
      <w:r>
        <w:t xml:space="preserve">Laplace</w:t>
      </w:r>
      <w:r>
        <w:t xml:space="preserve"> </w:t>
      </w:r>
      <w:r>
        <w:t xml:space="preserve">approximations. Journal of the Royal Statistical Society: Series B (Statistical Methodology), 71: 319–392.</w:t>
      </w:r>
      <w:r>
        <w:t xml:space="preserve"> </w:t>
      </w:r>
      <w:hyperlink r:id="rId67">
        <w:r>
          <w:rPr>
            <w:rStyle w:val="Hyperlink"/>
          </w:rPr>
          <w:t xml:space="preserve">https://rss.onlinelibrary.wiley.com/doi/abs/10.1111/j.1467-9868.2008.00700.x</w:t>
        </w:r>
      </w:hyperlink>
      <w:r>
        <w:t xml:space="preserve"> </w:t>
      </w:r>
      <w:r>
        <w:t xml:space="preserve">(Accessed 9 June 2021).</w:t>
      </w:r>
    </w:p>
    <w:bookmarkEnd w:id="68"/>
    <w:bookmarkStart w:id="70" w:name="ref-selden_diversity_2018"/>
    <w:p>
      <w:pPr>
        <w:pStyle w:val="Bibliography"/>
      </w:pPr>
      <w:r>
        <w:t xml:space="preserve">Selden, R. L., Batt, R. D., Saba, V. S., and Pinsky, M. L. 2018. Diversity in thermal affinity among key piscivores buffers impacts of ocean warming on predator–prey interactions. Global Change Biology, 24: 117–131.</w:t>
      </w:r>
      <w:r>
        <w:t xml:space="preserve"> </w:t>
      </w:r>
      <w:hyperlink r:id="rId69">
        <w:r>
          <w:rPr>
            <w:rStyle w:val="Hyperlink"/>
          </w:rPr>
          <w:t xml:space="preserve">https://onlinelibrary.wiley.com/doi/abs/10.1111/gcb.13838</w:t>
        </w:r>
      </w:hyperlink>
      <w:r>
        <w:t xml:space="preserve"> </w:t>
      </w:r>
      <w:r>
        <w:t xml:space="preserve">(Accessed 18 June 2021).</w:t>
      </w:r>
    </w:p>
    <w:bookmarkEnd w:id="70"/>
    <w:bookmarkStart w:id="72" w:name="ref-shono_application_2008"/>
    <w:p>
      <w:pPr>
        <w:pStyle w:val="Bibliography"/>
      </w:pPr>
      <w:r>
        <w:t xml:space="preserve">Shono, H. 2008. Application of the</w:t>
      </w:r>
      <w:r>
        <w:t xml:space="preserve"> </w:t>
      </w:r>
      <w:r>
        <w:t xml:space="preserve">Tweedie</w:t>
      </w:r>
      <w:r>
        <w:t xml:space="preserve"> </w:t>
      </w:r>
      <w:r>
        <w:t xml:space="preserve">distribution to zero-catch data in</w:t>
      </w:r>
      <w:r>
        <w:t xml:space="preserve"> </w:t>
      </w:r>
      <w:r>
        <w:t xml:space="preserve">CPUE</w:t>
      </w:r>
      <w:r>
        <w:t xml:space="preserve"> </w:t>
      </w:r>
      <w:r>
        <w:t xml:space="preserve">analysis. Fisheries Research, 93: 154–162.</w:t>
      </w:r>
      <w:r>
        <w:t xml:space="preserve"> </w:t>
      </w:r>
      <w:hyperlink r:id="rId71">
        <w:r>
          <w:rPr>
            <w:rStyle w:val="Hyperlink"/>
          </w:rPr>
          <w:t xml:space="preserve">http://www.sciencedirect.com/science/article/pii/S0165783608000945</w:t>
        </w:r>
      </w:hyperlink>
      <w:r>
        <w:t xml:space="preserve"> </w:t>
      </w:r>
      <w:r>
        <w:t xml:space="preserve">(Accessed 17 November 2020).</w:t>
      </w:r>
    </w:p>
    <w:bookmarkEnd w:id="72"/>
    <w:bookmarkStart w:id="73" w:name="ref-sinclair_feasibility_2003"/>
    <w:p>
      <w:pPr>
        <w:pStyle w:val="Bibliography"/>
      </w:pPr>
      <w:r>
        <w:t xml:space="preserve">Sinclair, A., Schnute, J., Haigh, R., Starr, P., Rick Stanley, Jeff Fargo, and Workman, G. 2003. Feasibility of</w:t>
      </w:r>
      <w:r>
        <w:t xml:space="preserve"> </w:t>
      </w:r>
      <w:r>
        <w:t xml:space="preserve">Multispecies</w:t>
      </w:r>
      <w:r>
        <w:t xml:space="preserve"> </w:t>
      </w:r>
      <w:r>
        <w:t xml:space="preserve">Groundfish</w:t>
      </w:r>
      <w:r>
        <w:t xml:space="preserve"> </w:t>
      </w:r>
      <w:r>
        <w:t xml:space="preserve">Bottom</w:t>
      </w:r>
      <w:r>
        <w:t xml:space="preserve"> </w:t>
      </w:r>
      <w:r>
        <w:t xml:space="preserve">Trawl</w:t>
      </w:r>
      <w:r>
        <w:t xml:space="preserve"> </w:t>
      </w:r>
      <w:r>
        <w:t xml:space="preserve">Surveys</w:t>
      </w:r>
      <w:r>
        <w:t xml:space="preserve"> </w:t>
      </w:r>
      <w:r>
        <w:t xml:space="preserve">on the</w:t>
      </w:r>
      <w:r>
        <w:t xml:space="preserve"> </w:t>
      </w:r>
      <w:r>
        <w:t xml:space="preserve">BC</w:t>
      </w:r>
      <w:r>
        <w:t xml:space="preserve"> </w:t>
      </w:r>
      <w:r>
        <w:t xml:space="preserve">Coast</w:t>
      </w:r>
      <w:r>
        <w:t xml:space="preserve">. {DFO} {Canadian} {Science} {Advisory} {Secretariat} ({CSAS}) {Research} {Document}, 2003/049.</w:t>
      </w:r>
    </w:p>
    <w:bookmarkEnd w:id="73"/>
    <w:bookmarkStart w:id="75" w:name="ref-thorson_geostatistical_2015"/>
    <w:p>
      <w:pPr>
        <w:pStyle w:val="Bibliography"/>
      </w:pPr>
      <w:r>
        <w:t xml:space="preserve">Thorson, J. T., Shelton, A. O., Ward, E. J., and Skaug, H. J. 2015. Geostatistical delta-generalized linear mixed models improve precision for estimated abundance indices for</w:t>
      </w:r>
      <w:r>
        <w:t xml:space="preserve"> </w:t>
      </w:r>
      <w:r>
        <w:t xml:space="preserve">West</w:t>
      </w:r>
      <w:r>
        <w:t xml:space="preserve"> </w:t>
      </w:r>
      <w:r>
        <w:t xml:space="preserve">Coast</w:t>
      </w:r>
      <w:r>
        <w:t xml:space="preserve"> </w:t>
      </w:r>
      <w:r>
        <w:t xml:space="preserve">groundfishes. ICES Journal of Marine Science, 72: 1297–1310.</w:t>
      </w:r>
      <w:r>
        <w:t xml:space="preserve"> </w:t>
      </w:r>
      <w:hyperlink r:id="rId74">
        <w:r>
          <w:rPr>
            <w:rStyle w:val="Hyperlink"/>
          </w:rPr>
          <w:t xml:space="preserve">https://academic.oup.com/icesjms/article/72/5/1297/767661</w:t>
        </w:r>
      </w:hyperlink>
      <w:r>
        <w:t xml:space="preserve"> </w:t>
      </w:r>
      <w:r>
        <w:t xml:space="preserve">(Accessed 17 November 2020).</w:t>
      </w:r>
    </w:p>
    <w:bookmarkEnd w:id="75"/>
    <w:bookmarkStart w:id="77" w:name="ref-thorson_model-based_2016"/>
    <w:p>
      <w:pPr>
        <w:pStyle w:val="Bibliography"/>
      </w:pPr>
      <w:r>
        <w:t xml:space="preserve">Thorson, J. T., Pinsky, M. L., and Ward, E. J. 2016. Model-based inference for estimating shifts in species distribution, area occupied and centre of gravity. Methods in Ecology and Evolution, 7: 990–1002.</w:t>
      </w:r>
      <w:r>
        <w:t xml:space="preserve"> </w:t>
      </w:r>
      <w:hyperlink r:id="rId76">
        <w:r>
          <w:rPr>
            <w:rStyle w:val="Hyperlink"/>
          </w:rPr>
          <w:t xml:space="preserve">https://besjournals.onlinelibrary.wiley.com/doi/abs/10.1111/2041-210X.12567</w:t>
        </w:r>
      </w:hyperlink>
      <w:r>
        <w:t xml:space="preserve"> </w:t>
      </w:r>
      <w:r>
        <w:t xml:space="preserve">(Accessed 17 November 2020).</w:t>
      </w:r>
    </w:p>
    <w:bookmarkEnd w:id="77"/>
    <w:bookmarkStart w:id="79" w:name="ref-tingley_birds_2009"/>
    <w:p>
      <w:pPr>
        <w:pStyle w:val="Bibliography"/>
      </w:pPr>
      <w:r>
        <w:t xml:space="preserve">Tingley, M. W., Monahan, W. B., Beissinger, S. R., and Moritz, C. 2009. Birds track their</w:t>
      </w:r>
      <w:r>
        <w:t xml:space="preserve"> </w:t>
      </w:r>
      <w:r>
        <w:t xml:space="preserve">Grinnellian</w:t>
      </w:r>
      <w:r>
        <w:t xml:space="preserve"> </w:t>
      </w:r>
      <w:r>
        <w:t xml:space="preserve">niche through a century of climate change. Proceedings of the National Academy of Sciences, 106: 19637–19643.</w:t>
      </w:r>
      <w:r>
        <w:t xml:space="preserve"> </w:t>
      </w:r>
      <w:hyperlink r:id="rId78">
        <w:r>
          <w:rPr>
            <w:rStyle w:val="Hyperlink"/>
          </w:rPr>
          <w:t xml:space="preserve">https://www.pnas.org/content/106/Supplement_2/19637</w:t>
        </w:r>
      </w:hyperlink>
      <w:r>
        <w:t xml:space="preserve"> </w:t>
      </w:r>
      <w:r>
        <w:t xml:space="preserve">(Accessed 11 June 2021).</w:t>
      </w:r>
    </w:p>
    <w:bookmarkEnd w:id="79"/>
    <w:bookmarkStart w:id="81" w:name="ref-tolimieri_spatio-temporal_2020"/>
    <w:p>
      <w:pPr>
        <w:pStyle w:val="Bibliography"/>
      </w:pPr>
      <w:r>
        <w:t xml:space="preserve">Tolimieri, N., Wallace, J., and Haltuch, M. 2020. Spatio-temporal patterns in juvenile habitat for 13 groundfishes in the</w:t>
      </w:r>
      <w:r>
        <w:t xml:space="preserve"> </w:t>
      </w:r>
      <w:r>
        <w:t xml:space="preserve">California</w:t>
      </w:r>
      <w:r>
        <w:t xml:space="preserve"> </w:t>
      </w:r>
      <w:r>
        <w:t xml:space="preserve">Current</w:t>
      </w:r>
      <w:r>
        <w:t xml:space="preserve"> </w:t>
      </w:r>
      <w:r>
        <w:t xml:space="preserve">Ecosystem</w:t>
      </w:r>
      <w:r>
        <w:t xml:space="preserve">. PLOS ONE, 15: e0237996.</w:t>
      </w:r>
      <w:r>
        <w:t xml:space="preserve"> </w:t>
      </w:r>
      <w:hyperlink r:id="rId80">
        <w:r>
          <w:rPr>
            <w:rStyle w:val="Hyperlink"/>
          </w:rPr>
          <w:t xml:space="preserve">https://journals.plos.org/plosone/article?id=10.1371/journal.pone.0237996</w:t>
        </w:r>
      </w:hyperlink>
      <w:r>
        <w:t xml:space="preserve"> </w:t>
      </w:r>
      <w:r>
        <w:t xml:space="preserve">(Accessed 17 November 2020).</w:t>
      </w:r>
    </w:p>
    <w:bookmarkEnd w:id="81"/>
    <w:bookmarkEnd w:id="82"/>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hyperlink" Id="rId37" Target="http://www.dfo-mpo.gc.ca/csas-sccs/Publications/ResDocs-DocRech/2019/2019_041-eng.html" TargetMode="External" /><Relationship Type="http://schemas.openxmlformats.org/officeDocument/2006/relationships/hyperlink" Id="rId71" Target="http://www.sciencedirect.com/science/article/pii/S0165783608000945" TargetMode="External" /><Relationship Type="http://schemas.openxmlformats.org/officeDocument/2006/relationships/hyperlink" Id="rId74" Target="https://academic.oup.com/icesjms/article/72/5/1297/767661" TargetMode="External" /><Relationship Type="http://schemas.openxmlformats.org/officeDocument/2006/relationships/hyperlink" Id="rId63" Target="https://besjournals.onlinelibrary.wiley.com/doi/abs/10.1111/2041-210X.12397" TargetMode="External" /><Relationship Type="http://schemas.openxmlformats.org/officeDocument/2006/relationships/hyperlink" Id="rId76" Target="https://besjournals.onlinelibrary.wiley.com/doi/abs/10.1111/2041-210X.12567" TargetMode="External" /><Relationship Type="http://schemas.openxmlformats.org/officeDocument/2006/relationships/hyperlink" Id="rId47" Target="https://besjournals.onlinelibrary.wiley.com/doi/abs/10.1111/j.1365-2664.2008.01524.x" TargetMode="External" /><Relationship Type="http://schemas.openxmlformats.org/officeDocument/2006/relationships/hyperlink" Id="rId21" Target="https://github.com/fate-spatialindicators/consonants-static" TargetMode="External" /><Relationship Type="http://schemas.openxmlformats.org/officeDocument/2006/relationships/hyperlink" Id="rId49" Target="https://journals.plos.org/plosone/article?id=10.1371/journal.pone.0202403" TargetMode="External" /><Relationship Type="http://schemas.openxmlformats.org/officeDocument/2006/relationships/hyperlink" Id="rId80" Target="https://journals.plos.org/plosone/article?id=10.1371/journal.pone.0237996" TargetMode="External" /><Relationship Type="http://schemas.openxmlformats.org/officeDocument/2006/relationships/hyperlink" Id="rId43" Target="https://onlinelibrary.wiley.com/doi/abs/10.1002/ece3.5555" TargetMode="External" /><Relationship Type="http://schemas.openxmlformats.org/officeDocument/2006/relationships/hyperlink" Id="rId61" Target="https://onlinelibrary.wiley.com/doi/abs/10.1111/gcb.13596" TargetMode="External" /><Relationship Type="http://schemas.openxmlformats.org/officeDocument/2006/relationships/hyperlink" Id="rId45" Target="https://onlinelibrary.wiley.com/doi/abs/10.1111/gcb.13835" TargetMode="External" /><Relationship Type="http://schemas.openxmlformats.org/officeDocument/2006/relationships/hyperlink" Id="rId69" Target="https://onlinelibrary.wiley.com/doi/abs/10.1111/gcb.13838" TargetMode="External" /><Relationship Type="http://schemas.openxmlformats.org/officeDocument/2006/relationships/hyperlink" Id="rId57" Target="https://onlinelibrary.wiley.com/doi/abs/10.1111/gcb.15404" TargetMode="External" /><Relationship Type="http://schemas.openxmlformats.org/officeDocument/2006/relationships/hyperlink" Id="rId39" Target="https://onlinelibrary.wiley.com/doi/abs/10.1111/j.1365-2699.2006.01584.x" TargetMode="External" /><Relationship Type="http://schemas.openxmlformats.org/officeDocument/2006/relationships/hyperlink" Id="rId59" Target="https://onlinelibrary.wiley.com/doi/abs/10.1111/jbi.12033" TargetMode="External" /><Relationship Type="http://schemas.openxmlformats.org/officeDocument/2006/relationships/hyperlink" Id="rId51" Target="https://repository.library.noaa.gov/view/noaa/14179" TargetMode="External" /><Relationship Type="http://schemas.openxmlformats.org/officeDocument/2006/relationships/hyperlink" Id="rId41" Target="https://royalsocietypublishing.org/doi/full/10.1098/rsbl.2017.0135" TargetMode="External" /><Relationship Type="http://schemas.openxmlformats.org/officeDocument/2006/relationships/hyperlink" Id="rId67" Target="https://rss.onlinelibrary.wiley.com/doi/abs/10.1111/j.1467-9868.2008.00700.x" TargetMode="External" /><Relationship Type="http://schemas.openxmlformats.org/officeDocument/2006/relationships/hyperlink" Id="rId55" Target="https://rss.onlinelibrary.wiley.com/doi/abs/10.1111/j.1467-9868.2011.00777.x" TargetMode="External" /><Relationship Type="http://schemas.openxmlformats.org/officeDocument/2006/relationships/hyperlink" Id="rId53" Target="https://www.jstatsoft.org/index.php/jss/article/view/v070i05" TargetMode="External" /><Relationship Type="http://schemas.openxmlformats.org/officeDocument/2006/relationships/hyperlink" Id="rId65" Target="https://www.nature.com/articles/s41558-019-0503-z" TargetMode="External" /><Relationship Type="http://schemas.openxmlformats.org/officeDocument/2006/relationships/hyperlink" Id="rId78" Target="https://www.pnas.org/content/106/Supplement_2/19637" TargetMode="External" /><Relationship Type="http://schemas.openxmlformats.org/officeDocument/2006/relationships/hyperlink" Id="rId20" Target="mailto:eric.ward@noaa.gov" TargetMode="External" /></Relationships>
</file>

<file path=word/_rels/footnotes.xml.rels><?xml version="1.0" encoding="UTF-8"?>
<Relationships xmlns="http://schemas.openxmlformats.org/package/2006/relationships"><Relationship Type="http://schemas.openxmlformats.org/officeDocument/2006/relationships/hyperlink" Id="rId37" Target="http://www.dfo-mpo.gc.ca/csas-sccs/Publications/ResDocs-DocRech/2019/2019_041-eng.html" TargetMode="External" /><Relationship Type="http://schemas.openxmlformats.org/officeDocument/2006/relationships/hyperlink" Id="rId71" Target="http://www.sciencedirect.com/science/article/pii/S0165783608000945" TargetMode="External" /><Relationship Type="http://schemas.openxmlformats.org/officeDocument/2006/relationships/hyperlink" Id="rId74" Target="https://academic.oup.com/icesjms/article/72/5/1297/767661" TargetMode="External" /><Relationship Type="http://schemas.openxmlformats.org/officeDocument/2006/relationships/hyperlink" Id="rId63" Target="https://besjournals.onlinelibrary.wiley.com/doi/abs/10.1111/2041-210X.12397" TargetMode="External" /><Relationship Type="http://schemas.openxmlformats.org/officeDocument/2006/relationships/hyperlink" Id="rId76" Target="https://besjournals.onlinelibrary.wiley.com/doi/abs/10.1111/2041-210X.12567" TargetMode="External" /><Relationship Type="http://schemas.openxmlformats.org/officeDocument/2006/relationships/hyperlink" Id="rId47" Target="https://besjournals.onlinelibrary.wiley.com/doi/abs/10.1111/j.1365-2664.2008.01524.x" TargetMode="External" /><Relationship Type="http://schemas.openxmlformats.org/officeDocument/2006/relationships/hyperlink" Id="rId21" Target="https://github.com/fate-spatialindicators/consonants-static" TargetMode="External" /><Relationship Type="http://schemas.openxmlformats.org/officeDocument/2006/relationships/hyperlink" Id="rId49" Target="https://journals.plos.org/plosone/article?id=10.1371/journal.pone.0202403" TargetMode="External" /><Relationship Type="http://schemas.openxmlformats.org/officeDocument/2006/relationships/hyperlink" Id="rId80" Target="https://journals.plos.org/plosone/article?id=10.1371/journal.pone.0237996" TargetMode="External" /><Relationship Type="http://schemas.openxmlformats.org/officeDocument/2006/relationships/hyperlink" Id="rId43" Target="https://onlinelibrary.wiley.com/doi/abs/10.1002/ece3.5555" TargetMode="External" /><Relationship Type="http://schemas.openxmlformats.org/officeDocument/2006/relationships/hyperlink" Id="rId61" Target="https://onlinelibrary.wiley.com/doi/abs/10.1111/gcb.13596" TargetMode="External" /><Relationship Type="http://schemas.openxmlformats.org/officeDocument/2006/relationships/hyperlink" Id="rId45" Target="https://onlinelibrary.wiley.com/doi/abs/10.1111/gcb.13835" TargetMode="External" /><Relationship Type="http://schemas.openxmlformats.org/officeDocument/2006/relationships/hyperlink" Id="rId69" Target="https://onlinelibrary.wiley.com/doi/abs/10.1111/gcb.13838" TargetMode="External" /><Relationship Type="http://schemas.openxmlformats.org/officeDocument/2006/relationships/hyperlink" Id="rId57" Target="https://onlinelibrary.wiley.com/doi/abs/10.1111/gcb.15404" TargetMode="External" /><Relationship Type="http://schemas.openxmlformats.org/officeDocument/2006/relationships/hyperlink" Id="rId39" Target="https://onlinelibrary.wiley.com/doi/abs/10.1111/j.1365-2699.2006.01584.x" TargetMode="External" /><Relationship Type="http://schemas.openxmlformats.org/officeDocument/2006/relationships/hyperlink" Id="rId59" Target="https://onlinelibrary.wiley.com/doi/abs/10.1111/jbi.12033" TargetMode="External" /><Relationship Type="http://schemas.openxmlformats.org/officeDocument/2006/relationships/hyperlink" Id="rId51" Target="https://repository.library.noaa.gov/view/noaa/14179" TargetMode="External" /><Relationship Type="http://schemas.openxmlformats.org/officeDocument/2006/relationships/hyperlink" Id="rId41" Target="https://royalsocietypublishing.org/doi/full/10.1098/rsbl.2017.0135" TargetMode="External" /><Relationship Type="http://schemas.openxmlformats.org/officeDocument/2006/relationships/hyperlink" Id="rId67" Target="https://rss.onlinelibrary.wiley.com/doi/abs/10.1111/j.1467-9868.2008.00700.x" TargetMode="External" /><Relationship Type="http://schemas.openxmlformats.org/officeDocument/2006/relationships/hyperlink" Id="rId55" Target="https://rss.onlinelibrary.wiley.com/doi/abs/10.1111/j.1467-9868.2011.00777.x" TargetMode="External" /><Relationship Type="http://schemas.openxmlformats.org/officeDocument/2006/relationships/hyperlink" Id="rId53" Target="https://www.jstatsoft.org/index.php/jss/article/view/v070i05" TargetMode="External" /><Relationship Type="http://schemas.openxmlformats.org/officeDocument/2006/relationships/hyperlink" Id="rId65" Target="https://www.nature.com/articles/s41558-019-0503-z" TargetMode="External" /><Relationship Type="http://schemas.openxmlformats.org/officeDocument/2006/relationships/hyperlink" Id="rId78" Target="https://www.pnas.org/content/106/Supplement_2/19637" TargetMode="External" /><Relationship Type="http://schemas.openxmlformats.org/officeDocument/2006/relationships/hyperlink" Id="rId20" Target="mailto:eric.ward@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based sensitivities and shapes of the thermal niche: patterns and trends across groundfish species in the NE Pacific</dc:title>
  <dc:creator>Eric J. Ward1</dc:creator>
  <cp:keywords/>
  <dcterms:created xsi:type="dcterms:W3CDTF">2022-05-16T13:20:23Z</dcterms:created>
  <dcterms:modified xsi:type="dcterms:W3CDTF">2022-05-16T13:20:23Z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quadratic.bib</vt:lpwstr>
  </property>
  <property fmtid="{D5CDD505-2E9C-101B-9397-08002B2CF9AE}" pid="3" name="csl">
    <vt:lpwstr>ices-journal-of-marine-science.csl</vt:lpwstr>
  </property>
  <property fmtid="{D5CDD505-2E9C-101B-9397-08002B2CF9AE}" pid="4" name="date">
    <vt:lpwstr/>
  </property>
  <property fmtid="{D5CDD505-2E9C-101B-9397-08002B2CF9AE}" pid="5" name="output">
    <vt:lpwstr/>
  </property>
</Properties>
</file>