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8A93" w14:textId="27A85799" w:rsidR="00475E9E" w:rsidRDefault="00C13AF9">
      <w:pPr>
        <w:pStyle w:val="FirstParagraph"/>
      </w:pPr>
      <w:r>
        <w:t xml:space="preserve">We modelled the response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(catch per unit effort [CPUE] at point in space </w:t>
      </w:r>
      <m:oMath>
        <m:r>
          <w:rPr>
            <w:rFonts w:ascii="Cambria Math" w:hAnsi="Cambria Math"/>
          </w:rPr>
          <m:t>s</m:t>
        </m:r>
      </m:oMath>
      <w:r>
        <w:t xml:space="preserve"> and time </w:t>
      </w:r>
      <m:oMath>
        <m:r>
          <w:rPr>
            <w:rFonts w:ascii="Cambria Math" w:hAnsi="Cambria Math"/>
          </w:rPr>
          <m:t>t</m:t>
        </m:r>
      </m:oMath>
      <w:r>
        <w:t xml:space="preserve">) with a Tweedie distribution and a log link </w:t>
      </w:r>
      <w:r w:rsidR="00254CA9" w:rsidRPr="00254CA9">
        <w:rPr>
          <w:highlight w:val="yellow"/>
        </w:rPr>
        <w:t>\citep{tweedie1984, dunn2005, anderson2019synopsis}</w:t>
      </w:r>
    </w:p>
    <w:p w14:paraId="7DE31200" w14:textId="77777777" w:rsidR="00475E9E" w:rsidRDefault="00C13AF9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Tweedie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</w:rPr>
                  <m:t>, 1&lt;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&lt;2 ,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MVNormal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MVNormal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ζ</m:t>
                </m:r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MVNormal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14:paraId="0B3679B9" w14:textId="2B3C5E4F" w:rsidR="00475E9E" w:rsidRDefault="00C13AF9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μ</m:t>
        </m:r>
      </m:oMath>
      <w:r>
        <w:t xml:space="preserve"> represents the mean, </w:t>
      </w:r>
      <m:oMath>
        <m:r>
          <w:rPr>
            <w:rFonts w:ascii="Cambria Math" w:hAnsi="Cambria Math"/>
          </w:rPr>
          <m:t>p</m:t>
        </m:r>
      </m:oMath>
      <w:r>
        <w:t xml:space="preserve"> represents the power parameter, and </w:t>
      </w:r>
      <m:oMath>
        <m:r>
          <w:rPr>
            <w:rFonts w:ascii="Cambria Math" w:hAnsi="Cambria Math"/>
          </w:rPr>
          <m:t>ϕ</m:t>
        </m:r>
      </m:oMath>
      <w:r>
        <w:t xml:space="preserve"> represents the dispersion parameter.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parameters represent </w:t>
      </w:r>
      <w:r w:rsidR="00F80F53">
        <w:t xml:space="preserve">independent </w:t>
      </w:r>
      <w:r>
        <w:t xml:space="preserve">means </w:t>
      </w:r>
      <w:r w:rsidR="00F80F53">
        <w:t xml:space="preserve">estimated </w:t>
      </w:r>
      <w:r>
        <w:t xml:space="preserve">for each year,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 coefficients </w:t>
      </w:r>
      <w:r>
        <w:t>for log depth (</w:t>
      </w:r>
      <m:oMath>
        <m:r>
          <w:rPr>
            <w:rFonts w:ascii="Cambria Math" w:hAnsi="Cambria Math"/>
          </w:rPr>
          <m:t>D</m:t>
        </m:r>
      </m:oMath>
      <w:r>
        <w:t>) and log depth squared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). The symbols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represent spatial and spatiotemporal random effects drawn from Gaussian Markov random fields </w:t>
      </w:r>
      <w:r w:rsidR="00D9604B" w:rsidRPr="00254CA9">
        <w:rPr>
          <w:highlight w:val="yellow"/>
        </w:rPr>
        <w:t>\citep{cressie2011}</w:t>
      </w:r>
      <w:r>
        <w:t xml:space="preserve"> with covariance matrices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>
        <w:t xml:space="preserve">. The symbol </w:t>
      </w:r>
      <w:bookmarkStart w:id="0" w:name="_Hlk4330118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bookmarkEnd w:id="0"/>
      <w:r>
        <w:t>represents the spatially vary</w:t>
      </w:r>
      <w:r>
        <w:t xml:space="preserve">ing coefficients that represent local trends through time also drawn from Gaussian Markov </w:t>
      </w:r>
      <w:bookmarkStart w:id="1" w:name="_Hlk43300868"/>
      <w:r>
        <w:t>random fields.</w:t>
      </w:r>
      <w:bookmarkEnd w:id="1"/>
      <w:r>
        <w:t xml:space="preserve"> </w:t>
      </w:r>
      <w:r w:rsidR="00AE4928">
        <w:t xml:space="preserve">Time, </w:t>
      </w:r>
      <w:r w:rsidR="00AE4928" w:rsidRPr="00C13AF9">
        <w:rPr>
          <w:i/>
          <w:iCs/>
        </w:rPr>
        <w:t>t</w:t>
      </w:r>
      <w:r w:rsidR="00AE4928">
        <w:t xml:space="preserve">, is entered into the model </w:t>
      </w:r>
      <w:r>
        <w:t xml:space="preserve">for multiplication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AE4928">
        <w:t xml:space="preserve">after centering </w:t>
      </w:r>
      <w:r>
        <w:t xml:space="preserve">it by </w:t>
      </w:r>
      <w:r w:rsidR="00AE4928">
        <w:t xml:space="preserve">its mean value. </w:t>
      </w:r>
      <w:r>
        <w:t xml:space="preserve">All three random fields have covariance matrices constrained by </w:t>
      </w:r>
      <w:r w:rsidR="00076C70">
        <w:t xml:space="preserve">anisotropic </w:t>
      </w:r>
      <w:r>
        <w:t xml:space="preserve">Matérn covariance functions  with independent scales but shared </w:t>
      </w:r>
      <m:oMath>
        <m:r>
          <w:rPr>
            <w:rFonts w:ascii="Cambria Math" w:hAnsi="Cambria Math"/>
          </w:rPr>
          <m:t>κ</m:t>
        </m:r>
      </m:oMath>
      <w:r>
        <w:t xml:space="preserve"> parameters controlli</w:t>
      </w:r>
      <w:r>
        <w:t xml:space="preserve">ng the rate of decay of spatial correlation with distance </w:t>
      </w:r>
      <w:r w:rsidR="00254CA9" w:rsidRPr="00254CA9">
        <w:rPr>
          <w:highlight w:val="yellow"/>
        </w:rPr>
        <w:t>\citep{cressie2011</w:t>
      </w:r>
      <w:r w:rsidR="00076C70">
        <w:rPr>
          <w:highlight w:val="yellow"/>
        </w:rPr>
        <w:t>; a Thorson paper</w:t>
      </w:r>
      <w:r w:rsidR="00254CA9" w:rsidRPr="00254CA9">
        <w:rPr>
          <w:highlight w:val="yellow"/>
        </w:rPr>
        <w:t>}.</w:t>
      </w:r>
      <w:r w:rsidR="00F80F53">
        <w:t xml:space="preserve"> </w:t>
      </w:r>
    </w:p>
    <w:p w14:paraId="4B094A2D" w14:textId="63ADF755" w:rsidR="00475E9E" w:rsidRDefault="00D16E01">
      <w:pPr>
        <w:pStyle w:val="BodyText"/>
      </w:pPr>
      <w:r>
        <w:t>We approximate</w:t>
      </w:r>
      <w:r w:rsidR="0039040B">
        <w:t>d the</w:t>
      </w:r>
      <w:r>
        <w:t xml:space="preserve"> </w:t>
      </w:r>
      <w:r w:rsidRPr="00D16E01">
        <w:t>random fields</w:t>
      </w:r>
      <w:r>
        <w:t xml:space="preserve"> using </w:t>
      </w:r>
      <w:r w:rsidR="0046035D">
        <w:t xml:space="preserve">350 </w:t>
      </w:r>
      <w:r w:rsidR="0039040B">
        <w:t>“</w:t>
      </w:r>
      <w:r w:rsidR="00AC7B3F">
        <w:t>knots</w:t>
      </w:r>
      <w:r w:rsidR="0039040B">
        <w:t>”</w:t>
      </w:r>
      <w:r w:rsidR="00C13AF9">
        <w:t xml:space="preserve"> </w:t>
      </w:r>
      <w:r w:rsidR="00D9604B" w:rsidRPr="00D9604B">
        <w:rPr>
          <w:highlight w:val="yellow"/>
        </w:rPr>
        <w:t>\citep{rue2009, lindgren2011}</w:t>
      </w:r>
      <w:r w:rsidR="0039040B">
        <w:t xml:space="preserve"> as calculated with the INLA R package </w:t>
      </w:r>
      <w:r w:rsidR="0039040B" w:rsidRPr="00DB1578">
        <w:rPr>
          <w:highlight w:val="yellow"/>
        </w:rPr>
        <w:t>\citep{rue2009}</w:t>
      </w:r>
      <w:r w:rsidR="0039040B">
        <w:t xml:space="preserve"> and used b</w:t>
      </w:r>
      <w:r w:rsidR="0046035D">
        <w:t>ilinear interpolation to predict at locations between the knots</w:t>
      </w:r>
      <w:r w:rsidR="0039040B">
        <w:t>. We used</w:t>
      </w:r>
      <w:r w:rsidR="00491FF1">
        <w:t xml:space="preserve"> the </w:t>
      </w:r>
      <w:r w:rsidR="0046035D" w:rsidRPr="0046035D">
        <w:t>generaliz</w:t>
      </w:r>
      <w:r w:rsidR="0046035D">
        <w:t>ed</w:t>
      </w:r>
      <w:r w:rsidR="0046035D" w:rsidRPr="0046035D">
        <w:t xml:space="preserve"> delta</w:t>
      </w:r>
      <w:r w:rsidR="0046035D">
        <w:t>-</w:t>
      </w:r>
      <w:r w:rsidR="0046035D" w:rsidRPr="0046035D">
        <w:t>method to calculate standard errors</w:t>
      </w:r>
      <w:r w:rsidR="00491FF1">
        <w:t xml:space="preserve">. </w:t>
      </w:r>
      <w:r w:rsidR="00441C44">
        <w:t>We found the min</w:t>
      </w:r>
      <w:r w:rsidR="00F81555">
        <w:t xml:space="preserve">imum log likelihood using the R nlminb optimization routine with Template Model Builder implementing the Laplace approximation to the marginal likelihood. </w:t>
      </w:r>
      <w:r w:rsidR="00C13AF9">
        <w:t xml:space="preserve"> </w:t>
      </w:r>
      <w:r w:rsidR="00C13AF9">
        <w:t xml:space="preserve">Specifically, we fit our models with the R package sdmTMB </w:t>
      </w:r>
      <w:r w:rsidR="00C13AF9" w:rsidRPr="00D9604B">
        <w:t xml:space="preserve"> </w:t>
      </w:r>
      <w:r w:rsidR="00C13AF9" w:rsidRPr="00D9604B">
        <w:rPr>
          <w:highlight w:val="yellow"/>
        </w:rPr>
        <w:t>\citep{anderson2019synopsis, sdmTMB},</w:t>
      </w:r>
      <w:r w:rsidR="00C13AF9">
        <w:t xml:space="preserve"> which interfaces automatic differentiation in Template Model Builder </w:t>
      </w:r>
      <w:r w:rsidR="00C13AF9" w:rsidRPr="00D9604B">
        <w:t>\</w:t>
      </w:r>
      <w:r w:rsidR="00C13AF9" w:rsidRPr="00D9604B">
        <w:rPr>
          <w:highlight w:val="yellow"/>
        </w:rPr>
        <w:t>citep{kristensen2016}</w:t>
      </w:r>
      <w:r w:rsidR="00C13AF9">
        <w:t xml:space="preserve"> with INLA.</w:t>
      </w:r>
    </w:p>
    <w:sectPr w:rsidR="00475E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3DD46" w14:textId="77777777" w:rsidR="00000000" w:rsidRDefault="00C13AF9">
      <w:pPr>
        <w:spacing w:after="0"/>
      </w:pPr>
      <w:r>
        <w:separator/>
      </w:r>
    </w:p>
  </w:endnote>
  <w:endnote w:type="continuationSeparator" w:id="0">
    <w:p w14:paraId="6E605871" w14:textId="77777777" w:rsidR="00000000" w:rsidRDefault="00C13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F6F19" w14:textId="77777777" w:rsidR="00475E9E" w:rsidRDefault="00C13AF9">
      <w:r>
        <w:separator/>
      </w:r>
    </w:p>
  </w:footnote>
  <w:footnote w:type="continuationSeparator" w:id="0">
    <w:p w14:paraId="01ABB4BF" w14:textId="77777777" w:rsidR="00475E9E" w:rsidRDefault="00C1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8E61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C70"/>
    <w:rsid w:val="00254CA9"/>
    <w:rsid w:val="0039040B"/>
    <w:rsid w:val="00441C44"/>
    <w:rsid w:val="0046035D"/>
    <w:rsid w:val="00475E9E"/>
    <w:rsid w:val="00491FF1"/>
    <w:rsid w:val="004E29B3"/>
    <w:rsid w:val="00590D07"/>
    <w:rsid w:val="00784D58"/>
    <w:rsid w:val="008D6863"/>
    <w:rsid w:val="00AC7B3F"/>
    <w:rsid w:val="00AE4928"/>
    <w:rsid w:val="00B86B75"/>
    <w:rsid w:val="00BC48D5"/>
    <w:rsid w:val="00C13AF9"/>
    <w:rsid w:val="00C36279"/>
    <w:rsid w:val="00D16E01"/>
    <w:rsid w:val="00D9604B"/>
    <w:rsid w:val="00DB1578"/>
    <w:rsid w:val="00E315A3"/>
    <w:rsid w:val="00F80F53"/>
    <w:rsid w:val="00F815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BA2B9"/>
  <w15:docId w15:val="{0860EF58-BD48-4342-AA89-2FB522E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Sean Anderson</cp:lastModifiedBy>
  <cp:revision>15</cp:revision>
  <dcterms:created xsi:type="dcterms:W3CDTF">2020-06-17T22:24:00Z</dcterms:created>
  <dcterms:modified xsi:type="dcterms:W3CDTF">2020-06-17T22:46:00Z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