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7C57" w14:textId="77777777" w:rsidR="00B0130D" w:rsidRDefault="00D5623F" w:rsidP="0021208C">
      <w:pPr>
        <w:spacing w:after="0"/>
      </w:pPr>
      <w:r w:rsidRPr="00D5623F">
        <w:t>Recommendation by the Subject Editor (anonymous):</w:t>
      </w:r>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fields model suffer from Identifiability issues even without observation error and looking at the equation definitely make me fear that this is the case. The simulation studies should explore changes in the magnitude of all variance parameters (sigma_0, sigma_{0,trend}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t>
      </w:r>
      <w:commentRangeStart w:id="0"/>
      <w:r w:rsidRPr="00B0130D">
        <w:rPr>
          <w:b/>
        </w:rPr>
        <w:t xml:space="preserve">We modified the text to point the reader to these studies.  </w:t>
      </w:r>
      <w:commentRangeEnd w:id="0"/>
      <w:r w:rsidRPr="00B0130D">
        <w:rPr>
          <w:rStyle w:val="CommentReference"/>
          <w:b/>
        </w:rPr>
        <w:commentReference w:id="0"/>
      </w:r>
      <w:r w:rsidRPr="00B0130D">
        <w:rPr>
          <w:b/>
        </w:rPr>
        <w:t xml:space="preserve">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0C0337FC" w14:textId="77777777" w:rsidR="00E16CA2" w:rsidRDefault="008D3858" w:rsidP="0021208C">
      <w:pPr>
        <w:spacing w:after="0"/>
      </w:pPr>
      <w:r>
        <w:rPr>
          <w:b/>
        </w:rPr>
        <w:t>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unmodeled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r>
      <w:commentRangeStart w:id="1"/>
      <w:r w:rsidR="00D5623F" w:rsidRPr="00D5623F">
        <w:t>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in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this.</w:t>
      </w:r>
      <w:commentRangeEnd w:id="1"/>
      <w:r w:rsidR="00D5623F">
        <w:rPr>
          <w:rStyle w:val="CommentReference"/>
        </w:rPr>
        <w:commentReference w:id="1"/>
      </w:r>
      <w:r w:rsidR="00D5623F" w:rsidRPr="00D5623F">
        <w:br/>
      </w:r>
      <w:r w:rsidR="00D5623F" w:rsidRPr="00D5623F">
        <w:br/>
      </w:r>
      <w:commentRangeStart w:id="2"/>
      <w:proofErr w:type="gramStart"/>
      <w:r w:rsidR="00D5623F" w:rsidRPr="00D5623F">
        <w:t>7.</w:t>
      </w:r>
      <w:proofErr w:type="gramEnd"/>
      <w:r w:rsidR="00D5623F" w:rsidRPr="00D5623F">
        <w:t xml:space="preserve"> Similarly here, it took me a while to understand the clustering algorithm and its goal. I think it needs to be clarified here and likely needs its own paragraph (separated from the COG). I might be wrong, but </w:t>
      </w:r>
      <w:r w:rsidR="00D5623F" w:rsidRPr="00D5623F">
        <w:lastRenderedPageBreak/>
        <w:t xml:space="preserve">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r w:rsidR="00D5623F" w:rsidRPr="00D5623F">
        <w:br/>
      </w:r>
      <w:r w:rsidR="00D5623F" w:rsidRPr="00D5623F">
        <w:br/>
        <w:t xml:space="preserve">8. I don’t find Fig 4 compelling. Almost none of the clusters matched the bottom line, and only a few matched the top line. </w:t>
      </w:r>
      <w:commentRangeStart w:id="3"/>
      <w:r w:rsidR="00D5623F" w:rsidRPr="00D5623F">
        <w:t>What are you defining as near</w:t>
      </w:r>
      <w:commentRangeEnd w:id="3"/>
      <w:r w:rsidR="0068799B">
        <w:rPr>
          <w:rStyle w:val="CommentReference"/>
        </w:rPr>
        <w:commentReference w:id="3"/>
      </w:r>
      <w:r w:rsidR="00D5623F" w:rsidRPr="00D5623F">
        <w:t xml:space="preserve">? I </w:t>
      </w:r>
      <w:proofErr w:type="spellStart"/>
      <w:r w:rsidR="00D5623F" w:rsidRPr="00D5623F">
        <w:t>woonder</w:t>
      </w:r>
      <w:proofErr w:type="spellEnd"/>
      <w:r w:rsidR="00D5623F" w:rsidRPr="00D5623F">
        <w:t xml:space="preserve"> if adding area boundaries to the second column of Fig 5 would better show your results? Or maybe the clusters are not really getting at these boundaries?</w:t>
      </w:r>
      <w:commentRangeEnd w:id="2"/>
      <w:r w:rsidR="0034385C">
        <w:rPr>
          <w:rStyle w:val="CommentReference"/>
        </w:rPr>
        <w:commentReference w:id="2"/>
      </w:r>
      <w:r w:rsidR="00D5623F" w:rsidRPr="00D5623F">
        <w:br/>
      </w:r>
      <w:r w:rsidR="00D5623F" w:rsidRPr="00D5623F">
        <w:br/>
        <w:t>Minor comments:</w:t>
      </w:r>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77777777" w:rsidR="008C5948" w:rsidRDefault="00E16CA2" w:rsidP="0021208C">
      <w:pPr>
        <w:spacing w:after="0"/>
        <w:rPr>
          <w:b/>
        </w:rPr>
      </w:pPr>
      <w:r w:rsidRPr="00696258">
        <w:rPr>
          <w:b/>
          <w:highlight w:val="yellow"/>
        </w:rPr>
        <w:t xml:space="preserve">We revised the title to </w:t>
      </w:r>
      <w:r w:rsidR="008C5948" w:rsidRPr="00696258">
        <w:rPr>
          <w:b/>
          <w:highlight w:val="yellow"/>
        </w:rPr>
        <w:t>emphasize</w:t>
      </w:r>
      <w:r w:rsidRPr="00696258">
        <w:rPr>
          <w:b/>
          <w:highlight w:val="yellow"/>
        </w:rPr>
        <w:t xml:space="preserve"> that we are </w:t>
      </w:r>
      <w:r w:rsidR="008C5948" w:rsidRPr="00696258">
        <w:rPr>
          <w:b/>
          <w:highlight w:val="yellow"/>
        </w:rPr>
        <w:t>introducing a novel approach</w:t>
      </w:r>
      <w:r w:rsidR="008C5948">
        <w:rPr>
          <w:b/>
        </w:rPr>
        <w:t>.</w:t>
      </w:r>
    </w:p>
    <w:p w14:paraId="2E7117F6" w14:textId="77777777" w:rsidR="00645A36" w:rsidRDefault="00D5623F" w:rsidP="0021208C">
      <w:pPr>
        <w:spacing w:after="0"/>
        <w:rPr>
          <w:ins w:id="4" w:author="Lewis.Barnett" w:date="2020-06-23T15:03:00Z"/>
        </w:rPr>
      </w:pPr>
      <w:r w:rsidRPr="00D5623F">
        <w:br/>
        <w:t>L147: I think it’s a bad idea to call it spatial trend. You are trying to get a temporal trend? I think 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rPr>
          <w:ins w:id="5" w:author="Lewis.Barnett" w:date="2020-06-23T15:03:00Z"/>
        </w:rPr>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40BECB09" w14:textId="77777777" w:rsidR="00781CE5" w:rsidRDefault="00781CE5" w:rsidP="0021208C">
      <w:pPr>
        <w:spacing w:after="0"/>
      </w:pPr>
    </w:p>
    <w:p w14:paraId="6F87BD3E" w14:textId="757265F8" w:rsidR="00661C37" w:rsidRDefault="00D5623F" w:rsidP="0021208C">
      <w:pPr>
        <w:spacing w:after="0"/>
      </w:pPr>
      <w:r w:rsidRPr="00D5623F">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2D17F9C1" w:rsidR="005840DB" w:rsidRDefault="00661C37" w:rsidP="0021208C">
      <w:pPr>
        <w:spacing w:after="0"/>
      </w:pPr>
      <w:r w:rsidRPr="00661C37">
        <w:rPr>
          <w:b/>
        </w:rPr>
        <w:t xml:space="preserve">Revised as requested with lines at the two latitudinal breaks that were previously labeled </w:t>
      </w:r>
      <w:r>
        <w:rPr>
          <w:b/>
        </w:rPr>
        <w:t>with</w:t>
      </w:r>
      <w:r w:rsidRPr="00661C37">
        <w:rPr>
          <w:b/>
        </w:rPr>
        <w:t xml:space="preserve"> location names.</w:t>
      </w:r>
      <w:r w:rsidR="00D5623F" w:rsidRPr="00D5623F">
        <w:br/>
      </w:r>
      <w:r w:rsidR="00D5623F" w:rsidRPr="00D5623F">
        <w:br/>
        <w:t>Fig 3.  why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4319CC34"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br/>
        <w:t xml:space="preserve">Fig.5 Why the mean density value over all years? Why not the value at </w:t>
      </w:r>
      <w:commentRangeStart w:id="6"/>
      <w:r w:rsidR="00D5623F" w:rsidRPr="00D5623F">
        <w:t xml:space="preserve">t 0 and final time, </w:t>
      </w:r>
      <w:commentRangeEnd w:id="6"/>
      <w:r w:rsidR="005204BF">
        <w:rPr>
          <w:rStyle w:val="CommentReference"/>
        </w:rPr>
        <w:commentReference w:id="6"/>
      </w:r>
      <w:r w:rsidR="00D5623F" w:rsidRPr="00D5623F">
        <w:t xml:space="preserve">to show the trends. Even if it’s not striking, it might make the point that just comparing the predicted value at time 0 and last year is less powerful than looking at the trend estimated. The </w:t>
      </w:r>
      <w:r w:rsidR="00661C37">
        <w:t>map projection is also strange.</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2765F368" w:rsidR="00E16CA2" w:rsidRDefault="00E16CA2" w:rsidP="0021208C">
      <w:pPr>
        <w:spacing w:after="0"/>
      </w:pPr>
      <w:r>
        <w:rPr>
          <w:b/>
        </w:rPr>
        <w:t>We revised the title to highlight our development of a novel approach.</w:t>
      </w:r>
      <w:r w:rsidR="00D421A4">
        <w:rPr>
          <w:b/>
        </w:rPr>
        <w:t xml:space="preserve"> We also </w:t>
      </w:r>
      <w:commentRangeStart w:id="7"/>
      <w:r w:rsidR="00D421A4">
        <w:rPr>
          <w:b/>
        </w:rPr>
        <w:t>revised the introduction and discussion to further emphasize relevance to fields beyond fisheries</w:t>
      </w:r>
      <w:commentRangeEnd w:id="7"/>
      <w:r w:rsidR="00D421A4">
        <w:rPr>
          <w:rStyle w:val="CommentReference"/>
        </w:rPr>
        <w:commentReference w:id="7"/>
      </w:r>
      <w:r w:rsidR="00D421A4">
        <w:rPr>
          <w:b/>
        </w:rPr>
        <w:t>.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w:t>
      </w:r>
      <w:commentRangeStart w:id="8"/>
      <w:r>
        <w:rPr>
          <w:b/>
        </w:rPr>
        <w:t>added additional text and citations to the introduction and discussion to provide more direct analogies to established terrestrial approaches to species distribution modeling and multiple data types.</w:t>
      </w:r>
      <w:commentRangeEnd w:id="8"/>
      <w:r>
        <w:rPr>
          <w:rStyle w:val="CommentReference"/>
        </w:rPr>
        <w:commentReference w:id="8"/>
      </w:r>
    </w:p>
    <w:p w14:paraId="33B5FBE0" w14:textId="77777777" w:rsidR="00FC6767" w:rsidRDefault="00D5623F" w:rsidP="0021208C">
      <w:pPr>
        <w:spacing w:after="0"/>
      </w:pPr>
      <w:r w:rsidRPr="00D5623F">
        <w:br/>
        <w:t>If I understand correctly a major limitation in the model is that it requires a linear trend in density and distribution.  Given the introduction I assumed that the model would take into account species density 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 xml:space="preserve">where the response is a linear function of the coefficients.  However, this does not mean that all response variables must have a linear </w:t>
      </w:r>
      <w:r w:rsidRPr="00B06449">
        <w:rPr>
          <w:b/>
          <w:highlight w:val="yellow"/>
        </w:rPr>
        <w:t>relationship with covariat</w:t>
      </w:r>
      <w:r>
        <w:rPr>
          <w:b/>
        </w:rPr>
        <w: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(Sagarin and Gaines 2002, Sagarin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77777777" w:rsidR="008C5948" w:rsidRDefault="008C5948" w:rsidP="0021208C">
      <w:pPr>
        <w:spacing w:after="0"/>
      </w:pP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Line 149 – Figure 1, like all of the figures in the manuscript excluding figure 2, is a bit of a challenge.  Judging from the model is it necessary that the trend be linear from year to year?  I’m not 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t>Figure 4 – I find it almost impossible to decipher anything from this figure.</w:t>
      </w:r>
    </w:p>
    <w:p w14:paraId="6C101D7C" w14:textId="77777777" w:rsidR="008C5948" w:rsidRDefault="008C5948" w:rsidP="0021208C">
      <w:pPr>
        <w:spacing w:after="0"/>
      </w:pPr>
    </w:p>
    <w:p w14:paraId="065E7358" w14:textId="77777777" w:rsidR="008C5948" w:rsidRDefault="008C5948" w:rsidP="0021208C">
      <w:pPr>
        <w:spacing w:after="0"/>
      </w:pPr>
    </w:p>
    <w:p w14:paraId="60CF1F64" w14:textId="707BA678" w:rsidR="00D01BAE" w:rsidRDefault="00D5623F" w:rsidP="0021208C">
      <w:pPr>
        <w:spacing w:after="0"/>
      </w:pPr>
      <w:r w:rsidRPr="00D5623F">
        <w:br/>
        <w:t>Figure 5 – labeling the North American continent may make it more readily apparent that each tile represents the west coast.  What do the colors in column 2 represent?  There is no legend.</w:t>
      </w: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t>Literature Cited in Response</w:t>
      </w:r>
      <w:r w:rsidRPr="00FB38D4">
        <w:rPr>
          <w:b/>
        </w:rPr>
        <w:br/>
      </w:r>
    </w:p>
    <w:p w14:paraId="12FB5293" w14:textId="77777777" w:rsidR="00FB38D4" w:rsidRPr="00FB38D4" w:rsidRDefault="00FB38D4" w:rsidP="00FB38D4">
      <w:pPr>
        <w:pStyle w:val="Bibliography"/>
        <w:rPr>
          <w:rFonts w:ascii="Calibri" w:hAnsi="Calibri" w:cs="Calibri"/>
        </w:rPr>
      </w:pPr>
      <w:r>
        <w:fldChar w:fldCharType="begin"/>
      </w:r>
      <w:r>
        <w:instrText xml:space="preserve"> ADDIN ZOTERO_BIBL {"uncited":[],"omitted":[],"custom":[]} CSL_BIBLIOGRAPHY </w:instrText>
      </w:r>
      <w:r>
        <w:fldChar w:fldCharType="separate"/>
      </w:r>
      <w:r w:rsidRPr="00FB38D4">
        <w:rPr>
          <w:rFonts w:ascii="Calibri" w:hAnsi="Calibri" w:cs="Calibri"/>
        </w:rPr>
        <w:t>Anderson, S. C., and E. J. Ward. 2019. Black Swans in Space: Modeling Spatiotemporal Processes with Extremes. Ecology 100:e02403.</w:t>
      </w:r>
    </w:p>
    <w:p w14:paraId="4E9B9D4E" w14:textId="77777777" w:rsidR="00FB38D4" w:rsidRPr="00FB38D4" w:rsidRDefault="00FB38D4" w:rsidP="00FB38D4">
      <w:pPr>
        <w:pStyle w:val="Bibliography"/>
        <w:rPr>
          <w:rFonts w:ascii="Calibri" w:hAnsi="Calibri" w:cs="Calibri"/>
        </w:rPr>
      </w:pPr>
      <w:r w:rsidRPr="00FB38D4">
        <w:rPr>
          <w:rFonts w:ascii="Calibri" w:hAnsi="Calibri" w:cs="Calibri"/>
        </w:rPr>
        <w:t>Sagarin, R. D., and S. D. Gaines. 2002. The ‘abundant centre’ distribution: to what extent is it a biogeographical rule? Ecology Letters 5:137–147.</w:t>
      </w:r>
    </w:p>
    <w:p w14:paraId="42EE9340" w14:textId="77777777" w:rsidR="00FB38D4" w:rsidRPr="00FB38D4" w:rsidRDefault="00FB38D4" w:rsidP="00FB38D4">
      <w:pPr>
        <w:pStyle w:val="Bibliography"/>
        <w:rPr>
          <w:rFonts w:ascii="Calibri" w:hAnsi="Calibri" w:cs="Calibri"/>
        </w:rPr>
      </w:pPr>
      <w:r w:rsidRPr="00FB38D4">
        <w:rPr>
          <w:rFonts w:ascii="Calibri" w:hAnsi="Calibri" w:cs="Calibri"/>
        </w:rPr>
        <w:t>Sagarin, R. D., S. D. Gaines, and B. Gaylord. 2006. Moving beyond assumptions to understand abundance distributions across the ranges of species. Trends in Ecology &amp; Evolution 21:524–530.</w:t>
      </w:r>
    </w:p>
    <w:p w14:paraId="7AD18172" w14:textId="23A7BE19"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wis Barnett" w:date="2020-06-09T11:41:00Z" w:initials="LB">
    <w:p w14:paraId="2135B758" w14:textId="48FA3611" w:rsidR="0021208C" w:rsidRDefault="0021208C">
      <w:pPr>
        <w:pStyle w:val="CommentText"/>
      </w:pPr>
      <w:r>
        <w:rPr>
          <w:rStyle w:val="CommentReference"/>
        </w:rPr>
        <w:annotationRef/>
      </w:r>
      <w:r w:rsidRPr="0021208C">
        <w:t xml:space="preserve">cite a number of other papers that use similar simulations. These would include Sean’s </w:t>
      </w:r>
      <w:proofErr w:type="spellStart"/>
      <w:r w:rsidRPr="0021208C">
        <w:t>glmmfields</w:t>
      </w:r>
      <w:proofErr w:type="spellEnd"/>
      <w:r w:rsidRPr="0021208C">
        <w:t xml:space="preserve"> paper, a lot of Thorson’s VAST papers, and any others that use INLA / TMB</w:t>
      </w:r>
    </w:p>
  </w:comment>
  <w:comment w:id="1" w:author="Lewis Barnett" w:date="2020-05-11T11:43:00Z" w:initials="LB">
    <w:p w14:paraId="636991BD" w14:textId="77777777" w:rsidR="00D5623F" w:rsidRDefault="00D5623F">
      <w:pPr>
        <w:pStyle w:val="CommentText"/>
      </w:pPr>
      <w:r>
        <w:rPr>
          <w:rStyle w:val="CommentReference"/>
        </w:rPr>
        <w:annotationRef/>
      </w:r>
      <w:r>
        <w:t xml:space="preserve">Add sentence to intro/methods clarifying contrasts further: coastwide COG, </w:t>
      </w:r>
      <w:proofErr w:type="spellStart"/>
      <w:r>
        <w:t>subregional</w:t>
      </w:r>
      <w:proofErr w:type="spellEnd"/>
      <w:r>
        <w:t xml:space="preserve"> COG, spatial trend</w:t>
      </w:r>
    </w:p>
  </w:comment>
  <w:comment w:id="3" w:author="Lewis Barnett" w:date="2020-05-11T12:23:00Z" w:initials="LB">
    <w:p w14:paraId="35B9F05E" w14:textId="74146976" w:rsidR="0068799B" w:rsidRDefault="0068799B">
      <w:pPr>
        <w:pStyle w:val="CommentText"/>
      </w:pPr>
      <w:r>
        <w:rPr>
          <w:rStyle w:val="CommentReference"/>
        </w:rPr>
        <w:annotationRef/>
      </w:r>
      <w:r>
        <w:t>Thinking of a better way to demonstrate proximity and non-randomness of cluster boundaries</w:t>
      </w:r>
    </w:p>
  </w:comment>
  <w:comment w:id="2" w:author="Lewis Barnett" w:date="2020-05-11T11:57:00Z" w:initials="LB">
    <w:p w14:paraId="64541FCC" w14:textId="28A14603" w:rsidR="0034385C" w:rsidRDefault="0034385C">
      <w:pPr>
        <w:pStyle w:val="CommentText"/>
      </w:pPr>
      <w:r>
        <w:rPr>
          <w:rStyle w:val="CommentReference"/>
        </w:rPr>
        <w:annotationRef/>
      </w:r>
      <w:r>
        <w:t>They don’t like/understand the clustering approach</w:t>
      </w:r>
    </w:p>
    <w:p w14:paraId="4E079E75" w14:textId="1556BF48" w:rsidR="002720DC" w:rsidRDefault="002720DC">
      <w:pPr>
        <w:pStyle w:val="CommentText"/>
      </w:pPr>
    </w:p>
    <w:p w14:paraId="7B237CFB" w14:textId="77777777" w:rsidR="002720DC" w:rsidRPr="002720DC" w:rsidRDefault="002720DC" w:rsidP="002720DC">
      <w:pPr>
        <w:pStyle w:val="CommentText"/>
      </w:pPr>
      <w:r w:rsidRPr="002720DC">
        <w:t xml:space="preserve">On the topic of the clustering analysis, it seems like we could address the comments by doing some combination of the </w:t>
      </w:r>
      <w:proofErr w:type="gramStart"/>
      <w:r w:rsidRPr="002720DC">
        <w:t>following?:</w:t>
      </w:r>
      <w:proofErr w:type="gramEnd"/>
    </w:p>
    <w:p w14:paraId="1B7E98AE" w14:textId="77777777" w:rsidR="002720DC" w:rsidRPr="002720DC" w:rsidRDefault="002720DC" w:rsidP="002720DC">
      <w:pPr>
        <w:pStyle w:val="CommentText"/>
      </w:pPr>
      <w:r w:rsidRPr="002720DC">
        <w:t>1) pushing back against the idea of using a spatial clustering method, since the spatial structure is already determined by the underlying model?  </w:t>
      </w:r>
    </w:p>
    <w:p w14:paraId="62B40979" w14:textId="77777777" w:rsidR="002720DC" w:rsidRPr="002720DC" w:rsidRDefault="002720DC" w:rsidP="002720DC">
      <w:pPr>
        <w:pStyle w:val="CommentText"/>
      </w:pPr>
      <w:r w:rsidRPr="002720DC">
        <w:t xml:space="preserve">2) potentially going back to showing COG trends by cluster rather than by biogeographic boundaries that were similar to cluster </w:t>
      </w:r>
      <w:proofErr w:type="gramStart"/>
      <w:r w:rsidRPr="002720DC">
        <w:t>boundaries?</w:t>
      </w:r>
      <w:proofErr w:type="gramEnd"/>
      <w:r w:rsidRPr="002720DC">
        <w:t>  Or explaining why we made the switch initially?</w:t>
      </w:r>
    </w:p>
    <w:p w14:paraId="2FDC64FD" w14:textId="77777777" w:rsidR="002720DC" w:rsidRPr="002720DC" w:rsidRDefault="002720DC" w:rsidP="002720DC">
      <w:pPr>
        <w:pStyle w:val="CommentText"/>
      </w:pPr>
      <w:r w:rsidRPr="002720DC">
        <w:t>3) Clarify our interpretation of fig 4 by implementing a more specific criteria for proximity of latitudinal boundaries of spatial trend clusters to biogeographic breaks?</w:t>
      </w:r>
    </w:p>
    <w:p w14:paraId="3BF4D94A" w14:textId="77777777" w:rsidR="002720DC" w:rsidRDefault="002720DC">
      <w:pPr>
        <w:pStyle w:val="CommentText"/>
      </w:pPr>
    </w:p>
  </w:comment>
  <w:comment w:id="6" w:author="Lewis Barnett" w:date="2020-06-16T15:53:00Z" w:initials="LB">
    <w:p w14:paraId="504A3210" w14:textId="3A2EE3A9" w:rsidR="005204BF" w:rsidRDefault="005204BF">
      <w:pPr>
        <w:pStyle w:val="CommentText"/>
      </w:pPr>
      <w:r>
        <w:rPr>
          <w:rStyle w:val="CommentReference"/>
        </w:rPr>
        <w:annotationRef/>
      </w:r>
      <w:r>
        <w:t>Change or justify using mean as “weight”</w:t>
      </w:r>
    </w:p>
  </w:comment>
  <w:comment w:id="7" w:author="Lewis Barnett" w:date="2020-06-16T14:45:00Z" w:initials="LB">
    <w:p w14:paraId="323BC466" w14:textId="79CB2D8E" w:rsidR="00D421A4" w:rsidRDefault="00D421A4">
      <w:pPr>
        <w:pStyle w:val="CommentText"/>
      </w:pPr>
      <w:r>
        <w:rPr>
          <w:rStyle w:val="CommentReference"/>
        </w:rPr>
        <w:annotationRef/>
      </w:r>
      <w:r>
        <w:t>To do</w:t>
      </w:r>
    </w:p>
  </w:comment>
  <w:comment w:id="8" w:author="Lewis Barnett" w:date="2020-06-16T14:51:00Z" w:initials="LB">
    <w:p w14:paraId="48525BA9" w14:textId="0FBCD37B" w:rsidR="00D421A4" w:rsidRDefault="00D421A4">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35B758" w15:done="0"/>
  <w15:commentEx w15:paraId="636991BD" w15:done="0"/>
  <w15:commentEx w15:paraId="35B9F05E" w15:done="0"/>
  <w15:commentEx w15:paraId="3BF4D94A" w15:done="0"/>
  <w15:commentEx w15:paraId="504A3210" w15:done="0"/>
  <w15:commentEx w15:paraId="323BC466" w15:done="0"/>
  <w15:commentEx w15:paraId="48525B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636991BD" w16cid:durableId="229498B4"/>
  <w16cid:commentId w16cid:paraId="35B9F05E" w16cid:durableId="229498B5"/>
  <w16cid:commentId w16cid:paraId="3BF4D94A" w16cid:durableId="22A586B6"/>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23F"/>
    <w:rsid w:val="000746C7"/>
    <w:rsid w:val="001665DF"/>
    <w:rsid w:val="001723BB"/>
    <w:rsid w:val="0021208C"/>
    <w:rsid w:val="00212275"/>
    <w:rsid w:val="00234DDB"/>
    <w:rsid w:val="002720DC"/>
    <w:rsid w:val="0034385C"/>
    <w:rsid w:val="0038389B"/>
    <w:rsid w:val="003B1619"/>
    <w:rsid w:val="004D5D6B"/>
    <w:rsid w:val="004E7F46"/>
    <w:rsid w:val="005204BF"/>
    <w:rsid w:val="005437E4"/>
    <w:rsid w:val="005840DB"/>
    <w:rsid w:val="006454A2"/>
    <w:rsid w:val="00645A36"/>
    <w:rsid w:val="00661C37"/>
    <w:rsid w:val="0068799B"/>
    <w:rsid w:val="00696258"/>
    <w:rsid w:val="00781CE5"/>
    <w:rsid w:val="0080583F"/>
    <w:rsid w:val="00844A0D"/>
    <w:rsid w:val="008C5948"/>
    <w:rsid w:val="008D3858"/>
    <w:rsid w:val="009066B4"/>
    <w:rsid w:val="009216AB"/>
    <w:rsid w:val="00953429"/>
    <w:rsid w:val="00953921"/>
    <w:rsid w:val="00964DF3"/>
    <w:rsid w:val="00B00FF3"/>
    <w:rsid w:val="00B0130D"/>
    <w:rsid w:val="00B06449"/>
    <w:rsid w:val="00B56819"/>
    <w:rsid w:val="00B6170F"/>
    <w:rsid w:val="00C23BA9"/>
    <w:rsid w:val="00C269E2"/>
    <w:rsid w:val="00C4030E"/>
    <w:rsid w:val="00CE189B"/>
    <w:rsid w:val="00D01BAE"/>
    <w:rsid w:val="00D213DB"/>
    <w:rsid w:val="00D421A4"/>
    <w:rsid w:val="00D5623F"/>
    <w:rsid w:val="00DF2A40"/>
    <w:rsid w:val="00E16CA2"/>
    <w:rsid w:val="00E45B64"/>
    <w:rsid w:val="00ED5B1A"/>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F2889-7217-4F79-9908-69765375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7</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Sean Anderson</cp:lastModifiedBy>
  <cp:revision>17</cp:revision>
  <dcterms:created xsi:type="dcterms:W3CDTF">2020-06-23T21:27:00Z</dcterms:created>
  <dcterms:modified xsi:type="dcterms:W3CDTF">2020-06-30T17:50:00Z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id="17AU2pWe"/&gt;&lt;style id="http://www.zotero.org/styles/ecology" hasBibliography="1" bibliographyStyleHasBeenSet="1"/&gt;&lt;prefs&gt;&lt;pref name="fieldType" value="Field"/&gt;&lt;/prefs&gt;&lt;/data&gt;</vt:lpwstr>
  </property>
</Properties>
</file>