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0B8F0" w14:textId="77777777" w:rsidR="00140B5D" w:rsidRPr="00140B5D" w:rsidRDefault="00140B5D" w:rsidP="00140B5D">
      <w:pPr>
        <w:spacing w:after="0" w:line="480" w:lineRule="auto"/>
        <w:rPr>
          <w:rFonts w:ascii="Times" w:eastAsia="Times New Roman" w:hAnsi="Times" w:cs="Times New Roman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>APPENDIX TABLES</w:t>
      </w:r>
    </w:p>
    <w:p w14:paraId="0663ABCD" w14:textId="77777777" w:rsidR="00140B5D" w:rsidRPr="00140B5D" w:rsidRDefault="00140B5D" w:rsidP="00140B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Table S1. Simulation parameters to evaluate sensitivity to spatiotemporal variation and observation error.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4962"/>
        <w:gridCol w:w="2376"/>
      </w:tblGrid>
      <w:tr w:rsidR="00140B5D" w:rsidRPr="00140B5D" w14:paraId="32523F11" w14:textId="77777777" w:rsidTr="008D21BA">
        <w:tc>
          <w:tcPr>
            <w:tcW w:w="0" w:type="auto"/>
          </w:tcPr>
          <w:p w14:paraId="38C29E6E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CA"/>
              </w:rPr>
              <w:t>Parameter</w:t>
            </w:r>
          </w:p>
        </w:tc>
        <w:tc>
          <w:tcPr>
            <w:tcW w:w="0" w:type="auto"/>
          </w:tcPr>
          <w:p w14:paraId="1D44BC54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CA"/>
              </w:rPr>
              <w:t>Interpretation</w:t>
            </w:r>
          </w:p>
        </w:tc>
        <w:tc>
          <w:tcPr>
            <w:tcW w:w="0" w:type="auto"/>
          </w:tcPr>
          <w:p w14:paraId="70F9983D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CA"/>
              </w:rPr>
              <w:t>Value</w:t>
            </w:r>
          </w:p>
        </w:tc>
      </w:tr>
      <w:tr w:rsidR="00140B5D" w:rsidRPr="00140B5D" w14:paraId="2B32306C" w14:textId="77777777" w:rsidTr="008D21BA">
        <w:tc>
          <w:tcPr>
            <w:tcW w:w="0" w:type="auto"/>
          </w:tcPr>
          <w:p w14:paraId="184A4007" w14:textId="77777777" w:rsidR="00140B5D" w:rsidRPr="00140B5D" w:rsidRDefault="00140B5D" w:rsidP="00140B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T</w:t>
            </w:r>
          </w:p>
        </w:tc>
        <w:tc>
          <w:tcPr>
            <w:tcW w:w="0" w:type="auto"/>
          </w:tcPr>
          <w:p w14:paraId="7386FFA4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Time steps</w:t>
            </w:r>
          </w:p>
        </w:tc>
        <w:tc>
          <w:tcPr>
            <w:tcW w:w="0" w:type="auto"/>
          </w:tcPr>
          <w:p w14:paraId="1D0A3223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</w:tr>
      <w:tr w:rsidR="00140B5D" w:rsidRPr="00140B5D" w14:paraId="41D82F55" w14:textId="77777777" w:rsidTr="008D21BA">
        <w:tc>
          <w:tcPr>
            <w:tcW w:w="0" w:type="auto"/>
          </w:tcPr>
          <w:p w14:paraId="3F78728E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CA"/>
                  </w:rPr>
                  <m:t>κ</m:t>
                </m:r>
              </m:oMath>
            </m:oMathPara>
          </w:p>
        </w:tc>
        <w:tc>
          <w:tcPr>
            <w:tcW w:w="0" w:type="auto"/>
          </w:tcPr>
          <w:p w14:paraId="0ACF8AD4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Decay of spatial correlation</w:t>
            </w:r>
          </w:p>
        </w:tc>
        <w:tc>
          <w:tcPr>
            <w:tcW w:w="0" w:type="auto"/>
          </w:tcPr>
          <w:p w14:paraId="570DA74E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</w:tr>
      <w:tr w:rsidR="00140B5D" w:rsidRPr="00140B5D" w14:paraId="4E5B34A7" w14:textId="77777777" w:rsidTr="008D21BA">
        <w:tc>
          <w:tcPr>
            <w:tcW w:w="0" w:type="auto"/>
          </w:tcPr>
          <w:p w14:paraId="1D9C9B1C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CA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CA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BF742BD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Standard deviation of spatial process</w:t>
            </w:r>
          </w:p>
        </w:tc>
        <w:tc>
          <w:tcPr>
            <w:tcW w:w="0" w:type="auto"/>
          </w:tcPr>
          <w:p w14:paraId="77C7FDA9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0.01</w:t>
            </w:r>
            <w:ins w:id="0" w:author="Lewis Barnett" w:date="2020-06-16T16:13:00Z">
              <w:r w:rsidRPr="00140B5D">
                <w:rPr>
                  <w:rFonts w:ascii="Times New Roman" w:eastAsia="Times New Roman" w:hAnsi="Times New Roman" w:cs="Times New Roman"/>
                  <w:sz w:val="24"/>
                  <w:szCs w:val="24"/>
                  <w:lang w:val="en-CA"/>
                </w:rPr>
                <w:t>, 0.25, 0.5</w:t>
              </w:r>
            </w:ins>
          </w:p>
        </w:tc>
      </w:tr>
      <w:tr w:rsidR="00140B5D" w:rsidRPr="00140B5D" w14:paraId="4A8579B2" w14:textId="77777777" w:rsidTr="008D21BA">
        <w:tc>
          <w:tcPr>
            <w:tcW w:w="0" w:type="auto"/>
          </w:tcPr>
          <w:p w14:paraId="1BFFD90A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CA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C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1361D77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Standard deviation of spatiotemporal process</w:t>
            </w:r>
          </w:p>
        </w:tc>
        <w:tc>
          <w:tcPr>
            <w:tcW w:w="0" w:type="auto"/>
          </w:tcPr>
          <w:p w14:paraId="541526FC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0.01, 0.25, 0.5, 0.75, 1</w:t>
            </w:r>
          </w:p>
        </w:tc>
      </w:tr>
      <w:tr w:rsidR="00140B5D" w:rsidRPr="00140B5D" w14:paraId="7D567EFF" w14:textId="77777777" w:rsidTr="008D21BA">
        <w:tc>
          <w:tcPr>
            <w:tcW w:w="0" w:type="auto"/>
          </w:tcPr>
          <w:p w14:paraId="7D9A8DEF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commentRangeStart w:id="1"/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CA"/>
                  </w:rPr>
                  <m:t>ϕ</m:t>
                </m:r>
                <w:commentRangeEnd w:id="1"/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w:commentReference w:id="1"/>
                </m:r>
              </m:oMath>
            </m:oMathPara>
          </w:p>
        </w:tc>
        <w:tc>
          <w:tcPr>
            <w:tcW w:w="0" w:type="auto"/>
          </w:tcPr>
          <w:p w14:paraId="2D43F5B9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Observation error scale</w:t>
            </w:r>
          </w:p>
        </w:tc>
        <w:tc>
          <w:tcPr>
            <w:tcW w:w="0" w:type="auto"/>
          </w:tcPr>
          <w:p w14:paraId="23368344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0.01, 0.25, 0.5, 0.75, 1</w:t>
            </w:r>
          </w:p>
        </w:tc>
      </w:tr>
      <w:tr w:rsidR="00140B5D" w:rsidRPr="00140B5D" w14:paraId="4C9292D5" w14:textId="77777777" w:rsidTr="008D21BA">
        <w:tc>
          <w:tcPr>
            <w:tcW w:w="0" w:type="auto"/>
          </w:tcPr>
          <w:p w14:paraId="7A52FEC9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CA"/>
                      </w:rPr>
                      <m:t>κ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CA"/>
                      </w:rPr>
                      <m:t>trend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D05527D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Decay of spatial correlation (trend field)</w:t>
            </w:r>
          </w:p>
        </w:tc>
        <w:tc>
          <w:tcPr>
            <w:tcW w:w="0" w:type="auto"/>
          </w:tcPr>
          <w:p w14:paraId="303A6DC9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0.1</w:t>
            </w:r>
          </w:p>
        </w:tc>
      </w:tr>
      <w:tr w:rsidR="00140B5D" w:rsidRPr="00140B5D" w14:paraId="3C57D71B" w14:textId="77777777" w:rsidTr="008D21BA">
        <w:tc>
          <w:tcPr>
            <w:tcW w:w="0" w:type="auto"/>
          </w:tcPr>
          <w:p w14:paraId="2E17D4EA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CA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CA"/>
                      </w:rPr>
                      <m:t>O,trend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34FDF2F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Standard deviation of spatial process (trend field)</w:t>
            </w:r>
          </w:p>
        </w:tc>
        <w:tc>
          <w:tcPr>
            <w:tcW w:w="0" w:type="auto"/>
          </w:tcPr>
          <w:p w14:paraId="0A320789" w14:textId="77777777" w:rsidR="00140B5D" w:rsidRPr="00140B5D" w:rsidRDefault="00140B5D" w:rsidP="00140B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0.01</w:t>
            </w:r>
            <w:ins w:id="2" w:author="Lewis Barnett" w:date="2020-06-16T16:13:00Z">
              <w:r w:rsidRPr="00140B5D">
                <w:rPr>
                  <w:rFonts w:ascii="Times New Roman" w:eastAsia="Times New Roman" w:hAnsi="Times New Roman" w:cs="Times New Roman"/>
                  <w:sz w:val="24"/>
                  <w:szCs w:val="24"/>
                  <w:lang w:val="en-CA"/>
                </w:rPr>
                <w:t>, 0.25, 0.5</w:t>
              </w:r>
            </w:ins>
            <w:bookmarkStart w:id="3" w:name="_GoBack"/>
            <w:bookmarkEnd w:id="3"/>
          </w:p>
        </w:tc>
      </w:tr>
    </w:tbl>
    <w:p w14:paraId="10E3F377" w14:textId="77777777" w:rsidR="00140B5D" w:rsidRPr="00140B5D" w:rsidRDefault="00140B5D" w:rsidP="00140B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3FFC8BE" w14:textId="77777777" w:rsidR="00140B5D" w:rsidRPr="00140B5D" w:rsidRDefault="00140B5D" w:rsidP="00140B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>Table S2. Empirical occurrence and mean catch rates for positive tows (CPUE in kg/km</w:t>
      </w:r>
      <w:r w:rsidRPr="00140B5D">
        <w:rPr>
          <w:rFonts w:ascii="Times New Roman" w:eastAsia="Times New Roman" w:hAnsi="Times New Roman" w:cs="Times New Roman"/>
          <w:sz w:val="24"/>
          <w:szCs w:val="24"/>
          <w:vertAlign w:val="superscript"/>
          <w:lang w:val="en-CA"/>
        </w:rPr>
        <w:t>2</w:t>
      </w: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) for the 19 West Coast </w:t>
      </w:r>
      <w:proofErr w:type="spellStart"/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>groundfish</w:t>
      </w:r>
      <w:proofErr w:type="spellEnd"/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species included in our analysis. </w:t>
      </w:r>
    </w:p>
    <w:tbl>
      <w:tblPr>
        <w:tblW w:w="8455" w:type="dxa"/>
        <w:tblLook w:val="04A0" w:firstRow="1" w:lastRow="0" w:firstColumn="1" w:lastColumn="0" w:noHBand="0" w:noVBand="1"/>
      </w:tblPr>
      <w:tblGrid>
        <w:gridCol w:w="2875"/>
        <w:gridCol w:w="2700"/>
        <w:gridCol w:w="1350"/>
        <w:gridCol w:w="1530"/>
      </w:tblGrid>
      <w:tr w:rsidR="00140B5D" w:rsidRPr="00140B5D" w14:paraId="1297DD46" w14:textId="77777777" w:rsidTr="008D21BA">
        <w:trPr>
          <w:trHeight w:val="32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D074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Species common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DCB28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Species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8F48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Occurrence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7727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Mean CPUE</w:t>
            </w:r>
          </w:p>
        </w:tc>
      </w:tr>
      <w:tr w:rsidR="00140B5D" w:rsidRPr="00140B5D" w14:paraId="5B890C81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928E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arrowtooth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 xml:space="preserve"> flounder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34069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Atheresthes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stomias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A20F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EFD8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1535.47</w:t>
            </w:r>
          </w:p>
        </w:tc>
      </w:tr>
      <w:tr w:rsidR="00140B5D" w:rsidRPr="00140B5D" w14:paraId="049F9FB9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A54E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big skate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1F5F27" w14:textId="77777777" w:rsidR="00140B5D" w:rsidRPr="00140B5D" w:rsidRDefault="00140B5D" w:rsidP="00140B5D">
            <w:pPr>
              <w:tabs>
                <w:tab w:val="left" w:pos="121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Raja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binoculata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2F63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C919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826.21</w:t>
            </w:r>
          </w:p>
        </w:tc>
      </w:tr>
      <w:tr w:rsidR="00140B5D" w:rsidRPr="00140B5D" w14:paraId="575F2822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354D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bocaccio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CB48D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Sebastes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paucispinis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3627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4119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1116.80</w:t>
            </w:r>
          </w:p>
        </w:tc>
      </w:tr>
      <w:tr w:rsidR="00140B5D" w:rsidRPr="00140B5D" w14:paraId="23488399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8833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canary rockfish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DD034A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Sebastes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pinniger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03FB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5C58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3217.57</w:t>
            </w:r>
          </w:p>
        </w:tc>
      </w:tr>
      <w:tr w:rsidR="00140B5D" w:rsidRPr="00140B5D" w14:paraId="6927206D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4014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darkblotched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 xml:space="preserve"> rockfish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BFFB49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Sebastes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crameri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E5F4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0.18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9196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960.41</w:t>
            </w:r>
          </w:p>
        </w:tc>
      </w:tr>
      <w:tr w:rsidR="00140B5D" w:rsidRPr="00140B5D" w14:paraId="35FF12DF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D5E2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Dover sole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01023D" w14:textId="77777777" w:rsidR="00140B5D" w:rsidRPr="00140B5D" w:rsidRDefault="00140B5D" w:rsidP="00140B5D">
            <w:pPr>
              <w:tabs>
                <w:tab w:val="left" w:pos="2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Microstomus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pacificus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AE68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0.84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BA3A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2968.49</w:t>
            </w:r>
          </w:p>
        </w:tc>
      </w:tr>
      <w:tr w:rsidR="00140B5D" w:rsidRPr="00140B5D" w14:paraId="1DA18EFE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B9A6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English sole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5D777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Parophrys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vetulus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D8FB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ECA0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695.70</w:t>
            </w:r>
          </w:p>
        </w:tc>
      </w:tr>
      <w:tr w:rsidR="00140B5D" w:rsidRPr="00140B5D" w14:paraId="55583AE3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6A15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lingcod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D903C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Ophiodon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elongatus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F0CA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488E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873.42</w:t>
            </w:r>
          </w:p>
        </w:tc>
      </w:tr>
      <w:tr w:rsidR="00140B5D" w:rsidRPr="00140B5D" w14:paraId="6D9B4710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055C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longnose skate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26DAA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Raja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rhina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0B65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E619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985.95</w:t>
            </w:r>
          </w:p>
        </w:tc>
      </w:tr>
      <w:tr w:rsidR="00140B5D" w:rsidRPr="00140B5D" w14:paraId="6BED2671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25EC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Pacific halibut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75CB57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Hippoglossus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stenolepis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A524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3C6F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1031.22</w:t>
            </w:r>
          </w:p>
        </w:tc>
      </w:tr>
      <w:tr w:rsidR="00140B5D" w:rsidRPr="00140B5D" w14:paraId="7BD10010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BF21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Pacific ocean perch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9150E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Sebastes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alutus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792C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8AF1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2191.36</w:t>
            </w:r>
          </w:p>
        </w:tc>
      </w:tr>
      <w:tr w:rsidR="00140B5D" w:rsidRPr="00140B5D" w14:paraId="1B899035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4EB7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petrale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 xml:space="preserve"> sole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48159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Eopsetta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jordani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F604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0.43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EA9E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909.81</w:t>
            </w:r>
          </w:p>
        </w:tc>
      </w:tr>
      <w:tr w:rsidR="00140B5D" w:rsidRPr="00140B5D" w14:paraId="6E151CC6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0ECF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rex sole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3ACE9A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Glyptocephalus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zachirus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B4A5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0.62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21D0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1011.33</w:t>
            </w:r>
          </w:p>
        </w:tc>
      </w:tr>
      <w:tr w:rsidR="00140B5D" w:rsidRPr="00140B5D" w14:paraId="10C971D6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CD91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sablefish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41469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Anoplopoma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 fimbria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C6BA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AB75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1191.93</w:t>
            </w:r>
          </w:p>
        </w:tc>
      </w:tr>
      <w:tr w:rsidR="00140B5D" w:rsidRPr="00140B5D" w14:paraId="1A0539D8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D96A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shortspine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thornyhead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417399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Sebastolobus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alascanus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A859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0.51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2A29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690.99</w:t>
            </w:r>
          </w:p>
        </w:tc>
      </w:tr>
      <w:tr w:rsidR="00140B5D" w:rsidRPr="00140B5D" w14:paraId="06CAE7BD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C9DE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North Pacific spiny dogfish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51E8A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Squalus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suckleyi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8C9D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0.28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663C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2819.21</w:t>
            </w:r>
          </w:p>
        </w:tc>
      </w:tr>
      <w:tr w:rsidR="00140B5D" w:rsidRPr="00140B5D" w14:paraId="0ACF924A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EC44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splitnose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 xml:space="preserve"> rockfish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CC5CC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Sebastes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diploproa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D576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0.21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EC1A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2619.62</w:t>
            </w:r>
          </w:p>
        </w:tc>
      </w:tr>
      <w:tr w:rsidR="00140B5D" w:rsidRPr="00140B5D" w14:paraId="653AEFDD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E97D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spotted ratfish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93AA0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Hydrolagus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colliei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DA47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9A94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617.10</w:t>
            </w:r>
          </w:p>
        </w:tc>
      </w:tr>
      <w:tr w:rsidR="00140B5D" w:rsidRPr="00140B5D" w14:paraId="22AEE3AA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D1CC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widow rockfish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4D30CA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 xml:space="preserve">Sebastes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entomelas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7945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1546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1846.20</w:t>
            </w:r>
          </w:p>
        </w:tc>
      </w:tr>
    </w:tbl>
    <w:p w14:paraId="2A60C44E" w14:textId="77777777" w:rsidR="00140B5D" w:rsidRPr="00140B5D" w:rsidRDefault="00140B5D" w:rsidP="00140B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lastRenderedPageBreak/>
        <w:t xml:space="preserve">Table S3. Delta-AIC values comparing spatial GLMMs with and without an estimated spatial-trend field. Delta-AIC values are interpreted relative to the best model for each species (0 = most parsimonious model). 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2875"/>
        <w:gridCol w:w="1800"/>
        <w:gridCol w:w="1530"/>
      </w:tblGrid>
      <w:tr w:rsidR="00140B5D" w:rsidRPr="00140B5D" w14:paraId="75B6999C" w14:textId="77777777" w:rsidTr="008D21BA">
        <w:trPr>
          <w:trHeight w:val="32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AC1E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Species common name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D531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No spatial trend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678E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CA"/>
              </w:rPr>
              <w:t>Spatial trend</w:t>
            </w:r>
          </w:p>
        </w:tc>
      </w:tr>
      <w:tr w:rsidR="00140B5D" w:rsidRPr="00140B5D" w14:paraId="14209349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EC81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arrowtooth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 xml:space="preserve"> flounder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145D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87.10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053B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7FA7CCAE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0BBF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big skate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6903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94FF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0.81</w:t>
            </w:r>
          </w:p>
        </w:tc>
      </w:tr>
      <w:tr w:rsidR="00140B5D" w:rsidRPr="00140B5D" w14:paraId="464B31B5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2B71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bocaccio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6E30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6.25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DCA2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0A00CAB1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B429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canary rockfish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66B5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4.55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F11D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1CCF34DE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A404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darkblotched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 xml:space="preserve"> rockfish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4BC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6.30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4718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67C882A3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F79F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Dover sole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79D6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88.24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CFDF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15F002D0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A53F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English sole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294C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45.79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000E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1D49576A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A45A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lingcod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F2C6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3.43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8D37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033DD09E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4E95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longnose skate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7223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28.43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718C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1FBB3F01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FF2F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Pacific halibut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9A59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24DF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1.90</w:t>
            </w:r>
          </w:p>
        </w:tc>
      </w:tr>
      <w:tr w:rsidR="00140B5D" w:rsidRPr="00140B5D" w14:paraId="7285505F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C17B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Pacific ocean perch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8DC3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0.67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31E7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51F355F8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327C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petrale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 xml:space="preserve"> sole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C77F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25.87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FDC6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0F539784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EF0B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rex sole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8509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88.61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96D8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072C298A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5B87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sablefish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02D7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20.23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BFCF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08D52534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5598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shortspine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thornyhead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867B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35.38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E37E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556EF490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F9DA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North Pacific spiny dogfish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28B6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38.58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CC85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0240E92B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27E2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proofErr w:type="spellStart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splitnose</w:t>
            </w:r>
            <w:proofErr w:type="spellEnd"/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 xml:space="preserve"> rockfish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CE56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1.28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8CC9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3E1D0F9A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CA8D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spotted ratfish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31FB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15.83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41D9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  <w:tr w:rsidR="00140B5D" w:rsidRPr="00140B5D" w14:paraId="4DE2A225" w14:textId="77777777" w:rsidTr="008D21BA">
        <w:trPr>
          <w:trHeight w:val="32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64C1" w14:textId="77777777" w:rsidR="00140B5D" w:rsidRPr="00140B5D" w:rsidRDefault="00140B5D" w:rsidP="00140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widow rockfish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29D7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5.60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DBF9" w14:textId="77777777" w:rsidR="00140B5D" w:rsidRPr="00140B5D" w:rsidRDefault="00140B5D" w:rsidP="00140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</w:pPr>
            <w:r w:rsidRPr="00140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CA"/>
              </w:rPr>
              <w:t>0.00</w:t>
            </w:r>
          </w:p>
        </w:tc>
      </w:tr>
    </w:tbl>
    <w:p w14:paraId="0A73323F" w14:textId="77777777" w:rsidR="00140B5D" w:rsidRPr="00140B5D" w:rsidRDefault="00140B5D" w:rsidP="00140B5D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br w:type="page"/>
      </w:r>
    </w:p>
    <w:p w14:paraId="005B5556" w14:textId="77777777" w:rsidR="00140B5D" w:rsidRPr="00140B5D" w:rsidRDefault="00140B5D" w:rsidP="00140B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lastRenderedPageBreak/>
        <w:t>APPENDIX FIGURES</w:t>
      </w:r>
    </w:p>
    <w:p w14:paraId="4AE56B6E" w14:textId="77777777" w:rsidR="00140B5D" w:rsidRPr="00140B5D" w:rsidRDefault="00140B5D" w:rsidP="00140B5D">
      <w:pPr>
        <w:spacing w:before="100" w:after="10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477C20" wp14:editId="7871B642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34BA" w14:textId="77777777" w:rsidR="00140B5D" w:rsidRPr="00140B5D" w:rsidRDefault="00140B5D" w:rsidP="00140B5D">
      <w:pPr>
        <w:spacing w:before="100" w:after="10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Fig. S1. Estimates of linear trend in a generalized linear mixed model. Plots are based on 1000 simulated data sets, 15 time steps each, with multiple observations (n=2) every other time step. The underlying model included both a linear trend (with magnitude </w:t>
      </w:r>
      <w:proofErr w:type="gramStart"/>
      <w:r w:rsidRPr="00140B5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B[</w:t>
      </w:r>
      <w:proofErr w:type="gramEnd"/>
      <w:r w:rsidRPr="00140B5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1]) and varying degrees of inter-annual variability (with magnitude determined by the random effect σ, the standard deviation of the temporal random effects). Two estimation models were fit to each of the 1000 </w:t>
      </w:r>
      <w:r w:rsidRPr="00140B5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lastRenderedPageBreak/>
        <w:t>datasets: (1) a GLMM that included random effects, but not an explicit trend ('Trend estimated post-hoc') and (2) a GLMM that included both random effects and linear trend. For the post-hoc model, a trend estimate was generated by regressing time against the estimated temporal random effects. For both models, we calculated the bias of the trend estimated versus the known value.</w:t>
      </w:r>
    </w:p>
    <w:p w14:paraId="528E9CA9" w14:textId="77777777" w:rsidR="00140B5D" w:rsidRPr="00140B5D" w:rsidRDefault="00140B5D" w:rsidP="00140B5D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</w:p>
    <w:p w14:paraId="441CD81C" w14:textId="77777777" w:rsidR="00140B5D" w:rsidRPr="00140B5D" w:rsidRDefault="00140B5D" w:rsidP="00140B5D">
      <w:pPr>
        <w:spacing w:before="100" w:after="100"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Fig. S2. </w:t>
      </w: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>Spatial and temporal patterns of predicted density for additional species not shown in Figure 5 of the main text. The first column shows maps of the predicted spatial trend (slope of log density across years). The second shows how each spatial location groups with a unique cluster of latitude and spatial trend. The third column represents the mean density over all years (in units of kg/km</w:t>
      </w:r>
      <w:r w:rsidRPr="00140B5D">
        <w:rPr>
          <w:rFonts w:ascii="Times New Roman" w:eastAsia="Times New Roman" w:hAnsi="Times New Roman" w:cs="Times New Roman"/>
          <w:sz w:val="24"/>
          <w:szCs w:val="24"/>
          <w:vertAlign w:val="superscript"/>
          <w:lang w:val="en-CA"/>
        </w:rPr>
        <w:t>2</w:t>
      </w: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on a log scale). The fourth column shows the time series of the center of gravity (COG), or latitude weighted by density, with 95% confidence intervals. The black line with grey interval represents the COG calculated from predicted densities </w:t>
      </w:r>
      <w:proofErr w:type="spellStart"/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>coastwide</w:t>
      </w:r>
      <w:proofErr w:type="spellEnd"/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, whereas the colored lines represent the COGs for each unique biogeographic region (separated by Cape Mendocino, California, in the north; Point Conception, California, in the south). Line color represents the proportion of a species’ relative biomass in a given region. Note that for Pacific Ocean perch, the </w:t>
      </w:r>
      <w:proofErr w:type="spellStart"/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>coastwide</w:t>
      </w:r>
      <w:proofErr w:type="spellEnd"/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COG time series is completely overlapped by the northern regional COG.</w:t>
      </w:r>
    </w:p>
    <w:p w14:paraId="219B8669" w14:textId="77777777" w:rsidR="00140B5D" w:rsidRPr="00140B5D" w:rsidRDefault="00140B5D" w:rsidP="00140B5D">
      <w:pPr>
        <w:spacing w:before="100" w:after="100"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>[Figure attached as PDF]</w:t>
      </w:r>
    </w:p>
    <w:p w14:paraId="6680349F" w14:textId="77777777" w:rsidR="00140B5D" w:rsidRPr="00140B5D" w:rsidRDefault="00140B5D" w:rsidP="00140B5D">
      <w:pPr>
        <w:spacing w:before="100" w:after="100"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F6FA6BB" w14:textId="77777777" w:rsidR="00140B5D" w:rsidRPr="00140B5D" w:rsidRDefault="00140B5D" w:rsidP="00140B5D">
      <w:pPr>
        <w:spacing w:before="100" w:after="100"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Fig. S3. Predicted density maps for the full study region by year for all species </w:t>
      </w: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>(in units of kg/km</w:t>
      </w:r>
      <w:r w:rsidRPr="00140B5D">
        <w:rPr>
          <w:rFonts w:ascii="Times New Roman" w:eastAsia="Times New Roman" w:hAnsi="Times New Roman" w:cs="Times New Roman"/>
          <w:sz w:val="24"/>
          <w:szCs w:val="24"/>
          <w:vertAlign w:val="superscript"/>
          <w:lang w:val="en-CA"/>
        </w:rPr>
        <w:t>2</w:t>
      </w: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on a log scale). Note that coordinates are scaled to 10s of km.</w:t>
      </w:r>
    </w:p>
    <w:p w14:paraId="595C2E25" w14:textId="77777777" w:rsidR="00140B5D" w:rsidRPr="00140B5D" w:rsidRDefault="00140B5D" w:rsidP="00140B5D">
      <w:pPr>
        <w:spacing w:before="100" w:after="100"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40B5D">
        <w:rPr>
          <w:rFonts w:ascii="Times New Roman" w:eastAsia="Times New Roman" w:hAnsi="Times New Roman" w:cs="Times New Roman"/>
          <w:sz w:val="24"/>
          <w:szCs w:val="24"/>
          <w:lang w:val="en-CA"/>
        </w:rPr>
        <w:t>[Figure attached as PDF]</w:t>
      </w:r>
    </w:p>
    <w:p w14:paraId="406335F5" w14:textId="77777777" w:rsidR="00D80546" w:rsidRDefault="00D80546"/>
    <w:sectPr w:rsidR="00D80546" w:rsidSect="00C62EA2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wis Barnett" w:date="2020-06-16T13:58:00Z" w:initials="LB">
    <w:p w14:paraId="3D69EBA0" w14:textId="77777777" w:rsidR="00140B5D" w:rsidRDefault="00140B5D" w:rsidP="00140B5D">
      <w:pPr>
        <w:pStyle w:val="CommentText"/>
      </w:pPr>
      <w:r>
        <w:rPr>
          <w:rStyle w:val="CommentReference"/>
        </w:rPr>
        <w:annotationRef/>
      </w:r>
      <w:r>
        <w:t>This is only place where phi appears, whereas in the figure it is expressed as observation error sigma….decide on which is best and stay consistent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69EB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8713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977A5" w14:textId="77777777" w:rsidR="0005686A" w:rsidRDefault="00140B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FBD3F" w14:textId="77777777" w:rsidR="0005686A" w:rsidRDefault="00140B5D">
    <w:pPr>
      <w:pStyle w:val="Footer"/>
    </w:pPr>
  </w:p>
</w:ft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wis Barnett">
    <w15:presenceInfo w15:providerId="Windows Live" w15:userId="e7a5ac68f48391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5D"/>
    <w:rsid w:val="00140B5D"/>
    <w:rsid w:val="00D8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35B2"/>
  <w15:chartTrackingRefBased/>
  <w15:docId w15:val="{D092ABE3-16E0-4041-B619-21A0A6F4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0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B5D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B5D"/>
    <w:rPr>
      <w:sz w:val="20"/>
      <w:szCs w:val="20"/>
    </w:rPr>
  </w:style>
  <w:style w:type="table" w:styleId="TableGrid">
    <w:name w:val="Table Grid"/>
    <w:basedOn w:val="TableNormal"/>
    <w:uiPriority w:val="39"/>
    <w:rsid w:val="00140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40B5D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140B5D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5D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14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Barnett</dc:creator>
  <cp:keywords/>
  <dc:description/>
  <cp:lastModifiedBy>Lewis Barnett</cp:lastModifiedBy>
  <cp:revision>1</cp:revision>
  <dcterms:created xsi:type="dcterms:W3CDTF">2020-06-16T23:09:00Z</dcterms:created>
  <dcterms:modified xsi:type="dcterms:W3CDTF">2020-06-16T23:14:00Z</dcterms:modified>
</cp:coreProperties>
</file>