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47FDF5" w14:textId="77E6AA89" w:rsidR="00683F8C" w:rsidRPr="00C2183A" w:rsidRDefault="00227216" w:rsidP="00C2183A">
      <w:pPr>
        <w:spacing w:line="480" w:lineRule="auto"/>
        <w:rPr>
          <w:b/>
          <w:lang w:val="en-US"/>
        </w:rPr>
      </w:pPr>
      <w:r w:rsidRPr="00C2183A">
        <w:rPr>
          <w:b/>
          <w:lang w:val="en-US"/>
        </w:rPr>
        <w:t>Improving estimates of species distribution change by incorporating local trends</w:t>
      </w:r>
      <w:bookmarkStart w:id="0" w:name="_GoBack"/>
      <w:bookmarkEnd w:id="0"/>
      <w:r w:rsidR="00683F8C" w:rsidRPr="00C2183A">
        <w:rPr>
          <w:b/>
          <w:lang w:val="en-US"/>
        </w:rPr>
        <w:br w:type="page"/>
      </w:r>
    </w:p>
    <w:p w14:paraId="7A21F947" w14:textId="207BB128" w:rsidR="00F74DB4" w:rsidRPr="004B0A3B" w:rsidRDefault="00F74DB4" w:rsidP="007416CC">
      <w:pPr>
        <w:spacing w:line="480" w:lineRule="auto"/>
        <w:rPr>
          <w:b/>
          <w:lang w:val="en-US"/>
        </w:rPr>
      </w:pPr>
      <w:r w:rsidRPr="00C2183A">
        <w:rPr>
          <w:b/>
          <w:lang w:val="en-US"/>
        </w:rPr>
        <w:lastRenderedPageBreak/>
        <w:t>Abstract</w:t>
      </w:r>
    </w:p>
    <w:p w14:paraId="528A25CD" w14:textId="5B127A11" w:rsidR="00856D17" w:rsidRPr="000B2218" w:rsidRDefault="00CC250C" w:rsidP="00D26510">
      <w:pPr>
        <w:spacing w:after="160" w:line="480" w:lineRule="auto"/>
        <w:rPr>
          <w:lang w:val="en-US"/>
        </w:rPr>
      </w:pPr>
      <w:r w:rsidRPr="004B0A3B">
        <w:rPr>
          <w:lang w:val="en-US"/>
        </w:rPr>
        <w:t>S</w:t>
      </w:r>
      <w:r w:rsidR="00856D17" w:rsidRPr="004B0A3B">
        <w:rPr>
          <w:lang w:val="en-US"/>
        </w:rPr>
        <w:t xml:space="preserve">pecies distribution models and environmental niche models </w:t>
      </w:r>
      <w:r w:rsidR="00AC222E" w:rsidRPr="004B0A3B">
        <w:rPr>
          <w:lang w:val="en-US"/>
        </w:rPr>
        <w:t xml:space="preserve">have </w:t>
      </w:r>
      <w:r w:rsidR="00856D17" w:rsidRPr="004B0A3B">
        <w:rPr>
          <w:lang w:val="en-US"/>
        </w:rPr>
        <w:t xml:space="preserve">evolved </w:t>
      </w:r>
      <w:r w:rsidR="00AC222E" w:rsidRPr="004B0A3B">
        <w:rPr>
          <w:lang w:val="en-US"/>
        </w:rPr>
        <w:t xml:space="preserve">rapidly </w:t>
      </w:r>
      <w:r w:rsidR="00856D17" w:rsidRPr="004B0A3B">
        <w:rPr>
          <w:lang w:val="en-US"/>
        </w:rPr>
        <w:t xml:space="preserve">over the last decade </w:t>
      </w:r>
      <w:r w:rsidR="00F22C9B" w:rsidRPr="004B0A3B">
        <w:rPr>
          <w:lang w:val="en-US"/>
        </w:rPr>
        <w:t>to better understand how species</w:t>
      </w:r>
      <w:r w:rsidR="00436BCF" w:rsidRPr="004B0A3B">
        <w:rPr>
          <w:lang w:val="en-US"/>
        </w:rPr>
        <w:t>’</w:t>
      </w:r>
      <w:r w:rsidR="00F22C9B" w:rsidRPr="004B0A3B">
        <w:rPr>
          <w:lang w:val="en-US"/>
        </w:rPr>
        <w:t xml:space="preserve"> </w:t>
      </w:r>
      <w:r w:rsidRPr="004B0A3B">
        <w:rPr>
          <w:lang w:val="en-US"/>
        </w:rPr>
        <w:t xml:space="preserve">distributions </w:t>
      </w:r>
      <w:r w:rsidR="00F22C9B" w:rsidRPr="004B0A3B">
        <w:rPr>
          <w:lang w:val="en-US"/>
        </w:rPr>
        <w:t>change over space and time</w:t>
      </w:r>
      <w:r w:rsidR="00856D17" w:rsidRPr="004B0A3B">
        <w:rPr>
          <w:lang w:val="en-US"/>
        </w:rPr>
        <w:t>. A limitation of</w:t>
      </w:r>
      <w:r w:rsidR="00F22C9B" w:rsidRPr="004B0A3B">
        <w:rPr>
          <w:lang w:val="en-US"/>
        </w:rPr>
        <w:t xml:space="preserve"> conventional</w:t>
      </w:r>
      <w:r w:rsidR="00856D17" w:rsidRPr="004B0A3B">
        <w:rPr>
          <w:lang w:val="en-US"/>
        </w:rPr>
        <w:t xml:space="preserve"> metrics</w:t>
      </w:r>
      <w:r w:rsidR="00F22C9B" w:rsidRPr="004B0A3B">
        <w:rPr>
          <w:lang w:val="en-US"/>
        </w:rPr>
        <w:t xml:space="preserve"> (e.g.</w:t>
      </w:r>
      <w:r w:rsidR="00436BCF" w:rsidRPr="004B0A3B">
        <w:rPr>
          <w:lang w:val="en-US"/>
        </w:rPr>
        <w:t>,</w:t>
      </w:r>
      <w:r w:rsidR="00F22C9B" w:rsidRPr="004B0A3B">
        <w:rPr>
          <w:lang w:val="en-US"/>
        </w:rPr>
        <w:t xml:space="preserve"> center of gravity) to assess changes in distribution </w:t>
      </w:r>
      <w:r w:rsidR="00856D17" w:rsidRPr="004B0A3B">
        <w:rPr>
          <w:lang w:val="en-US"/>
        </w:rPr>
        <w:t>is that change</w:t>
      </w:r>
      <w:r w:rsidR="00D54537">
        <w:rPr>
          <w:lang w:val="en-US"/>
        </w:rPr>
        <w:t>s</w:t>
      </w:r>
      <w:r w:rsidR="00856D17" w:rsidRPr="00B175AD">
        <w:rPr>
          <w:lang w:val="en-US"/>
        </w:rPr>
        <w:t xml:space="preserve"> may not be </w:t>
      </w:r>
      <w:r w:rsidR="004B0A3B">
        <w:rPr>
          <w:lang w:val="en-US"/>
        </w:rPr>
        <w:t xml:space="preserve">spatially </w:t>
      </w:r>
      <w:r w:rsidR="00856D17" w:rsidRPr="00B175AD">
        <w:rPr>
          <w:lang w:val="en-US"/>
        </w:rPr>
        <w:t xml:space="preserve">heterogeneous. </w:t>
      </w:r>
      <w:r w:rsidR="00A82880" w:rsidRPr="00B175AD">
        <w:rPr>
          <w:lang w:val="en-US"/>
        </w:rPr>
        <w:t>W</w:t>
      </w:r>
      <w:r w:rsidR="00856D17" w:rsidRPr="00B175AD">
        <w:rPr>
          <w:lang w:val="en-US"/>
        </w:rPr>
        <w:t xml:space="preserve">e develop a modeling approach </w:t>
      </w:r>
      <w:r w:rsidR="00ED4845" w:rsidRPr="00B175AD">
        <w:rPr>
          <w:lang w:val="en-US"/>
        </w:rPr>
        <w:t xml:space="preserve">to </w:t>
      </w:r>
      <w:r w:rsidR="00856D17" w:rsidRPr="00B175AD">
        <w:rPr>
          <w:lang w:val="en-US"/>
        </w:rPr>
        <w:t>estimate a spatial</w:t>
      </w:r>
      <w:r w:rsidR="00087449" w:rsidRPr="00B175AD">
        <w:rPr>
          <w:lang w:val="en-US"/>
        </w:rPr>
        <w:t>ly explicit temporal</w:t>
      </w:r>
      <w:r w:rsidR="00856D17" w:rsidRPr="00B175AD">
        <w:rPr>
          <w:lang w:val="en-US"/>
        </w:rPr>
        <w:t xml:space="preserve"> trend</w:t>
      </w:r>
      <w:r w:rsidR="00087449" w:rsidRPr="00B175AD">
        <w:rPr>
          <w:lang w:val="en-US"/>
        </w:rPr>
        <w:t xml:space="preserve"> (i.e., local trend)</w:t>
      </w:r>
      <w:r w:rsidR="00856D17" w:rsidRPr="00B175AD">
        <w:rPr>
          <w:lang w:val="en-US"/>
        </w:rPr>
        <w:t>, alongside spatial (temporally constant) and spatiotemporal (time</w:t>
      </w:r>
      <w:r w:rsidR="00546F9B">
        <w:rPr>
          <w:lang w:val="en-US"/>
        </w:rPr>
        <w:t>-</w:t>
      </w:r>
      <w:r w:rsidR="00856D17" w:rsidRPr="00B175AD">
        <w:rPr>
          <w:lang w:val="en-US"/>
        </w:rPr>
        <w:t>varying) components</w:t>
      </w:r>
      <w:r w:rsidR="00ED4845" w:rsidRPr="00B175AD">
        <w:rPr>
          <w:lang w:val="en-US"/>
        </w:rPr>
        <w:t>, to compare inferred spatial shifts to those indicated by conventional metrics</w:t>
      </w:r>
      <w:r w:rsidR="00856D17" w:rsidRPr="00B175AD">
        <w:rPr>
          <w:lang w:val="en-US"/>
        </w:rPr>
        <w:t>. To demonstrate the utility of this new approach, we focus on the application of th</w:t>
      </w:r>
      <w:r w:rsidR="00A82880" w:rsidRPr="00B175AD">
        <w:rPr>
          <w:lang w:val="en-US"/>
        </w:rPr>
        <w:t>is model to a community of well-</w:t>
      </w:r>
      <w:r w:rsidR="00856D17" w:rsidRPr="00B175AD">
        <w:rPr>
          <w:lang w:val="en-US"/>
        </w:rPr>
        <w:t xml:space="preserve">studied marine fish species on the </w:t>
      </w:r>
      <w:r w:rsidR="00A82880" w:rsidRPr="00B175AD">
        <w:rPr>
          <w:lang w:val="en-US"/>
        </w:rPr>
        <w:t xml:space="preserve">US </w:t>
      </w:r>
      <w:r w:rsidR="003C4531">
        <w:rPr>
          <w:lang w:val="en-US"/>
        </w:rPr>
        <w:t>west coast</w:t>
      </w:r>
      <w:r w:rsidR="00856D17" w:rsidRPr="00B175AD">
        <w:rPr>
          <w:lang w:val="en-US"/>
        </w:rPr>
        <w:t xml:space="preserve"> (19 species, representing a wide range of presence-absence and densities). </w:t>
      </w:r>
      <w:r w:rsidR="00762D9B" w:rsidRPr="00B175AD">
        <w:rPr>
          <w:lang w:val="en-US"/>
        </w:rPr>
        <w:t xml:space="preserve">Results from conventional </w:t>
      </w:r>
      <w:r w:rsidR="00856D17" w:rsidRPr="00B175AD">
        <w:rPr>
          <w:lang w:val="en-US"/>
        </w:rPr>
        <w:t xml:space="preserve">model selection </w:t>
      </w:r>
      <w:r w:rsidR="00762D9B" w:rsidRPr="00B175AD">
        <w:rPr>
          <w:lang w:val="en-US"/>
        </w:rPr>
        <w:t>indicate</w:t>
      </w:r>
      <w:r w:rsidR="00856D17" w:rsidRPr="00B175AD">
        <w:rPr>
          <w:lang w:val="en-US"/>
        </w:rPr>
        <w:t xml:space="preserve"> that the use of the model accounting for </w:t>
      </w:r>
      <w:r w:rsidR="00087449" w:rsidRPr="00B175AD">
        <w:rPr>
          <w:lang w:val="en-US"/>
        </w:rPr>
        <w:t xml:space="preserve">local </w:t>
      </w:r>
      <w:r w:rsidR="00856D17" w:rsidRPr="00B175AD">
        <w:rPr>
          <w:lang w:val="en-US"/>
        </w:rPr>
        <w:t>trend</w:t>
      </w:r>
      <w:r w:rsidR="00087449" w:rsidRPr="00B175AD">
        <w:rPr>
          <w:lang w:val="en-US"/>
        </w:rPr>
        <w:t>s</w:t>
      </w:r>
      <w:r w:rsidR="00856D17" w:rsidRPr="00B175AD">
        <w:rPr>
          <w:lang w:val="en-US"/>
        </w:rPr>
        <w:t xml:space="preserve"> is </w:t>
      </w:r>
      <w:r w:rsidR="00FF2FC3">
        <w:rPr>
          <w:lang w:val="en-US"/>
        </w:rPr>
        <w:t xml:space="preserve">clearly </w:t>
      </w:r>
      <w:r w:rsidR="00856D17" w:rsidRPr="00B175AD">
        <w:rPr>
          <w:lang w:val="en-US"/>
        </w:rPr>
        <w:t xml:space="preserve">justified </w:t>
      </w:r>
      <w:r w:rsidR="00FF2FC3">
        <w:rPr>
          <w:lang w:val="en-US"/>
        </w:rPr>
        <w:t>for</w:t>
      </w:r>
      <w:r w:rsidR="00FF2FC3" w:rsidRPr="00B175AD">
        <w:rPr>
          <w:lang w:val="en-US"/>
        </w:rPr>
        <w:t xml:space="preserve"> </w:t>
      </w:r>
      <w:r w:rsidR="00FF2FC3">
        <w:rPr>
          <w:lang w:val="en-US"/>
        </w:rPr>
        <w:t>89% of</w:t>
      </w:r>
      <w:r w:rsidR="00856D17" w:rsidRPr="00B175AD">
        <w:rPr>
          <w:lang w:val="en-US"/>
        </w:rPr>
        <w:t xml:space="preserve"> </w:t>
      </w:r>
      <w:r w:rsidR="00FF2FC3">
        <w:rPr>
          <w:lang w:val="en-US"/>
        </w:rPr>
        <w:t>these species</w:t>
      </w:r>
      <w:r w:rsidR="00856D17" w:rsidRPr="00B175AD">
        <w:rPr>
          <w:lang w:val="en-US"/>
        </w:rPr>
        <w:t xml:space="preserve">. In addition to making </w:t>
      </w:r>
      <w:r w:rsidR="0086601C" w:rsidRPr="00B175AD">
        <w:rPr>
          <w:lang w:val="en-US"/>
        </w:rPr>
        <w:t>more parsimonious and accurate</w:t>
      </w:r>
      <w:r w:rsidR="00856D17" w:rsidRPr="00B175AD">
        <w:rPr>
          <w:lang w:val="en-US"/>
        </w:rPr>
        <w:t xml:space="preserve"> predictions, we illustrate how estimated spatial fields from the </w:t>
      </w:r>
      <w:r w:rsidR="00087449" w:rsidRPr="00B175AD">
        <w:rPr>
          <w:lang w:val="en-US"/>
        </w:rPr>
        <w:t xml:space="preserve">local </w:t>
      </w:r>
      <w:r w:rsidR="00856D17" w:rsidRPr="00B175AD">
        <w:rPr>
          <w:lang w:val="en-US"/>
        </w:rPr>
        <w:t>trend model can be used to classify regions within the species range where change is relatively</w:t>
      </w:r>
      <w:r w:rsidR="00863021" w:rsidRPr="00B175AD">
        <w:rPr>
          <w:lang w:val="en-US"/>
        </w:rPr>
        <w:t xml:space="preserve"> heterogeneous or</w:t>
      </w:r>
      <w:r w:rsidR="00856D17" w:rsidRPr="00B175AD">
        <w:rPr>
          <w:lang w:val="en-US"/>
        </w:rPr>
        <w:t xml:space="preserve"> homogenous. Conventional summary </w:t>
      </w:r>
      <w:r w:rsidR="00ED4845" w:rsidRPr="00B175AD">
        <w:rPr>
          <w:lang w:val="en-US"/>
        </w:rPr>
        <w:t>metrics</w:t>
      </w:r>
      <w:r w:rsidR="00856D17" w:rsidRPr="00B175AD">
        <w:rPr>
          <w:lang w:val="en-US"/>
        </w:rPr>
        <w:t xml:space="preserve">, such as center of gravity, can then be calculated on each </w:t>
      </w:r>
      <w:r w:rsidR="007601B4">
        <w:rPr>
          <w:lang w:val="en-US"/>
        </w:rPr>
        <w:t xml:space="preserve">such </w:t>
      </w:r>
      <w:r w:rsidR="00856D17" w:rsidRPr="00B175AD">
        <w:rPr>
          <w:lang w:val="en-US"/>
        </w:rPr>
        <w:t>region</w:t>
      </w:r>
      <w:r w:rsidR="007601B4">
        <w:rPr>
          <w:lang w:val="en-US"/>
        </w:rPr>
        <w:t xml:space="preserve"> or within previously defined biogeographic boundaries</w:t>
      </w:r>
      <w:r w:rsidR="00DA0754" w:rsidRPr="00B175AD">
        <w:rPr>
          <w:lang w:val="en-US"/>
        </w:rPr>
        <w:t>. We use this approach to</w:t>
      </w:r>
      <w:r w:rsidR="00856D17" w:rsidRPr="00B175AD">
        <w:rPr>
          <w:lang w:val="en-US"/>
        </w:rPr>
        <w:t xml:space="preserve"> illustrat</w:t>
      </w:r>
      <w:r w:rsidR="00DA0754" w:rsidRPr="00B175AD">
        <w:rPr>
          <w:lang w:val="en-US"/>
        </w:rPr>
        <w:t>e</w:t>
      </w:r>
      <w:r w:rsidR="00856D17" w:rsidRPr="00B175AD">
        <w:rPr>
          <w:lang w:val="en-US"/>
        </w:rPr>
        <w:t xml:space="preserve"> that change is more nuanced than what is expressed via global metrics. Using </w:t>
      </w:r>
      <w:proofErr w:type="spellStart"/>
      <w:r w:rsidR="00856D17" w:rsidRPr="00B175AD">
        <w:rPr>
          <w:lang w:val="en-US"/>
        </w:rPr>
        <w:t>arrowtooth</w:t>
      </w:r>
      <w:proofErr w:type="spellEnd"/>
      <w:r w:rsidR="00856D17" w:rsidRPr="00B175AD">
        <w:rPr>
          <w:lang w:val="en-US"/>
        </w:rPr>
        <w:t xml:space="preserve"> flounder </w:t>
      </w:r>
      <w:r w:rsidR="008456D6" w:rsidRPr="00B175AD">
        <w:rPr>
          <w:lang w:val="en-US"/>
        </w:rPr>
        <w:t>(</w:t>
      </w:r>
      <w:proofErr w:type="spellStart"/>
      <w:r w:rsidR="0086601C" w:rsidRPr="00B175AD">
        <w:rPr>
          <w:i/>
          <w:lang w:val="en-US"/>
        </w:rPr>
        <w:t>Atheresthes</w:t>
      </w:r>
      <w:proofErr w:type="spellEnd"/>
      <w:r w:rsidR="0086601C" w:rsidRPr="00B175AD">
        <w:rPr>
          <w:i/>
          <w:lang w:val="en-US"/>
        </w:rPr>
        <w:t xml:space="preserve"> </w:t>
      </w:r>
      <w:proofErr w:type="spellStart"/>
      <w:r w:rsidR="0086601C" w:rsidRPr="00B175AD">
        <w:rPr>
          <w:i/>
          <w:lang w:val="en-US"/>
        </w:rPr>
        <w:t>stomias</w:t>
      </w:r>
      <w:proofErr w:type="spellEnd"/>
      <w:r w:rsidR="008456D6" w:rsidRPr="00B175AD">
        <w:rPr>
          <w:lang w:val="en-US"/>
        </w:rPr>
        <w:t xml:space="preserve">) </w:t>
      </w:r>
      <w:r w:rsidR="00856D17" w:rsidRPr="00B175AD">
        <w:rPr>
          <w:lang w:val="en-US"/>
        </w:rPr>
        <w:t xml:space="preserve">as an example, </w:t>
      </w:r>
      <w:r w:rsidR="0086601C" w:rsidRPr="00B175AD">
        <w:rPr>
          <w:lang w:val="en-US"/>
        </w:rPr>
        <w:t xml:space="preserve">the observed </w:t>
      </w:r>
      <w:r w:rsidR="00A56B2E" w:rsidRPr="00B175AD">
        <w:rPr>
          <w:lang w:val="en-US"/>
        </w:rPr>
        <w:t xml:space="preserve">southward </w:t>
      </w:r>
      <w:r w:rsidR="0086601C" w:rsidRPr="00B175AD">
        <w:rPr>
          <w:lang w:val="en-US"/>
        </w:rPr>
        <w:t>shift</w:t>
      </w:r>
      <w:r w:rsidR="00A56B2E" w:rsidRPr="00B175AD">
        <w:rPr>
          <w:lang w:val="en-US"/>
        </w:rPr>
        <w:t xml:space="preserve"> </w:t>
      </w:r>
      <w:r w:rsidR="00982E85" w:rsidRPr="00B175AD">
        <w:rPr>
          <w:lang w:val="en-US"/>
        </w:rPr>
        <w:t xml:space="preserve">over time </w:t>
      </w:r>
      <w:r w:rsidR="00A56B2E" w:rsidRPr="00B175AD">
        <w:rPr>
          <w:lang w:val="en-US"/>
        </w:rPr>
        <w:t>in the</w:t>
      </w:r>
      <w:r w:rsidR="00856D17" w:rsidRPr="00B175AD">
        <w:rPr>
          <w:lang w:val="en-US"/>
        </w:rPr>
        <w:t xml:space="preserve"> global center of gravity </w:t>
      </w:r>
      <w:r w:rsidR="00982E85" w:rsidRPr="00B175AD">
        <w:rPr>
          <w:lang w:val="en-US"/>
        </w:rPr>
        <w:t xml:space="preserve">is not reflective of a uniform shift in densities but </w:t>
      </w:r>
      <w:r w:rsidR="007601B4">
        <w:rPr>
          <w:lang w:val="en-US"/>
        </w:rPr>
        <w:t xml:space="preserve">local trends of </w:t>
      </w:r>
      <w:r w:rsidR="00982E85" w:rsidRPr="00B175AD">
        <w:rPr>
          <w:lang w:val="en-US"/>
        </w:rPr>
        <w:t xml:space="preserve">decreasing density in the northern region and rapidly increasing density </w:t>
      </w:r>
      <w:r w:rsidR="000B2218" w:rsidRPr="00B175AD">
        <w:rPr>
          <w:lang w:val="en-US"/>
        </w:rPr>
        <w:t xml:space="preserve">at the </w:t>
      </w:r>
      <w:r w:rsidR="000B2218">
        <w:rPr>
          <w:lang w:val="en-US"/>
        </w:rPr>
        <w:t xml:space="preserve">southern </w:t>
      </w:r>
      <w:r w:rsidR="000B2218" w:rsidRPr="00B175AD">
        <w:rPr>
          <w:lang w:val="en-US"/>
        </w:rPr>
        <w:t>edge</w:t>
      </w:r>
      <w:r w:rsidR="000B2218">
        <w:rPr>
          <w:lang w:val="en-US"/>
        </w:rPr>
        <w:t xml:space="preserve"> of the species’ range</w:t>
      </w:r>
      <w:r w:rsidR="000B2218" w:rsidRPr="000B2218">
        <w:rPr>
          <w:lang w:val="en-US"/>
        </w:rPr>
        <w:t xml:space="preserve">. </w:t>
      </w:r>
      <w:r w:rsidR="000B2218">
        <w:rPr>
          <w:lang w:val="en-US"/>
        </w:rPr>
        <w:t>Thus, estimating local trends</w:t>
      </w:r>
      <w:r w:rsidR="000B2218" w:rsidRPr="00B175AD">
        <w:rPr>
          <w:rFonts w:ascii="Tahoma" w:hAnsi="Tahoma" w:cs="Tahoma"/>
          <w:color w:val="000000"/>
          <w:sz w:val="20"/>
          <w:szCs w:val="20"/>
          <w:shd w:val="clear" w:color="auto" w:fill="FFFFFF"/>
        </w:rPr>
        <w:t xml:space="preserve"> </w:t>
      </w:r>
      <w:r w:rsidR="000B2218" w:rsidRPr="00B175AD">
        <w:t xml:space="preserve">with spatiotemporal models </w:t>
      </w:r>
      <w:r w:rsidR="000B2218">
        <w:t>improves</w:t>
      </w:r>
      <w:r w:rsidR="000B2218" w:rsidRPr="00B175AD">
        <w:t xml:space="preserve"> interpretation of species distribution change</w:t>
      </w:r>
      <w:r w:rsidR="000B2218">
        <w:t>.</w:t>
      </w:r>
    </w:p>
    <w:p w14:paraId="38BE446B" w14:textId="7D44D051" w:rsidR="00F74DB4" w:rsidRPr="000B2218" w:rsidRDefault="00597FE6" w:rsidP="00D26510">
      <w:pPr>
        <w:spacing w:after="160" w:line="480" w:lineRule="auto"/>
        <w:rPr>
          <w:b/>
          <w:lang w:val="en-US"/>
        </w:rPr>
      </w:pPr>
      <w:r w:rsidRPr="000B2218">
        <w:rPr>
          <w:b/>
          <w:lang w:val="en-US"/>
        </w:rPr>
        <w:lastRenderedPageBreak/>
        <w:t>Keywords:</w:t>
      </w:r>
      <w:r w:rsidR="00AB5B32" w:rsidRPr="000B2218">
        <w:rPr>
          <w:b/>
          <w:lang w:val="en-US"/>
        </w:rPr>
        <w:t xml:space="preserve"> </w:t>
      </w:r>
      <w:r w:rsidR="00AB5B32" w:rsidRPr="000B2218">
        <w:rPr>
          <w:lang w:val="en-US"/>
        </w:rPr>
        <w:t>spatiotemporal modeling,</w:t>
      </w:r>
      <w:r w:rsidR="005124BE" w:rsidRPr="000B2218">
        <w:rPr>
          <w:lang w:val="en-US"/>
        </w:rPr>
        <w:t xml:space="preserve"> species distribution modeling</w:t>
      </w:r>
      <w:r w:rsidR="00AB5B32" w:rsidRPr="000B2218">
        <w:rPr>
          <w:lang w:val="en-US"/>
        </w:rPr>
        <w:t>, spatial management</w:t>
      </w:r>
      <w:r w:rsidR="005124BE" w:rsidRPr="000B2218">
        <w:rPr>
          <w:lang w:val="en-US"/>
        </w:rPr>
        <w:t>, monitoring</w:t>
      </w:r>
      <w:r w:rsidR="00F74DB4" w:rsidRPr="000B2218">
        <w:rPr>
          <w:b/>
          <w:lang w:val="en-US"/>
        </w:rPr>
        <w:br w:type="page"/>
      </w:r>
    </w:p>
    <w:p w14:paraId="5463C7F1" w14:textId="15A3674A" w:rsidR="0089470C" w:rsidRPr="000B2218" w:rsidRDefault="0089470C" w:rsidP="00D26510">
      <w:pPr>
        <w:spacing w:after="120" w:line="480" w:lineRule="auto"/>
        <w:rPr>
          <w:b/>
          <w:lang w:val="en-US"/>
        </w:rPr>
      </w:pPr>
      <w:r w:rsidRPr="000B2218">
        <w:rPr>
          <w:b/>
          <w:lang w:val="en-US"/>
        </w:rPr>
        <w:lastRenderedPageBreak/>
        <w:t>Introduction</w:t>
      </w:r>
    </w:p>
    <w:p w14:paraId="12FA54C0" w14:textId="599C926A" w:rsidR="0089470C" w:rsidRPr="000B2218" w:rsidRDefault="0089470C" w:rsidP="00D26510">
      <w:pPr>
        <w:spacing w:after="120" w:line="480" w:lineRule="auto"/>
        <w:rPr>
          <w:lang w:val="en-US"/>
        </w:rPr>
      </w:pPr>
      <w:r w:rsidRPr="000B2218">
        <w:rPr>
          <w:lang w:val="en-US"/>
        </w:rPr>
        <w:t>In the fields of natural resource conservation, management</w:t>
      </w:r>
      <w:r w:rsidR="003A6F58" w:rsidRPr="000B2218">
        <w:rPr>
          <w:lang w:val="en-US"/>
        </w:rPr>
        <w:t>,</w:t>
      </w:r>
      <w:r w:rsidRPr="000B2218">
        <w:rPr>
          <w:lang w:val="en-US"/>
        </w:rPr>
        <w:t xml:space="preserve"> and global change biology, demand for</w:t>
      </w:r>
      <w:r w:rsidR="00A82880" w:rsidRPr="000B2218">
        <w:rPr>
          <w:lang w:val="en-US"/>
        </w:rPr>
        <w:t xml:space="preserve"> </w:t>
      </w:r>
      <w:r w:rsidRPr="000B2218">
        <w:rPr>
          <w:lang w:val="en-US"/>
        </w:rPr>
        <w:t>and implementation of</w:t>
      </w:r>
      <w:r w:rsidR="00A82880" w:rsidRPr="000B2218">
        <w:rPr>
          <w:lang w:val="en-US"/>
        </w:rPr>
        <w:t xml:space="preserve"> </w:t>
      </w:r>
      <w:r w:rsidRPr="000B2218">
        <w:rPr>
          <w:lang w:val="en-US"/>
        </w:rPr>
        <w:t xml:space="preserve">tools for assessing species distribution shifts has grown dramatically in recent decades </w:t>
      </w:r>
      <w:r w:rsidR="00A01347" w:rsidRPr="00A01347">
        <w:t>(</w:t>
      </w:r>
      <w:proofErr w:type="spellStart"/>
      <w:r w:rsidR="00A01347" w:rsidRPr="00A01347">
        <w:t>Elith</w:t>
      </w:r>
      <w:proofErr w:type="spellEnd"/>
      <w:r w:rsidR="00A01347" w:rsidRPr="00A01347">
        <w:t xml:space="preserve"> and </w:t>
      </w:r>
      <w:proofErr w:type="spellStart"/>
      <w:r w:rsidR="00A01347" w:rsidRPr="00A01347">
        <w:t>Leathwick</w:t>
      </w:r>
      <w:proofErr w:type="spellEnd"/>
      <w:r w:rsidR="00A01347" w:rsidRPr="00A01347">
        <w:t xml:space="preserve"> 2009)</w:t>
      </w:r>
      <w:r w:rsidRPr="000B2218">
        <w:rPr>
          <w:lang w:val="en-US"/>
        </w:rPr>
        <w:t xml:space="preserve">. These approaches are widely applicable, from studies of plants </w:t>
      </w:r>
      <w:r w:rsidR="00A01347" w:rsidRPr="00A01347">
        <w:t>(Lenoir et al. 2008)</w:t>
      </w:r>
      <w:r w:rsidRPr="000B2218">
        <w:rPr>
          <w:lang w:val="en-US"/>
        </w:rPr>
        <w:t xml:space="preserve">, terrestrial vertebrates </w:t>
      </w:r>
      <w:r w:rsidR="00A01347" w:rsidRPr="00A01347">
        <w:t xml:space="preserve">(Hitch and </w:t>
      </w:r>
      <w:proofErr w:type="spellStart"/>
      <w:r w:rsidR="00A01347" w:rsidRPr="00A01347">
        <w:t>Leberg</w:t>
      </w:r>
      <w:proofErr w:type="spellEnd"/>
      <w:r w:rsidR="00A01347" w:rsidRPr="00A01347">
        <w:t xml:space="preserve"> 2007)</w:t>
      </w:r>
      <w:r w:rsidRPr="000B2218">
        <w:rPr>
          <w:lang w:val="en-US"/>
        </w:rPr>
        <w:t xml:space="preserve">, and marine fishes </w:t>
      </w:r>
      <w:r w:rsidR="00A01347" w:rsidRPr="00A01347">
        <w:t>(Pinsky et al. 2013)</w:t>
      </w:r>
      <w:r w:rsidRPr="000B2218">
        <w:rPr>
          <w:lang w:val="en-US"/>
        </w:rPr>
        <w:t xml:space="preserve">. However, the way distribution shifts are quantified has changed relatively little </w:t>
      </w:r>
      <w:r w:rsidR="00A01347" w:rsidRPr="00A01347">
        <w:t>(</w:t>
      </w:r>
      <w:proofErr w:type="spellStart"/>
      <w:r w:rsidR="00A01347" w:rsidRPr="00A01347">
        <w:t>Elith</w:t>
      </w:r>
      <w:proofErr w:type="spellEnd"/>
      <w:r w:rsidR="00A01347" w:rsidRPr="00A01347">
        <w:t xml:space="preserve"> et al. 2010)</w:t>
      </w:r>
      <w:r w:rsidRPr="000B2218">
        <w:rPr>
          <w:lang w:val="en-US"/>
        </w:rPr>
        <w:t xml:space="preserve">. At the simplest level, researchers often use existing tools to </w:t>
      </w:r>
      <w:r w:rsidR="00697697" w:rsidRPr="000B2218">
        <w:rPr>
          <w:lang w:val="en-US"/>
        </w:rPr>
        <w:t>estimate</w:t>
      </w:r>
      <w:r w:rsidRPr="000B2218">
        <w:rPr>
          <w:lang w:val="en-US"/>
        </w:rPr>
        <w:t xml:space="preserve"> occurrence probability, </w:t>
      </w:r>
      <w:r w:rsidR="00697697" w:rsidRPr="000B2218">
        <w:rPr>
          <w:lang w:val="en-US"/>
        </w:rPr>
        <w:t>present</w:t>
      </w:r>
      <w:r w:rsidRPr="000B2218">
        <w:rPr>
          <w:lang w:val="en-US"/>
        </w:rPr>
        <w:t xml:space="preserve"> maps of how the extent and distribution of suitable habitat is expected to change</w:t>
      </w:r>
      <w:r w:rsidR="00697697" w:rsidRPr="000B2218">
        <w:rPr>
          <w:lang w:val="en-US"/>
        </w:rPr>
        <w:t>,</w:t>
      </w:r>
      <w:r w:rsidRPr="000B2218">
        <w:rPr>
          <w:lang w:val="en-US"/>
        </w:rPr>
        <w:t xml:space="preserve"> and </w:t>
      </w:r>
      <w:r w:rsidR="00697697" w:rsidRPr="000B2218">
        <w:rPr>
          <w:lang w:val="en-US"/>
        </w:rPr>
        <w:t>sometimes present</w:t>
      </w:r>
      <w:r w:rsidRPr="000B2218">
        <w:rPr>
          <w:lang w:val="en-US"/>
        </w:rPr>
        <w:t xml:space="preserve"> descriptive statistics on the mean change throughout a region </w:t>
      </w:r>
      <w:r w:rsidR="00A01347" w:rsidRPr="00A01347">
        <w:t>(</w:t>
      </w:r>
      <w:proofErr w:type="spellStart"/>
      <w:r w:rsidR="00A01347" w:rsidRPr="00A01347">
        <w:t>Yackulic</w:t>
      </w:r>
      <w:proofErr w:type="spellEnd"/>
      <w:r w:rsidR="00A01347" w:rsidRPr="00A01347">
        <w:t xml:space="preserve"> et al. 2013)</w:t>
      </w:r>
      <w:r w:rsidRPr="000B2218">
        <w:rPr>
          <w:lang w:val="en-US"/>
        </w:rPr>
        <w:t>.</w:t>
      </w:r>
      <w:r w:rsidR="00EC2F76" w:rsidRPr="000B2218">
        <w:rPr>
          <w:lang w:val="en-US"/>
        </w:rPr>
        <w:t>Yet</w:t>
      </w:r>
      <w:r w:rsidR="00DA2194" w:rsidRPr="000B2218">
        <w:rPr>
          <w:lang w:val="en-US"/>
        </w:rPr>
        <w:t>,</w:t>
      </w:r>
      <w:r w:rsidR="00697697" w:rsidRPr="000B2218">
        <w:rPr>
          <w:lang w:val="en-US"/>
        </w:rPr>
        <w:t xml:space="preserve"> w</w:t>
      </w:r>
      <w:r w:rsidRPr="000B2218">
        <w:rPr>
          <w:lang w:val="en-US"/>
        </w:rPr>
        <w:t xml:space="preserve">hen reliable </w:t>
      </w:r>
      <w:r w:rsidR="001E09E8" w:rsidRPr="000B2218">
        <w:rPr>
          <w:lang w:val="en-US"/>
        </w:rPr>
        <w:t>abundance</w:t>
      </w:r>
      <w:r w:rsidRPr="000B2218">
        <w:rPr>
          <w:lang w:val="en-US"/>
        </w:rPr>
        <w:t xml:space="preserve"> data are available</w:t>
      </w:r>
      <w:r w:rsidR="00697697" w:rsidRPr="000B2218">
        <w:rPr>
          <w:lang w:val="en-US"/>
        </w:rPr>
        <w:t>,</w:t>
      </w:r>
      <w:r w:rsidRPr="000B2218">
        <w:rPr>
          <w:lang w:val="en-US"/>
        </w:rPr>
        <w:t xml:space="preserve"> distribution shifts are </w:t>
      </w:r>
      <w:r w:rsidR="00526E8B" w:rsidRPr="000B2218">
        <w:rPr>
          <w:lang w:val="en-US"/>
        </w:rPr>
        <w:t xml:space="preserve">more robustly </w:t>
      </w:r>
      <w:r w:rsidRPr="000B2218">
        <w:rPr>
          <w:lang w:val="en-US"/>
        </w:rPr>
        <w:t>quantified by sp</w:t>
      </w:r>
      <w:r w:rsidR="008153CF" w:rsidRPr="000B2218">
        <w:rPr>
          <w:lang w:val="en-US"/>
        </w:rPr>
        <w:t>atial predictions of population size</w:t>
      </w:r>
      <w:r w:rsidR="007A2951" w:rsidRPr="000B2218">
        <w:rPr>
          <w:lang w:val="en-US"/>
        </w:rPr>
        <w:t xml:space="preserve"> because </w:t>
      </w:r>
      <w:r w:rsidR="00526E8B" w:rsidRPr="000B2218">
        <w:rPr>
          <w:lang w:val="en-US"/>
        </w:rPr>
        <w:t>these are</w:t>
      </w:r>
      <w:r w:rsidR="007A2951" w:rsidRPr="000B2218">
        <w:rPr>
          <w:lang w:val="en-US"/>
        </w:rPr>
        <w:t xml:space="preserve"> a richer form of data </w:t>
      </w:r>
      <w:r w:rsidR="00E90D92" w:rsidRPr="000B2218">
        <w:rPr>
          <w:lang w:val="en-US"/>
        </w:rPr>
        <w:t>that are</w:t>
      </w:r>
      <w:r w:rsidR="00820E4B" w:rsidRPr="000B2218">
        <w:rPr>
          <w:lang w:val="en-US"/>
        </w:rPr>
        <w:t xml:space="preserve"> </w:t>
      </w:r>
      <w:r w:rsidR="00526E8B" w:rsidRPr="000B2218">
        <w:rPr>
          <w:lang w:val="en-US"/>
        </w:rPr>
        <w:t>less sensitive to detection issues and anomalous observations of single individuals</w:t>
      </w:r>
      <w:r w:rsidR="008109BD" w:rsidRPr="000B2218">
        <w:rPr>
          <w:lang w:val="en-US"/>
        </w:rPr>
        <w:t xml:space="preserve"> </w:t>
      </w:r>
      <w:r w:rsidR="00A01347" w:rsidRPr="00A01347">
        <w:t xml:space="preserve">(e.g., </w:t>
      </w:r>
      <w:proofErr w:type="spellStart"/>
      <w:r w:rsidR="00A01347" w:rsidRPr="00A01347">
        <w:t>Tingley</w:t>
      </w:r>
      <w:proofErr w:type="spellEnd"/>
      <w:r w:rsidR="00A01347" w:rsidRPr="00A01347">
        <w:t xml:space="preserve"> and </w:t>
      </w:r>
      <w:proofErr w:type="spellStart"/>
      <w:r w:rsidR="00A01347" w:rsidRPr="00A01347">
        <w:t>Beissinger</w:t>
      </w:r>
      <w:proofErr w:type="spellEnd"/>
      <w:r w:rsidR="00A01347" w:rsidRPr="00A01347">
        <w:t xml:space="preserve"> 2009)</w:t>
      </w:r>
      <w:r w:rsidR="00526E8B" w:rsidRPr="000B2218">
        <w:rPr>
          <w:lang w:val="en-US"/>
        </w:rPr>
        <w:t xml:space="preserve">, while being </w:t>
      </w:r>
      <w:r w:rsidR="00DA2194" w:rsidRPr="000B2218">
        <w:rPr>
          <w:lang w:val="en-US"/>
        </w:rPr>
        <w:t>more likely</w:t>
      </w:r>
      <w:r w:rsidR="007A2951" w:rsidRPr="000B2218">
        <w:rPr>
          <w:lang w:val="en-US"/>
        </w:rPr>
        <w:t xml:space="preserve"> to </w:t>
      </w:r>
      <w:r w:rsidR="00E90D92" w:rsidRPr="000B2218">
        <w:rPr>
          <w:lang w:val="en-US"/>
        </w:rPr>
        <w:t xml:space="preserve">detect </w:t>
      </w:r>
      <w:r w:rsidR="00EC2F76" w:rsidRPr="000B2218">
        <w:rPr>
          <w:lang w:val="en-US"/>
        </w:rPr>
        <w:t>persistent distribution shifts</w:t>
      </w:r>
      <w:r w:rsidR="00E90D92" w:rsidRPr="000B2218">
        <w:rPr>
          <w:lang w:val="en-US"/>
        </w:rPr>
        <w:t xml:space="preserve"> </w:t>
      </w:r>
      <w:r w:rsidR="007A2951" w:rsidRPr="000B2218">
        <w:rPr>
          <w:lang w:val="en-US"/>
        </w:rPr>
        <w:t xml:space="preserve">caused by more nuanced factors than </w:t>
      </w:r>
      <w:r w:rsidR="008109BD" w:rsidRPr="000B2218">
        <w:rPr>
          <w:lang w:val="en-US"/>
        </w:rPr>
        <w:t>absolute physiological limits</w:t>
      </w:r>
      <w:r w:rsidRPr="000B2218">
        <w:rPr>
          <w:lang w:val="en-US"/>
        </w:rPr>
        <w:t xml:space="preserve">. </w:t>
      </w:r>
      <w:r w:rsidR="00EC2F76" w:rsidRPr="000B2218">
        <w:rPr>
          <w:lang w:val="en-US"/>
        </w:rPr>
        <w:t>For example,</w:t>
      </w:r>
      <w:r w:rsidR="005A4192" w:rsidRPr="000B2218">
        <w:rPr>
          <w:lang w:val="en-US"/>
        </w:rPr>
        <w:t xml:space="preserve"> w</w:t>
      </w:r>
      <w:r w:rsidR="00820E4B" w:rsidRPr="000B2218">
        <w:rPr>
          <w:lang w:val="en-US"/>
        </w:rPr>
        <w:t xml:space="preserve">hile much </w:t>
      </w:r>
      <w:r w:rsidR="001B4CD6" w:rsidRPr="000B2218">
        <w:rPr>
          <w:lang w:val="en-US"/>
        </w:rPr>
        <w:t xml:space="preserve">species distribution modeling </w:t>
      </w:r>
      <w:r w:rsidR="00820E4B" w:rsidRPr="000B2218">
        <w:rPr>
          <w:lang w:val="en-US"/>
        </w:rPr>
        <w:t>focuses</w:t>
      </w:r>
      <w:r w:rsidR="005A4192" w:rsidRPr="000B2218">
        <w:rPr>
          <w:lang w:val="en-US"/>
        </w:rPr>
        <w:t xml:space="preserve"> </w:t>
      </w:r>
      <w:r w:rsidR="00820E4B" w:rsidRPr="000B2218">
        <w:rPr>
          <w:lang w:val="en-US"/>
        </w:rPr>
        <w:t xml:space="preserve">on how </w:t>
      </w:r>
      <w:r w:rsidR="00E44894" w:rsidRPr="000B2218">
        <w:rPr>
          <w:lang w:val="en-US"/>
        </w:rPr>
        <w:t xml:space="preserve">drivers such as </w:t>
      </w:r>
      <w:r w:rsidR="00E90D92" w:rsidRPr="000B2218">
        <w:rPr>
          <w:lang w:val="en-US"/>
        </w:rPr>
        <w:t>climate change</w:t>
      </w:r>
      <w:r w:rsidR="00820E4B" w:rsidRPr="000B2218">
        <w:rPr>
          <w:lang w:val="en-US"/>
        </w:rPr>
        <w:t xml:space="preserve"> may </w:t>
      </w:r>
      <w:r w:rsidR="00E44894" w:rsidRPr="000B2218">
        <w:rPr>
          <w:lang w:val="en-US"/>
        </w:rPr>
        <w:t>predict</w:t>
      </w:r>
      <w:r w:rsidR="00820E4B" w:rsidRPr="000B2218">
        <w:rPr>
          <w:lang w:val="en-US"/>
        </w:rPr>
        <w:t xml:space="preserve"> change in species</w:t>
      </w:r>
      <w:r w:rsidR="0065767C" w:rsidRPr="000B2218">
        <w:rPr>
          <w:lang w:val="en-US"/>
        </w:rPr>
        <w:t>’</w:t>
      </w:r>
      <w:r w:rsidR="00820E4B" w:rsidRPr="000B2218">
        <w:rPr>
          <w:lang w:val="en-US"/>
        </w:rPr>
        <w:t xml:space="preserve"> range limits, </w:t>
      </w:r>
      <w:r w:rsidR="00E44894" w:rsidRPr="000B2218">
        <w:rPr>
          <w:lang w:val="en-US"/>
        </w:rPr>
        <w:t>the core of a species’ distribution may shift due to the influence</w:t>
      </w:r>
      <w:r w:rsidR="001B4CD6" w:rsidRPr="000B2218">
        <w:rPr>
          <w:lang w:val="en-US"/>
        </w:rPr>
        <w:t xml:space="preserve"> of multiple</w:t>
      </w:r>
      <w:r w:rsidR="00E44894" w:rsidRPr="000B2218">
        <w:rPr>
          <w:lang w:val="en-US"/>
        </w:rPr>
        <w:t xml:space="preserve"> drivers on the geography of </w:t>
      </w:r>
      <w:r w:rsidR="005A4192" w:rsidRPr="000B2218">
        <w:rPr>
          <w:lang w:val="en-US"/>
        </w:rPr>
        <w:t>abundance</w:t>
      </w:r>
      <w:r w:rsidR="00E44894" w:rsidRPr="000B2218">
        <w:rPr>
          <w:lang w:val="en-US"/>
        </w:rPr>
        <w:t xml:space="preserve"> via </w:t>
      </w:r>
      <w:r w:rsidR="001B4CD6" w:rsidRPr="000B2218">
        <w:rPr>
          <w:lang w:val="en-US"/>
        </w:rPr>
        <w:t>movement, dispersal</w:t>
      </w:r>
      <w:r w:rsidR="0065767C" w:rsidRPr="000B2218">
        <w:rPr>
          <w:lang w:val="en-US"/>
        </w:rPr>
        <w:t>,</w:t>
      </w:r>
      <w:r w:rsidR="001B4CD6" w:rsidRPr="000B2218">
        <w:rPr>
          <w:lang w:val="en-US"/>
        </w:rPr>
        <w:t xml:space="preserve"> </w:t>
      </w:r>
      <w:r w:rsidR="005A4192" w:rsidRPr="000B2218">
        <w:rPr>
          <w:lang w:val="en-US"/>
        </w:rPr>
        <w:t>and heterogeneity in demographic rates</w:t>
      </w:r>
      <w:r w:rsidR="00E44894" w:rsidRPr="000B2218">
        <w:rPr>
          <w:lang w:val="en-US"/>
        </w:rPr>
        <w:t xml:space="preserve"> </w:t>
      </w:r>
      <w:r w:rsidR="00A01347" w:rsidRPr="00A01347">
        <w:t xml:space="preserve">(e.g., age- or size-specific fecundity, somatic growth, and mortality; </w:t>
      </w:r>
      <w:proofErr w:type="spellStart"/>
      <w:r w:rsidR="00A01347" w:rsidRPr="00A01347">
        <w:t>Sagarin</w:t>
      </w:r>
      <w:proofErr w:type="spellEnd"/>
      <w:r w:rsidR="00A01347" w:rsidRPr="00A01347">
        <w:t xml:space="preserve"> et al. 2006)</w:t>
      </w:r>
      <w:r w:rsidR="005A4192" w:rsidRPr="000B2218">
        <w:rPr>
          <w:lang w:val="en-US"/>
        </w:rPr>
        <w:t xml:space="preserve">. </w:t>
      </w:r>
      <w:r w:rsidRPr="000B2218">
        <w:rPr>
          <w:lang w:val="en-US"/>
        </w:rPr>
        <w:t xml:space="preserve">Shifting </w:t>
      </w:r>
      <w:r w:rsidR="00DD4113" w:rsidRPr="000B2218">
        <w:rPr>
          <w:lang w:val="en-US"/>
        </w:rPr>
        <w:t xml:space="preserve">distributions of </w:t>
      </w:r>
      <w:r w:rsidR="001E09E8" w:rsidRPr="000B2218">
        <w:rPr>
          <w:lang w:val="en-US"/>
        </w:rPr>
        <w:t xml:space="preserve">abundance or </w:t>
      </w:r>
      <w:r w:rsidR="00697697" w:rsidRPr="000B2218">
        <w:rPr>
          <w:lang w:val="en-US"/>
        </w:rPr>
        <w:t>population density</w:t>
      </w:r>
      <w:r w:rsidRPr="000B2218">
        <w:rPr>
          <w:lang w:val="en-US"/>
        </w:rPr>
        <w:t xml:space="preserve"> may </w:t>
      </w:r>
      <w:r w:rsidR="005A4192" w:rsidRPr="000B2218">
        <w:rPr>
          <w:lang w:val="en-US"/>
        </w:rPr>
        <w:t xml:space="preserve">also </w:t>
      </w:r>
      <w:r w:rsidRPr="000B2218">
        <w:rPr>
          <w:lang w:val="en-US"/>
        </w:rPr>
        <w:t xml:space="preserve">be </w:t>
      </w:r>
      <w:r w:rsidR="00697697" w:rsidRPr="000B2218">
        <w:rPr>
          <w:lang w:val="en-US"/>
        </w:rPr>
        <w:t>qualitatively</w:t>
      </w:r>
      <w:r w:rsidRPr="000B2218">
        <w:rPr>
          <w:lang w:val="en-US"/>
        </w:rPr>
        <w:t xml:space="preserve"> conveyed through maps</w:t>
      </w:r>
      <w:r w:rsidR="00515309" w:rsidRPr="000B2218">
        <w:rPr>
          <w:lang w:val="en-US"/>
        </w:rPr>
        <w:t>,</w:t>
      </w:r>
      <w:r w:rsidRPr="000B2218">
        <w:rPr>
          <w:lang w:val="en-US"/>
        </w:rPr>
        <w:t xml:space="preserve"> but </w:t>
      </w:r>
      <w:r w:rsidR="00CF4D08" w:rsidRPr="000B2218">
        <w:rPr>
          <w:lang w:val="en-US"/>
        </w:rPr>
        <w:t>quantitative spatial indicators can also be</w:t>
      </w:r>
      <w:r w:rsidR="005A4192" w:rsidRPr="000B2218">
        <w:rPr>
          <w:lang w:val="en-US"/>
        </w:rPr>
        <w:t xml:space="preserve"> provided</w:t>
      </w:r>
      <w:r w:rsidR="00697697" w:rsidRPr="000B2218">
        <w:rPr>
          <w:lang w:val="en-US"/>
        </w:rPr>
        <w:t xml:space="preserve">, </w:t>
      </w:r>
      <w:r w:rsidRPr="000B2218">
        <w:rPr>
          <w:lang w:val="en-US"/>
        </w:rPr>
        <w:t xml:space="preserve">such as the mean location weighted by </w:t>
      </w:r>
      <w:r w:rsidR="00DD4113" w:rsidRPr="000B2218">
        <w:rPr>
          <w:lang w:val="en-US"/>
        </w:rPr>
        <w:t>population density</w:t>
      </w:r>
      <w:r w:rsidRPr="000B2218">
        <w:rPr>
          <w:lang w:val="en-US"/>
        </w:rPr>
        <w:t xml:space="preserve"> (also termed the </w:t>
      </w:r>
      <w:r w:rsidR="00933C48" w:rsidRPr="000B2218">
        <w:rPr>
          <w:lang w:val="en-US"/>
        </w:rPr>
        <w:t>“</w:t>
      </w:r>
      <w:r w:rsidRPr="000B2218">
        <w:rPr>
          <w:lang w:val="en-US"/>
        </w:rPr>
        <w:t>center of gravity</w:t>
      </w:r>
      <w:r w:rsidR="00933C48" w:rsidRPr="000B2218">
        <w:rPr>
          <w:lang w:val="en-US"/>
        </w:rPr>
        <w:t>”</w:t>
      </w:r>
      <w:r w:rsidRPr="000B2218">
        <w:rPr>
          <w:lang w:val="en-US"/>
        </w:rPr>
        <w:t xml:space="preserve">, COG). </w:t>
      </w:r>
    </w:p>
    <w:p w14:paraId="28920851" w14:textId="56144BE9" w:rsidR="0089470C" w:rsidRPr="000B2218" w:rsidRDefault="00396F2D" w:rsidP="00D26510">
      <w:pPr>
        <w:spacing w:after="120" w:line="480" w:lineRule="auto"/>
        <w:ind w:firstLine="720"/>
        <w:rPr>
          <w:lang w:val="en-US"/>
        </w:rPr>
      </w:pPr>
      <w:r w:rsidRPr="000B2218">
        <w:rPr>
          <w:lang w:val="en-US"/>
        </w:rPr>
        <w:lastRenderedPageBreak/>
        <w:t xml:space="preserve">Spatial distributions of </w:t>
      </w:r>
      <w:r w:rsidR="00DD4113" w:rsidRPr="000B2218">
        <w:rPr>
          <w:lang w:val="en-US"/>
        </w:rPr>
        <w:t>population density</w:t>
      </w:r>
      <w:r w:rsidR="0089470C" w:rsidRPr="000B2218">
        <w:rPr>
          <w:lang w:val="en-US"/>
        </w:rPr>
        <w:t xml:space="preserve"> are often complex and heterogeneous</w:t>
      </w:r>
      <w:r w:rsidR="00C4697C" w:rsidRPr="000B2218">
        <w:rPr>
          <w:lang w:val="en-US"/>
        </w:rPr>
        <w:t xml:space="preserve"> </w:t>
      </w:r>
      <w:r w:rsidR="00A01347" w:rsidRPr="00A01347">
        <w:t>(</w:t>
      </w:r>
      <w:proofErr w:type="spellStart"/>
      <w:r w:rsidR="00A01347" w:rsidRPr="00A01347">
        <w:t>Sagarin</w:t>
      </w:r>
      <w:proofErr w:type="spellEnd"/>
      <w:r w:rsidR="00A01347" w:rsidRPr="00A01347">
        <w:t xml:space="preserve"> and Gaines 2002, </w:t>
      </w:r>
      <w:proofErr w:type="spellStart"/>
      <w:r w:rsidR="00A01347" w:rsidRPr="00A01347">
        <w:t>Sagarin</w:t>
      </w:r>
      <w:proofErr w:type="spellEnd"/>
      <w:r w:rsidR="00A01347" w:rsidRPr="00A01347">
        <w:t xml:space="preserve"> et al. 2006)</w:t>
      </w:r>
      <w:r w:rsidR="0089470C" w:rsidRPr="000B2218">
        <w:rPr>
          <w:lang w:val="en-US"/>
        </w:rPr>
        <w:t>. Heterogeneity may be present in the distribution of a species throughout its range, but the change in a species</w:t>
      </w:r>
      <w:r w:rsidR="00697697" w:rsidRPr="000B2218">
        <w:rPr>
          <w:lang w:val="en-US"/>
        </w:rPr>
        <w:t xml:space="preserve">’ </w:t>
      </w:r>
      <w:r w:rsidR="00DD4113" w:rsidRPr="000B2218">
        <w:rPr>
          <w:lang w:val="en-US"/>
        </w:rPr>
        <w:t>population density</w:t>
      </w:r>
      <w:r w:rsidR="00D766A8" w:rsidRPr="000B2218">
        <w:rPr>
          <w:lang w:val="en-US"/>
        </w:rPr>
        <w:t xml:space="preserve"> </w:t>
      </w:r>
      <w:r w:rsidR="0089470C" w:rsidRPr="000B2218">
        <w:rPr>
          <w:lang w:val="en-US"/>
        </w:rPr>
        <w:t xml:space="preserve">over time may also have a spatially varying component. </w:t>
      </w:r>
      <w:r w:rsidR="006875A0" w:rsidRPr="000B2218">
        <w:rPr>
          <w:lang w:val="en-US"/>
        </w:rPr>
        <w:t xml:space="preserve">Mechanisms </w:t>
      </w:r>
      <w:r w:rsidR="00762986" w:rsidRPr="000B2218">
        <w:rPr>
          <w:lang w:val="en-US"/>
        </w:rPr>
        <w:t>responsible for spatial variability in change might be biological (e.g.</w:t>
      </w:r>
      <w:r w:rsidR="0098228C" w:rsidRPr="000B2218">
        <w:rPr>
          <w:lang w:val="en-US"/>
        </w:rPr>
        <w:t>,</w:t>
      </w:r>
      <w:r w:rsidR="00762986" w:rsidRPr="000B2218">
        <w:rPr>
          <w:lang w:val="en-US"/>
        </w:rPr>
        <w:t xml:space="preserve"> variation in birth and death rates) or forced by spatially structured pressures </w:t>
      </w:r>
      <w:r w:rsidR="00A01347" w:rsidRPr="00A01347">
        <w:t>(such as environmental or habitat change, and anthropogenic disturbances, e.g., Barnett et al. 2019 and references therein)</w:t>
      </w:r>
      <w:r w:rsidR="00762986" w:rsidRPr="000B2218">
        <w:rPr>
          <w:lang w:val="en-US"/>
        </w:rPr>
        <w:t xml:space="preserve">. </w:t>
      </w:r>
      <w:r w:rsidR="0089470C" w:rsidRPr="000B2218">
        <w:rPr>
          <w:lang w:val="en-US"/>
        </w:rPr>
        <w:t>Consequently, attempting to describe a uniform shift in distribution across a broad geographic range can be misleading</w:t>
      </w:r>
      <w:r w:rsidR="00F07A63" w:rsidRPr="000B2218">
        <w:rPr>
          <w:lang w:val="en-US"/>
        </w:rPr>
        <w:t xml:space="preserve"> </w:t>
      </w:r>
      <w:r w:rsidR="00A01347" w:rsidRPr="00A01347">
        <w:t>(</w:t>
      </w:r>
      <w:proofErr w:type="spellStart"/>
      <w:r w:rsidR="00A01347" w:rsidRPr="00A01347">
        <w:t>Sagarin</w:t>
      </w:r>
      <w:proofErr w:type="spellEnd"/>
      <w:r w:rsidR="00A01347" w:rsidRPr="00A01347">
        <w:t xml:space="preserve"> et al. 2006)</w:t>
      </w:r>
      <w:r w:rsidR="0089470C" w:rsidRPr="000B2218">
        <w:rPr>
          <w:lang w:val="en-US"/>
        </w:rPr>
        <w:t>, particularly when different regions exhibit contrasting trends. For example, if densities increase at opposing range boundaries at an equivalent rate, there may be no trend in the range-wide COG, masking finer-scale shifts. Thus, when using spatial indicators to describe species distribution shifts, the spatial scale of aggregation can affect inference</w:t>
      </w:r>
      <w:r w:rsidR="00017607">
        <w:rPr>
          <w:lang w:val="en-US"/>
        </w:rPr>
        <w:t xml:space="preserve"> </w:t>
      </w:r>
      <w:r w:rsidR="00A01347" w:rsidRPr="00A01347">
        <w:t>(e.g., Connor et al. 2019)</w:t>
      </w:r>
      <w:r w:rsidR="0089470C" w:rsidRPr="000B2218">
        <w:rPr>
          <w:lang w:val="en-US"/>
        </w:rPr>
        <w:t xml:space="preserve">, as in the classic problem of pattern and scale in ecology </w:t>
      </w:r>
      <w:r w:rsidR="00A01347" w:rsidRPr="00A01347">
        <w:t>(Levin 1992)</w:t>
      </w:r>
      <w:r w:rsidR="0089470C" w:rsidRPr="000B2218">
        <w:rPr>
          <w:lang w:val="en-US"/>
        </w:rPr>
        <w:t xml:space="preserve">. Therefore, there is a general need to develop objective methods for defining appropriate scales to evaluate changes in species distributions. Such tools are widely applicable for solving specific problems in fish and wildlife conservation and management by defining spatial domains with distinct population </w:t>
      </w:r>
      <w:r w:rsidR="00025B39" w:rsidRPr="000B2218">
        <w:rPr>
          <w:lang w:val="en-US"/>
        </w:rPr>
        <w:t>trends</w:t>
      </w:r>
      <w:r w:rsidR="0089470C" w:rsidRPr="000B2218">
        <w:rPr>
          <w:lang w:val="en-US"/>
        </w:rPr>
        <w:t>.</w:t>
      </w:r>
    </w:p>
    <w:p w14:paraId="461012C6" w14:textId="30395AB4" w:rsidR="00AD13D5" w:rsidRPr="00DA4426" w:rsidRDefault="00952EEB" w:rsidP="00AF5CC6">
      <w:pPr>
        <w:spacing w:after="120" w:line="480" w:lineRule="auto"/>
        <w:ind w:firstLine="720"/>
        <w:rPr>
          <w:lang w:val="en-US"/>
        </w:rPr>
      </w:pPr>
      <w:r w:rsidRPr="000B2218">
        <w:rPr>
          <w:lang w:val="en-US"/>
        </w:rPr>
        <w:t xml:space="preserve">Techniques for estimating how populations vary over space and time evolved rapidly with increases in computational power and the development of novel methods and applications of tools such as hierarchical statistical models. Some of the largest methodological changes have been advances in spatiotemporal analyses that </w:t>
      </w:r>
      <w:r w:rsidR="00751EB6" w:rsidRPr="000B2218">
        <w:rPr>
          <w:lang w:val="en-US"/>
        </w:rPr>
        <w:t>model</w:t>
      </w:r>
      <w:r w:rsidRPr="000B2218">
        <w:rPr>
          <w:lang w:val="en-US"/>
        </w:rPr>
        <w:t xml:space="preserve"> space continuously and explicitly accounted for spatial autocorrelation between spatially</w:t>
      </w:r>
      <w:r w:rsidR="00751EB6" w:rsidRPr="000B2218">
        <w:rPr>
          <w:lang w:val="en-US"/>
        </w:rPr>
        <w:t xml:space="preserve"> </w:t>
      </w:r>
      <w:r w:rsidRPr="000B2218">
        <w:rPr>
          <w:lang w:val="en-US"/>
        </w:rPr>
        <w:t xml:space="preserve">referenced observations that are proximate in both space and time </w:t>
      </w:r>
      <w:r w:rsidR="00A01347" w:rsidRPr="00A01347">
        <w:t xml:space="preserve">(e.g., Banerjee et al. 2008, Finley et al. 2009, Latimer et al. 2009, </w:t>
      </w:r>
      <w:proofErr w:type="spellStart"/>
      <w:r w:rsidR="00A01347" w:rsidRPr="00A01347">
        <w:t>Cressie</w:t>
      </w:r>
      <w:proofErr w:type="spellEnd"/>
      <w:r w:rsidR="00A01347" w:rsidRPr="00A01347">
        <w:t xml:space="preserve"> and </w:t>
      </w:r>
      <w:proofErr w:type="spellStart"/>
      <w:r w:rsidR="00A01347" w:rsidRPr="00A01347">
        <w:t>Wikle</w:t>
      </w:r>
      <w:proofErr w:type="spellEnd"/>
      <w:r w:rsidR="00A01347" w:rsidRPr="00A01347">
        <w:t xml:space="preserve"> 2011, Shelton et al. 2014, Thorson et al. 2015)</w:t>
      </w:r>
      <w:r w:rsidRPr="00DA4426">
        <w:rPr>
          <w:lang w:val="en-US"/>
        </w:rPr>
        <w:t xml:space="preserve">. </w:t>
      </w:r>
      <w:r w:rsidR="009A2A95" w:rsidRPr="00DA4426">
        <w:rPr>
          <w:lang w:val="en-US"/>
        </w:rPr>
        <w:t xml:space="preserve">There are a number of </w:t>
      </w:r>
      <w:r w:rsidR="009A2A95" w:rsidRPr="00DA4426">
        <w:rPr>
          <w:lang w:val="en-US"/>
        </w:rPr>
        <w:lastRenderedPageBreak/>
        <w:t xml:space="preserve">advantages of estimating a species’ density in a framework that accounts for spatial or spatiotemporal variation. First, explicitly accounting for spatial variation in density has been shown to increase precision of estimated temporal trends </w:t>
      </w:r>
      <w:r w:rsidR="00A01347" w:rsidRPr="00A01347">
        <w:t>(Thorson et al. 2015)</w:t>
      </w:r>
      <w:r w:rsidR="009A2A95" w:rsidRPr="00DA4426">
        <w:rPr>
          <w:lang w:val="en-US"/>
        </w:rPr>
        <w:t>. Second, modeling spatial or spatiotemporal variation in population density can be performed within</w:t>
      </w:r>
      <w:r w:rsidR="00074DD9" w:rsidRPr="00DA4426">
        <w:rPr>
          <w:lang w:val="en-US"/>
        </w:rPr>
        <w:t xml:space="preserve"> </w:t>
      </w:r>
      <w:r w:rsidR="009A2A95" w:rsidRPr="00DA4426">
        <w:rPr>
          <w:lang w:val="en-US"/>
        </w:rPr>
        <w:t xml:space="preserve">flexible and established frameworks such as mixed-effect models where the spatial or spatiotemporal components are estimated as random effects </w:t>
      </w:r>
      <w:r w:rsidR="00A01347" w:rsidRPr="00A01347">
        <w:t xml:space="preserve">(e.g., Latimer et al. 2009, </w:t>
      </w:r>
      <w:proofErr w:type="spellStart"/>
      <w:r w:rsidR="00A01347" w:rsidRPr="00A01347">
        <w:t>Cressie</w:t>
      </w:r>
      <w:proofErr w:type="spellEnd"/>
      <w:r w:rsidR="00A01347" w:rsidRPr="00A01347">
        <w:t xml:space="preserve"> and </w:t>
      </w:r>
      <w:proofErr w:type="spellStart"/>
      <w:r w:rsidR="00A01347" w:rsidRPr="00A01347">
        <w:t>Wikle</w:t>
      </w:r>
      <w:proofErr w:type="spellEnd"/>
      <w:r w:rsidR="00A01347" w:rsidRPr="00A01347">
        <w:t xml:space="preserve"> 2011, Shelton et al. 2014)</w:t>
      </w:r>
      <w:r w:rsidR="006B0507" w:rsidRPr="00DA4426">
        <w:rPr>
          <w:lang w:val="en-US"/>
        </w:rPr>
        <w:t xml:space="preserve">. </w:t>
      </w:r>
      <w:r w:rsidR="00AF5CC6" w:rsidRPr="00DA4426">
        <w:rPr>
          <w:lang w:val="en-US"/>
        </w:rPr>
        <w:t xml:space="preserve">Similar to their non-spatial predecessors, these spatiotemporal modeling approaches </w:t>
      </w:r>
      <w:r w:rsidR="00074DD9" w:rsidRPr="00DA4426">
        <w:rPr>
          <w:lang w:val="en-US"/>
        </w:rPr>
        <w:t>often</w:t>
      </w:r>
      <w:r w:rsidR="00AF5CC6" w:rsidRPr="00DA4426">
        <w:rPr>
          <w:lang w:val="en-US"/>
        </w:rPr>
        <w:t xml:space="preserve"> treat time as a discrete factor to allow for unbiased estimates of </w:t>
      </w:r>
      <w:r w:rsidR="00074DD9" w:rsidRPr="00DA4426">
        <w:rPr>
          <w:lang w:val="en-US"/>
        </w:rPr>
        <w:t xml:space="preserve">temporal </w:t>
      </w:r>
      <w:r w:rsidR="00AF5CC6" w:rsidRPr="00DA4426">
        <w:rPr>
          <w:lang w:val="en-US"/>
        </w:rPr>
        <w:t>trends.</w:t>
      </w:r>
      <w:r w:rsidR="00074DD9" w:rsidRPr="00DA4426">
        <w:rPr>
          <w:lang w:val="en-US"/>
        </w:rPr>
        <w:t xml:space="preserve"> </w:t>
      </w:r>
      <w:r w:rsidR="006B0507" w:rsidRPr="00DA4426">
        <w:rPr>
          <w:lang w:val="en-US"/>
        </w:rPr>
        <w:t>With such approaches, the spatial distribution of density can either be constant (modeled as a single spatial field) or time-varying (with variability modeled either as independent over time, or as an autoregressive process).</w:t>
      </w:r>
      <w:r w:rsidR="00AF5CC6" w:rsidRPr="00DA4426">
        <w:rPr>
          <w:lang w:val="en-US"/>
        </w:rPr>
        <w:t xml:space="preserve"> </w:t>
      </w:r>
    </w:p>
    <w:p w14:paraId="5E0416A5" w14:textId="38AE2860" w:rsidR="00025B39" w:rsidRPr="00DA4426" w:rsidRDefault="0048619F" w:rsidP="00AF5CC6">
      <w:pPr>
        <w:spacing w:after="120" w:line="480" w:lineRule="auto"/>
        <w:ind w:firstLine="720"/>
        <w:rPr>
          <w:lang w:val="en-US"/>
        </w:rPr>
      </w:pPr>
      <w:r w:rsidRPr="00DA4426">
        <w:rPr>
          <w:lang w:val="en-US"/>
        </w:rPr>
        <w:t>These</w:t>
      </w:r>
      <w:r w:rsidR="00AF5CC6" w:rsidRPr="00DA4426">
        <w:rPr>
          <w:lang w:val="en-US"/>
        </w:rPr>
        <w:t>, and similar</w:t>
      </w:r>
      <w:r w:rsidRPr="00DA4426">
        <w:rPr>
          <w:lang w:val="en-US"/>
        </w:rPr>
        <w:t xml:space="preserve"> </w:t>
      </w:r>
      <w:r w:rsidR="00AF5CC6" w:rsidRPr="00DA4426">
        <w:rPr>
          <w:lang w:val="en-US"/>
        </w:rPr>
        <w:t>spatial model-based</w:t>
      </w:r>
      <w:r w:rsidRPr="00DA4426">
        <w:rPr>
          <w:lang w:val="en-US"/>
        </w:rPr>
        <w:t xml:space="preserve"> </w:t>
      </w:r>
      <w:r w:rsidR="00AD13D5" w:rsidRPr="00DA4426">
        <w:rPr>
          <w:lang w:val="en-US"/>
        </w:rPr>
        <w:t>estimators</w:t>
      </w:r>
      <w:r w:rsidR="00CC53B5" w:rsidRPr="00DA4426">
        <w:rPr>
          <w:lang w:val="en-US"/>
        </w:rPr>
        <w:t>,</w:t>
      </w:r>
      <w:r w:rsidRPr="00DA4426">
        <w:rPr>
          <w:lang w:val="en-US"/>
        </w:rPr>
        <w:t xml:space="preserve"> have in many applications replaced con</w:t>
      </w:r>
      <w:r w:rsidR="00AF5CC6" w:rsidRPr="00DA4426">
        <w:rPr>
          <w:lang w:val="en-US"/>
        </w:rPr>
        <w:t>ventional design</w:t>
      </w:r>
      <w:r w:rsidRPr="00DA4426">
        <w:rPr>
          <w:lang w:val="en-US"/>
        </w:rPr>
        <w:t xml:space="preserve">-based estimators of population density, which assume that density is homogenous within sampling strata </w:t>
      </w:r>
      <w:r w:rsidR="00A01347" w:rsidRPr="00A01347">
        <w:t>(Chen et al. 2004)</w:t>
      </w:r>
      <w:r w:rsidRPr="00DA4426">
        <w:rPr>
          <w:lang w:val="en-US"/>
        </w:rPr>
        <w:t xml:space="preserve">. </w:t>
      </w:r>
      <w:r w:rsidR="00AF5CC6" w:rsidRPr="00DA4426">
        <w:rPr>
          <w:lang w:val="en-US"/>
        </w:rPr>
        <w:t>In addition to being used for estimating population density or spatial distributions, output from these modeling approaches ha</w:t>
      </w:r>
      <w:r w:rsidR="00E65380" w:rsidRPr="00DA4426">
        <w:rPr>
          <w:lang w:val="en-US"/>
        </w:rPr>
        <w:t>s</w:t>
      </w:r>
      <w:r w:rsidR="00AF5CC6" w:rsidRPr="00DA4426">
        <w:rPr>
          <w:lang w:val="en-US"/>
        </w:rPr>
        <w:t xml:space="preserve"> been used to generate model-based summaries to track change in species distributions, including the COG or area occupied, with more robust estimation than those provided by design-based estimates </w:t>
      </w:r>
      <w:r w:rsidR="00A01347" w:rsidRPr="00A01347">
        <w:t>(Thorson et al. 2016a)</w:t>
      </w:r>
      <w:r w:rsidR="00AF5CC6" w:rsidRPr="00DA4426">
        <w:rPr>
          <w:lang w:val="en-US"/>
        </w:rPr>
        <w:t xml:space="preserve">. </w:t>
      </w:r>
      <w:r w:rsidR="00962004" w:rsidRPr="00DA4426">
        <w:rPr>
          <w:lang w:val="en-US"/>
        </w:rPr>
        <w:t>As tools to implement t</w:t>
      </w:r>
      <w:r w:rsidRPr="00DA4426">
        <w:rPr>
          <w:lang w:val="en-US"/>
        </w:rPr>
        <w:t xml:space="preserve">hese </w:t>
      </w:r>
      <w:r w:rsidR="00962004" w:rsidRPr="00DA4426">
        <w:rPr>
          <w:lang w:val="en-US"/>
        </w:rPr>
        <w:t xml:space="preserve">methods </w:t>
      </w:r>
      <w:r w:rsidRPr="00DA4426">
        <w:rPr>
          <w:lang w:val="en-US"/>
        </w:rPr>
        <w:t>have become accessible in open source software,</w:t>
      </w:r>
      <w:r w:rsidR="00DA4426">
        <w:rPr>
          <w:lang w:val="en-US"/>
        </w:rPr>
        <w:t xml:space="preserve"> such as INLA (Rue et al. 2009), </w:t>
      </w:r>
      <w:r w:rsidRPr="00DA4426">
        <w:rPr>
          <w:lang w:val="en-US"/>
        </w:rPr>
        <w:t xml:space="preserve">VAST </w:t>
      </w:r>
      <w:r w:rsidR="00A01347" w:rsidRPr="00A01347">
        <w:t>(Thorson 2019b)</w:t>
      </w:r>
      <w:r w:rsidRPr="00DA4426">
        <w:rPr>
          <w:lang w:val="en-US"/>
        </w:rPr>
        <w:t xml:space="preserve">, </w:t>
      </w:r>
      <w:r w:rsidR="00DA4426">
        <w:rPr>
          <w:lang w:val="en-US"/>
        </w:rPr>
        <w:t xml:space="preserve">or </w:t>
      </w:r>
      <w:proofErr w:type="spellStart"/>
      <w:r w:rsidR="00DA4426">
        <w:rPr>
          <w:lang w:val="en-US"/>
        </w:rPr>
        <w:t>sdmTMB</w:t>
      </w:r>
      <w:proofErr w:type="spellEnd"/>
      <w:r w:rsidR="00DA4426">
        <w:rPr>
          <w:lang w:val="en-US"/>
        </w:rPr>
        <w:t xml:space="preserve"> </w:t>
      </w:r>
      <w:r w:rsidR="00DA4426" w:rsidRPr="00520366">
        <w:rPr>
          <w:lang w:val="en-US"/>
        </w:rPr>
        <w:t>(Anderson et al. 2019, 2020)</w:t>
      </w:r>
      <w:r w:rsidR="00DA4426">
        <w:rPr>
          <w:lang w:val="en-US"/>
        </w:rPr>
        <w:t xml:space="preserve">, </w:t>
      </w:r>
      <w:r w:rsidRPr="00DA4426">
        <w:rPr>
          <w:lang w:val="en-US"/>
        </w:rPr>
        <w:t xml:space="preserve">these approaches have </w:t>
      </w:r>
      <w:r w:rsidR="00962004" w:rsidRPr="00DA4426">
        <w:rPr>
          <w:lang w:val="en-US"/>
        </w:rPr>
        <w:t>seen broad application</w:t>
      </w:r>
      <w:r w:rsidRPr="00DA4426">
        <w:rPr>
          <w:lang w:val="en-US"/>
        </w:rPr>
        <w:t xml:space="preserve"> to populations in diverse ecosystems around the world</w:t>
      </w:r>
      <w:r w:rsidR="00AD13D5" w:rsidRPr="00DA4426">
        <w:rPr>
          <w:lang w:val="en-US"/>
        </w:rPr>
        <w:t xml:space="preserve">, including terrestrial </w:t>
      </w:r>
      <w:r w:rsidR="00162C1B" w:rsidRPr="00DA4426">
        <w:rPr>
          <w:lang w:val="en-US"/>
        </w:rPr>
        <w:t xml:space="preserve">plants </w:t>
      </w:r>
      <w:r w:rsidR="00A01347" w:rsidRPr="00A01347">
        <w:t>(Banerjee et al. 2008, Finley et al. 2009, Latimer et al. 2009)</w:t>
      </w:r>
      <w:r w:rsidR="00162C1B" w:rsidRPr="00DA4426">
        <w:rPr>
          <w:lang w:val="en-US"/>
        </w:rPr>
        <w:t xml:space="preserve"> and animals </w:t>
      </w:r>
      <w:r w:rsidR="00A01347" w:rsidRPr="00A01347">
        <w:t>(e.g., Thorson et al. 2016b)</w:t>
      </w:r>
      <w:r w:rsidR="00162C1B" w:rsidRPr="00DA4426">
        <w:rPr>
          <w:lang w:val="en-US"/>
        </w:rPr>
        <w:t xml:space="preserve">, </w:t>
      </w:r>
      <w:r w:rsidR="00AD13D5" w:rsidRPr="00DA4426">
        <w:rPr>
          <w:lang w:val="en-US"/>
        </w:rPr>
        <w:t xml:space="preserve">freshwater </w:t>
      </w:r>
      <w:r w:rsidR="00A01347" w:rsidRPr="00A01347">
        <w:t xml:space="preserve">(Hocking et al. </w:t>
      </w:r>
      <w:r w:rsidR="00A01347" w:rsidRPr="00A01347">
        <w:lastRenderedPageBreak/>
        <w:t>2018)</w:t>
      </w:r>
      <w:r w:rsidR="00AD13D5" w:rsidRPr="00DA4426">
        <w:rPr>
          <w:lang w:val="en-US"/>
        </w:rPr>
        <w:t xml:space="preserve"> and marine communities </w:t>
      </w:r>
      <w:r w:rsidR="00A01347" w:rsidRPr="00A01347">
        <w:t>(Shelton et al. 2014, Thorson et al. 2015, 2016a, Thorson and Barnett 2017, Anderson and Ward 2019)</w:t>
      </w:r>
      <w:r w:rsidRPr="00DA4426">
        <w:rPr>
          <w:lang w:val="en-US"/>
        </w:rPr>
        <w:t xml:space="preserve">. </w:t>
      </w:r>
    </w:p>
    <w:p w14:paraId="483CFA4E" w14:textId="4412233A" w:rsidR="0048619F" w:rsidRPr="00E266C1" w:rsidRDefault="00162C1B">
      <w:pPr>
        <w:spacing w:after="120" w:line="480" w:lineRule="auto"/>
        <w:ind w:firstLine="720"/>
        <w:rPr>
          <w:lang w:val="en-US"/>
        </w:rPr>
      </w:pPr>
      <w:r w:rsidRPr="00DA4426">
        <w:rPr>
          <w:lang w:val="en-US"/>
        </w:rPr>
        <w:t>Spatiotemporal modeling of population density has particularly flourished in the field of marine fisheries,</w:t>
      </w:r>
      <w:r w:rsidR="001356A9" w:rsidRPr="00DA4426">
        <w:rPr>
          <w:lang w:val="en-US"/>
        </w:rPr>
        <w:t xml:space="preserve"> where practical constraints limit the use of spatial capture-recapture, distance sampling, and other survey methods </w:t>
      </w:r>
      <w:r w:rsidR="008B21D9" w:rsidRPr="00DA4426">
        <w:rPr>
          <w:lang w:val="en-US"/>
        </w:rPr>
        <w:t xml:space="preserve">typically applied in terrestrial and freshwater systems </w:t>
      </w:r>
      <w:r w:rsidR="001356A9" w:rsidRPr="00DA4426">
        <w:rPr>
          <w:lang w:val="en-US"/>
        </w:rPr>
        <w:t xml:space="preserve">that </w:t>
      </w:r>
      <w:r w:rsidR="008B21D9" w:rsidRPr="00DA4426">
        <w:rPr>
          <w:lang w:val="en-US"/>
        </w:rPr>
        <w:t xml:space="preserve">have led to parallel development of models for similar purposes </w:t>
      </w:r>
      <w:r w:rsidR="00A01347" w:rsidRPr="00A01347">
        <w:t>(</w:t>
      </w:r>
      <w:proofErr w:type="spellStart"/>
      <w:r w:rsidR="00A01347" w:rsidRPr="00A01347">
        <w:t>Efford</w:t>
      </w:r>
      <w:proofErr w:type="spellEnd"/>
      <w:r w:rsidR="00A01347" w:rsidRPr="00A01347">
        <w:t xml:space="preserve"> 2004, 2011, </w:t>
      </w:r>
      <w:proofErr w:type="spellStart"/>
      <w:r w:rsidR="00A01347" w:rsidRPr="00A01347">
        <w:t>Royle</w:t>
      </w:r>
      <w:proofErr w:type="spellEnd"/>
      <w:r w:rsidR="00A01347" w:rsidRPr="00A01347">
        <w:t xml:space="preserve"> and Young 2008, </w:t>
      </w:r>
      <w:proofErr w:type="spellStart"/>
      <w:r w:rsidR="00A01347" w:rsidRPr="00A01347">
        <w:t>Royle</w:t>
      </w:r>
      <w:proofErr w:type="spellEnd"/>
      <w:r w:rsidR="00A01347" w:rsidRPr="00A01347">
        <w:t xml:space="preserve"> et al. 2013)</w:t>
      </w:r>
      <w:r w:rsidR="001356A9" w:rsidRPr="00DA4426">
        <w:rPr>
          <w:lang w:val="en-US"/>
        </w:rPr>
        <w:t>.</w:t>
      </w:r>
      <w:r w:rsidR="008B21D9" w:rsidRPr="00DA4426">
        <w:rPr>
          <w:lang w:val="en-US"/>
        </w:rPr>
        <w:t xml:space="preserve"> The most reliable estimates of marine fish densities </w:t>
      </w:r>
      <w:r w:rsidR="008C4CDD" w:rsidRPr="00DA4426">
        <w:rPr>
          <w:lang w:val="en-US"/>
        </w:rPr>
        <w:t xml:space="preserve">at broad scales </w:t>
      </w:r>
      <w:r w:rsidR="008B21D9" w:rsidRPr="00DA4426">
        <w:rPr>
          <w:lang w:val="en-US"/>
        </w:rPr>
        <w:t xml:space="preserve">are generally derived from fishery-independent surveys where </w:t>
      </w:r>
      <w:r w:rsidR="008C4CDD" w:rsidRPr="00DA4426">
        <w:rPr>
          <w:lang w:val="en-US"/>
        </w:rPr>
        <w:t xml:space="preserve">observations of </w:t>
      </w:r>
      <w:r w:rsidR="008B21D9" w:rsidRPr="00DA4426">
        <w:rPr>
          <w:lang w:val="en-US"/>
        </w:rPr>
        <w:t xml:space="preserve">population density </w:t>
      </w:r>
      <w:r w:rsidR="008C4CDD" w:rsidRPr="00DA4426">
        <w:rPr>
          <w:lang w:val="en-US"/>
        </w:rPr>
        <w:t>are</w:t>
      </w:r>
      <w:r w:rsidR="008B21D9" w:rsidRPr="00DA4426">
        <w:rPr>
          <w:lang w:val="en-US"/>
        </w:rPr>
        <w:t xml:space="preserve"> taken to be proportional to the catch-per-unit-effort</w:t>
      </w:r>
      <w:r w:rsidR="00811FC6" w:rsidRPr="00DA4426">
        <w:rPr>
          <w:lang w:val="en-US"/>
        </w:rPr>
        <w:t xml:space="preserve"> of a fishing gear, often implemented using some form of stratified random sampling design</w:t>
      </w:r>
      <w:r w:rsidR="008B21D9" w:rsidRPr="00DA4426">
        <w:rPr>
          <w:lang w:val="en-US"/>
        </w:rPr>
        <w:t xml:space="preserve">. In addition to providing </w:t>
      </w:r>
      <w:r w:rsidR="00C471F3" w:rsidRPr="00DA4426">
        <w:rPr>
          <w:lang w:val="en-US"/>
        </w:rPr>
        <w:t xml:space="preserve">the data on </w:t>
      </w:r>
      <w:r w:rsidR="008B21D9" w:rsidRPr="00DA4426">
        <w:rPr>
          <w:lang w:val="en-US"/>
        </w:rPr>
        <w:t xml:space="preserve">population size </w:t>
      </w:r>
      <w:r w:rsidR="00C471F3" w:rsidRPr="00DA4426">
        <w:rPr>
          <w:lang w:val="en-US"/>
        </w:rPr>
        <w:t>and structure that is needed</w:t>
      </w:r>
      <w:r w:rsidR="008B21D9" w:rsidRPr="00DA4426">
        <w:rPr>
          <w:lang w:val="en-US"/>
        </w:rPr>
        <w:t xml:space="preserve"> for managing individual fish populations, fishery-independent survey data </w:t>
      </w:r>
      <w:r w:rsidR="008C4CDD" w:rsidRPr="00DA4426">
        <w:rPr>
          <w:lang w:val="en-US"/>
        </w:rPr>
        <w:t>are</w:t>
      </w:r>
      <w:r w:rsidR="008B21D9" w:rsidRPr="00DA4426">
        <w:rPr>
          <w:lang w:val="en-US"/>
        </w:rPr>
        <w:t xml:space="preserve"> used </w:t>
      </w:r>
      <w:r w:rsidR="008C4CDD" w:rsidRPr="00DA4426">
        <w:rPr>
          <w:lang w:val="en-US"/>
        </w:rPr>
        <w:t>for purposes such as</w:t>
      </w:r>
      <w:r w:rsidR="008B21D9" w:rsidRPr="00DA4426">
        <w:rPr>
          <w:lang w:val="en-US"/>
        </w:rPr>
        <w:t xml:space="preserve"> </w:t>
      </w:r>
      <w:r w:rsidR="00C471F3" w:rsidRPr="00DA4426">
        <w:rPr>
          <w:lang w:val="en-US"/>
        </w:rPr>
        <w:t>informing</w:t>
      </w:r>
      <w:r w:rsidR="008B21D9" w:rsidRPr="00DA4426">
        <w:rPr>
          <w:lang w:val="en-US"/>
        </w:rPr>
        <w:t xml:space="preserve"> ecosystem</w:t>
      </w:r>
      <w:r w:rsidR="00C471F3" w:rsidRPr="00DA4426">
        <w:rPr>
          <w:lang w:val="en-US"/>
        </w:rPr>
        <w:t>-based</w:t>
      </w:r>
      <w:r w:rsidR="008B21D9" w:rsidRPr="00DA4426">
        <w:rPr>
          <w:lang w:val="en-US"/>
        </w:rPr>
        <w:t xml:space="preserve"> </w:t>
      </w:r>
      <w:r w:rsidR="00C471F3" w:rsidRPr="00DA4426">
        <w:rPr>
          <w:lang w:val="en-US"/>
        </w:rPr>
        <w:t>management</w:t>
      </w:r>
      <w:r w:rsidR="008B21D9" w:rsidRPr="00DA4426">
        <w:rPr>
          <w:lang w:val="en-US"/>
        </w:rPr>
        <w:t xml:space="preserve"> </w:t>
      </w:r>
      <w:r w:rsidR="00A01347" w:rsidRPr="00A01347">
        <w:t>(Link et al. 2002, Nicholson and Jennings 2004, Harvey et al. 2018)</w:t>
      </w:r>
      <w:r w:rsidR="008B21D9" w:rsidRPr="00DA4426">
        <w:rPr>
          <w:lang w:val="en-US"/>
        </w:rPr>
        <w:t xml:space="preserve">, </w:t>
      </w:r>
      <w:r w:rsidR="008C4CDD" w:rsidRPr="00DA4426">
        <w:rPr>
          <w:lang w:val="en-US"/>
        </w:rPr>
        <w:t>evaluating</w:t>
      </w:r>
      <w:r w:rsidR="008B21D9" w:rsidRPr="00DA4426">
        <w:rPr>
          <w:lang w:val="en-US"/>
        </w:rPr>
        <w:t xml:space="preserve"> the impacts of </w:t>
      </w:r>
      <w:r w:rsidR="008C4CDD" w:rsidRPr="00DA4426">
        <w:rPr>
          <w:lang w:val="en-US"/>
        </w:rPr>
        <w:t>harvesting</w:t>
      </w:r>
      <w:r w:rsidR="008B21D9" w:rsidRPr="00DA4426">
        <w:rPr>
          <w:lang w:val="en-US"/>
        </w:rPr>
        <w:t xml:space="preserve"> non-target species </w:t>
      </w:r>
      <w:r w:rsidR="00A01347" w:rsidRPr="00A01347">
        <w:t>(Stock et al. 2019)</w:t>
      </w:r>
      <w:r w:rsidR="008C4CDD" w:rsidRPr="00DA4426">
        <w:rPr>
          <w:lang w:val="en-US"/>
        </w:rPr>
        <w:t xml:space="preserve">, and quantifying shifts in species distributions </w:t>
      </w:r>
      <w:r w:rsidR="00A01347" w:rsidRPr="00A01347">
        <w:t>(Pinsky et al. 2013, Thorson et al. 2016a)</w:t>
      </w:r>
      <w:r w:rsidR="008B21D9" w:rsidRPr="00DA4426">
        <w:rPr>
          <w:lang w:val="en-US"/>
        </w:rPr>
        <w:t xml:space="preserve">. </w:t>
      </w:r>
      <w:r w:rsidR="00811FC6" w:rsidRPr="00DA4426">
        <w:rPr>
          <w:lang w:val="en-US"/>
        </w:rPr>
        <w:t>Changes in the spatial d</w:t>
      </w:r>
      <w:r w:rsidR="00E747BE" w:rsidRPr="00DA4426">
        <w:rPr>
          <w:lang w:val="en-US"/>
        </w:rPr>
        <w:t>istribution of marine fishes have</w:t>
      </w:r>
      <w:r w:rsidR="00811FC6" w:rsidRPr="00DA4426">
        <w:rPr>
          <w:lang w:val="en-US"/>
        </w:rPr>
        <w:t xml:space="preserve"> significant implications for community structure and national food security </w:t>
      </w:r>
      <w:r w:rsidR="00A01347" w:rsidRPr="00A01347">
        <w:t>(Rice and Garcia 2011)</w:t>
      </w:r>
      <w:r w:rsidR="00E747BE" w:rsidRPr="00DA4426">
        <w:rPr>
          <w:lang w:val="en-US"/>
        </w:rPr>
        <w:t>. T</w:t>
      </w:r>
      <w:r w:rsidR="00C471F3" w:rsidRPr="00DA4426">
        <w:rPr>
          <w:lang w:val="en-US"/>
        </w:rPr>
        <w:t>hus, robust predictions of mari</w:t>
      </w:r>
      <w:r w:rsidR="00811FC6" w:rsidRPr="00DA4426">
        <w:rPr>
          <w:lang w:val="en-US"/>
        </w:rPr>
        <w:t xml:space="preserve">ne fish distribution shifts are needed, yet difficult to obtain given sparse and often uneven sampling effort, short monitoring time series, </w:t>
      </w:r>
      <w:proofErr w:type="gramStart"/>
      <w:r w:rsidR="00E747BE" w:rsidRPr="00DA4426">
        <w:rPr>
          <w:lang w:val="en-US"/>
        </w:rPr>
        <w:t>limited</w:t>
      </w:r>
      <w:proofErr w:type="gramEnd"/>
      <w:r w:rsidR="00E747BE" w:rsidRPr="00DA4426">
        <w:rPr>
          <w:lang w:val="en-US"/>
        </w:rPr>
        <w:t xml:space="preserve"> ability to repeat-sample individuals, </w:t>
      </w:r>
      <w:r w:rsidR="00811FC6" w:rsidRPr="00DA4426">
        <w:rPr>
          <w:lang w:val="en-US"/>
        </w:rPr>
        <w:t>and</w:t>
      </w:r>
      <w:r w:rsidR="00E747BE" w:rsidRPr="00DA4426">
        <w:rPr>
          <w:lang w:val="en-US"/>
        </w:rPr>
        <w:t xml:space="preserve"> the complexities</w:t>
      </w:r>
      <w:r w:rsidR="00811FC6" w:rsidRPr="00DA4426">
        <w:rPr>
          <w:lang w:val="en-US"/>
        </w:rPr>
        <w:t xml:space="preserve"> of </w:t>
      </w:r>
      <w:r w:rsidR="00E747BE" w:rsidRPr="00DA4426">
        <w:rPr>
          <w:lang w:val="en-US"/>
        </w:rPr>
        <w:t xml:space="preserve">surveying open populations with rich spatial structure. Spatial heterogeneity is particularly strong in these marine ecosystems, where complex coastline and bathymetric topography and geology interact with physical oceanographic drivers </w:t>
      </w:r>
      <w:r w:rsidR="00A01347" w:rsidRPr="00A01347">
        <w:t>(Levin et al. 2010)</w:t>
      </w:r>
      <w:r w:rsidR="00E747BE" w:rsidRPr="00DA4426">
        <w:rPr>
          <w:lang w:val="en-US"/>
        </w:rPr>
        <w:t>. Therefore, it i</w:t>
      </w:r>
      <w:r w:rsidR="00057112" w:rsidRPr="00DA4426">
        <w:rPr>
          <w:lang w:val="en-US"/>
        </w:rPr>
        <w:t xml:space="preserve">s critical to determine to what </w:t>
      </w:r>
      <w:r w:rsidR="0048654E" w:rsidRPr="00DA4426">
        <w:rPr>
          <w:lang w:val="en-US"/>
        </w:rPr>
        <w:lastRenderedPageBreak/>
        <w:t>degree</w:t>
      </w:r>
      <w:r w:rsidR="00057112" w:rsidRPr="00DA4426">
        <w:rPr>
          <w:lang w:val="en-US"/>
        </w:rPr>
        <w:t xml:space="preserve"> such heterogeneity must be accounted for to adequately characterize marine fish distribution shifts.</w:t>
      </w:r>
    </w:p>
    <w:p w14:paraId="5504A9DA" w14:textId="44A1B81E" w:rsidR="0089470C" w:rsidRPr="00DA4426" w:rsidRDefault="0048654E" w:rsidP="00C2183A">
      <w:pPr>
        <w:spacing w:after="120" w:line="480" w:lineRule="auto"/>
        <w:ind w:firstLine="720"/>
        <w:rPr>
          <w:lang w:val="en-US"/>
        </w:rPr>
      </w:pPr>
      <w:r w:rsidRPr="00DA4426">
        <w:rPr>
          <w:lang w:val="en-US"/>
        </w:rPr>
        <w:t xml:space="preserve">Here, we </w:t>
      </w:r>
      <w:r w:rsidR="0033386B" w:rsidRPr="00DA4426">
        <w:rPr>
          <w:lang w:val="en-US"/>
        </w:rPr>
        <w:t xml:space="preserve">introduce a new approach to </w:t>
      </w:r>
      <w:r w:rsidRPr="00DA4426">
        <w:rPr>
          <w:lang w:val="en-US"/>
        </w:rPr>
        <w:t xml:space="preserve">address how </w:t>
      </w:r>
      <w:r w:rsidR="0033386B" w:rsidRPr="00DA4426">
        <w:rPr>
          <w:lang w:val="en-US"/>
        </w:rPr>
        <w:t>estimates of change in species distributions are dependent on the spatial scale of quantitative indicators of species distribution.</w:t>
      </w:r>
      <w:r w:rsidR="00C23B55" w:rsidRPr="00DA4426">
        <w:rPr>
          <w:lang w:val="en-US"/>
        </w:rPr>
        <w:t xml:space="preserve"> We describe the development of </w:t>
      </w:r>
      <w:r w:rsidR="0089470C" w:rsidRPr="00DA4426">
        <w:rPr>
          <w:lang w:val="en-US"/>
        </w:rPr>
        <w:t xml:space="preserve">a modeling </w:t>
      </w:r>
      <w:r w:rsidR="00C23B55" w:rsidRPr="00DA4426">
        <w:rPr>
          <w:lang w:val="en-US"/>
        </w:rPr>
        <w:t>technique that</w:t>
      </w:r>
      <w:r w:rsidR="0089470C" w:rsidRPr="00DA4426">
        <w:rPr>
          <w:lang w:val="en-US"/>
        </w:rPr>
        <w:t xml:space="preserve"> explicitl</w:t>
      </w:r>
      <w:r w:rsidR="00C23B55" w:rsidRPr="00DA4426">
        <w:rPr>
          <w:lang w:val="en-US"/>
        </w:rPr>
        <w:t>y</w:t>
      </w:r>
      <w:r w:rsidR="0089470C" w:rsidRPr="00DA4426">
        <w:rPr>
          <w:lang w:val="en-US"/>
        </w:rPr>
        <w:t xml:space="preserve"> account</w:t>
      </w:r>
      <w:r w:rsidR="00C23B55" w:rsidRPr="00DA4426">
        <w:rPr>
          <w:lang w:val="en-US"/>
        </w:rPr>
        <w:t>s</w:t>
      </w:r>
      <w:r w:rsidR="0089470C" w:rsidRPr="00DA4426">
        <w:rPr>
          <w:lang w:val="en-US"/>
        </w:rPr>
        <w:t xml:space="preserve"> for spatial variability in how </w:t>
      </w:r>
      <w:r w:rsidR="00A125F3" w:rsidRPr="00DA4426">
        <w:rPr>
          <w:lang w:val="en-US"/>
        </w:rPr>
        <w:t xml:space="preserve">population densities </w:t>
      </w:r>
      <w:r w:rsidR="0089470C" w:rsidRPr="00DA4426">
        <w:rPr>
          <w:lang w:val="en-US"/>
        </w:rPr>
        <w:t>change through time</w:t>
      </w:r>
      <w:r w:rsidR="00C23B55" w:rsidRPr="00DA4426">
        <w:rPr>
          <w:lang w:val="en-US"/>
        </w:rPr>
        <w:t xml:space="preserve"> to </w:t>
      </w:r>
      <w:r w:rsidR="00F62BF3" w:rsidRPr="00DA4426">
        <w:rPr>
          <w:lang w:val="en-US"/>
        </w:rPr>
        <w:t>estimate</w:t>
      </w:r>
      <w:r w:rsidR="00C23B55" w:rsidRPr="00DA4426">
        <w:rPr>
          <w:lang w:val="en-US"/>
        </w:rPr>
        <w:t xml:space="preserve"> finer-scale indicators of species distribution shifts</w:t>
      </w:r>
      <w:r w:rsidR="00F62BF3" w:rsidRPr="00DA4426">
        <w:rPr>
          <w:lang w:val="en-US"/>
        </w:rPr>
        <w:t xml:space="preserve"> (local trends)</w:t>
      </w:r>
      <w:r w:rsidR="0089470C" w:rsidRPr="00DA4426">
        <w:rPr>
          <w:lang w:val="en-US"/>
        </w:rPr>
        <w:t xml:space="preserve">. While widely applicable to a wide range of biological data (or even non-biological data), we focus on an application to changes in the distribution </w:t>
      </w:r>
      <w:r w:rsidR="00375D89" w:rsidRPr="00DA4426">
        <w:rPr>
          <w:lang w:val="en-US"/>
        </w:rPr>
        <w:t>of</w:t>
      </w:r>
      <w:r w:rsidR="0089470C" w:rsidRPr="00DA4426">
        <w:rPr>
          <w:lang w:val="en-US"/>
        </w:rPr>
        <w:t xml:space="preserve"> commercially fished</w:t>
      </w:r>
      <w:r w:rsidRPr="00DA4426">
        <w:rPr>
          <w:lang w:val="en-US"/>
        </w:rPr>
        <w:t xml:space="preserve"> marine</w:t>
      </w:r>
      <w:r w:rsidR="0089470C" w:rsidRPr="00DA4426">
        <w:rPr>
          <w:lang w:val="en-US"/>
        </w:rPr>
        <w:t xml:space="preserve"> species. These represent 19 species from a 15-year </w:t>
      </w:r>
      <w:bookmarkStart w:id="1" w:name="_Hlk44408451"/>
      <w:r w:rsidR="00134C4A" w:rsidRPr="00DA4426">
        <w:rPr>
          <w:lang w:val="en-US"/>
        </w:rPr>
        <w:t>publicly</w:t>
      </w:r>
      <w:r w:rsidR="00134C4A" w:rsidRPr="00DA4426" w:rsidDel="00134C4A">
        <w:rPr>
          <w:lang w:val="en-US"/>
        </w:rPr>
        <w:t xml:space="preserve"> </w:t>
      </w:r>
      <w:bookmarkEnd w:id="1"/>
      <w:r w:rsidR="0089470C" w:rsidRPr="00DA4426">
        <w:rPr>
          <w:lang w:val="en-US"/>
        </w:rPr>
        <w:t>available trawl survey dataset. We illustrate how our new approach may be used to infer changes over time, and also how output from this modeling approach may be useful in identifying spatial regions where change is greater or less</w:t>
      </w:r>
      <w:r w:rsidR="00C23B55" w:rsidRPr="00DA4426">
        <w:rPr>
          <w:lang w:val="en-US"/>
        </w:rPr>
        <w:t>er</w:t>
      </w:r>
      <w:r w:rsidR="0089470C" w:rsidRPr="00DA4426">
        <w:rPr>
          <w:lang w:val="en-US"/>
        </w:rPr>
        <w:t xml:space="preserve"> than average. </w:t>
      </w:r>
      <w:r w:rsidR="00C23B55" w:rsidRPr="00DA4426">
        <w:rPr>
          <w:lang w:val="en-US"/>
        </w:rPr>
        <w:t>Specifically, we compare interpretations of species distribution shifts along a spectrum of indicators from coarse-scales (global COG trends calculated over an entire survey domain), to moderate- (regional COG trends) and fine-scales (</w:t>
      </w:r>
      <w:r w:rsidR="00F62BF3" w:rsidRPr="00DA4426">
        <w:rPr>
          <w:lang w:val="en-US"/>
        </w:rPr>
        <w:t>local trend</w:t>
      </w:r>
      <w:r w:rsidR="00C23B55" w:rsidRPr="00DA4426">
        <w:rPr>
          <w:lang w:val="en-US"/>
        </w:rPr>
        <w:t>).</w:t>
      </w:r>
    </w:p>
    <w:p w14:paraId="5C056839" w14:textId="77777777" w:rsidR="00963112" w:rsidRPr="00DA4426" w:rsidRDefault="00963112" w:rsidP="00D26510">
      <w:pPr>
        <w:spacing w:after="120" w:line="480" w:lineRule="auto"/>
        <w:rPr>
          <w:lang w:val="en-US"/>
        </w:rPr>
      </w:pPr>
    </w:p>
    <w:p w14:paraId="5EB0E09A" w14:textId="027CAD94" w:rsidR="002D09CF" w:rsidRPr="00DA4426" w:rsidRDefault="00A51946" w:rsidP="00D26510">
      <w:pPr>
        <w:spacing w:after="120" w:line="480" w:lineRule="auto"/>
        <w:rPr>
          <w:lang w:val="en-US"/>
        </w:rPr>
      </w:pPr>
      <w:r w:rsidRPr="00DA4426">
        <w:rPr>
          <w:b/>
          <w:lang w:val="en-US"/>
        </w:rPr>
        <w:t>Material and m</w:t>
      </w:r>
      <w:r w:rsidR="002D09CF" w:rsidRPr="00DA4426">
        <w:rPr>
          <w:b/>
          <w:lang w:val="en-US"/>
        </w:rPr>
        <w:t>ethods</w:t>
      </w:r>
    </w:p>
    <w:p w14:paraId="5D98CA3C" w14:textId="38EDBB65" w:rsidR="00216F6D" w:rsidRPr="00DA4426" w:rsidRDefault="00216F6D" w:rsidP="00D26510">
      <w:pPr>
        <w:spacing w:after="120" w:line="480" w:lineRule="auto"/>
        <w:rPr>
          <w:i/>
          <w:lang w:val="en-US"/>
        </w:rPr>
      </w:pPr>
      <w:r w:rsidRPr="00DA4426">
        <w:rPr>
          <w:i/>
          <w:lang w:val="en-US"/>
        </w:rPr>
        <w:t xml:space="preserve">Spatial GLMM </w:t>
      </w:r>
      <w:r w:rsidR="00A82880" w:rsidRPr="00DA4426">
        <w:rPr>
          <w:i/>
          <w:lang w:val="en-US"/>
        </w:rPr>
        <w:t>o</w:t>
      </w:r>
      <w:r w:rsidRPr="00DA4426">
        <w:rPr>
          <w:i/>
          <w:lang w:val="en-US"/>
        </w:rPr>
        <w:t>verview</w:t>
      </w:r>
    </w:p>
    <w:p w14:paraId="1AF9220F" w14:textId="446E0D2B" w:rsidR="00CB4A97" w:rsidRPr="00C2183A" w:rsidRDefault="002D09CF" w:rsidP="006D07CD">
      <w:pPr>
        <w:spacing w:after="120" w:line="480" w:lineRule="auto"/>
        <w:rPr>
          <w:lang w:val="en-US"/>
        </w:rPr>
      </w:pPr>
      <w:r w:rsidRPr="00DA4426">
        <w:rPr>
          <w:lang w:val="en-US"/>
        </w:rPr>
        <w:t xml:space="preserve">The majority of recent applications of </w:t>
      </w:r>
      <w:r w:rsidR="000E5BED" w:rsidRPr="00DA4426">
        <w:rPr>
          <w:lang w:val="en-US"/>
        </w:rPr>
        <w:t>species distribution models (</w:t>
      </w:r>
      <w:r w:rsidRPr="00DA4426">
        <w:rPr>
          <w:lang w:val="en-US"/>
        </w:rPr>
        <w:t>SDMs</w:t>
      </w:r>
      <w:r w:rsidR="000E5BED" w:rsidRPr="00DA4426">
        <w:rPr>
          <w:lang w:val="en-US"/>
        </w:rPr>
        <w:t>)</w:t>
      </w:r>
      <w:r w:rsidRPr="00DA4426">
        <w:rPr>
          <w:lang w:val="en-US"/>
        </w:rPr>
        <w:t xml:space="preserve"> to </w:t>
      </w:r>
      <w:r w:rsidR="00843B51" w:rsidRPr="00DA4426">
        <w:rPr>
          <w:lang w:val="en-US"/>
        </w:rPr>
        <w:t xml:space="preserve">marine fish survey </w:t>
      </w:r>
      <w:r w:rsidRPr="00DA4426">
        <w:rPr>
          <w:lang w:val="en-US"/>
        </w:rPr>
        <w:t xml:space="preserve">data have been </w:t>
      </w:r>
      <w:r w:rsidR="00CB4A97" w:rsidRPr="00DA4426">
        <w:rPr>
          <w:lang w:val="en-US"/>
        </w:rPr>
        <w:t>implemented</w:t>
      </w:r>
      <w:r w:rsidRPr="00DA4426">
        <w:rPr>
          <w:lang w:val="en-US"/>
        </w:rPr>
        <w:t xml:space="preserve"> in a GLMM (generalized linear mixed‐effects model) framework, where random effects are used to describe spatial or spatiotemporal components. </w:t>
      </w:r>
      <w:r w:rsidR="00216F6D" w:rsidRPr="00DA4426">
        <w:rPr>
          <w:lang w:val="en-US"/>
        </w:rPr>
        <w:t xml:space="preserve">Spatial components are differentiated from spatiotemporal components in that the former are constant, </w:t>
      </w:r>
      <w:r w:rsidR="00216F6D" w:rsidRPr="00DA4426">
        <w:rPr>
          <w:lang w:val="en-US"/>
        </w:rPr>
        <w:lastRenderedPageBreak/>
        <w:t>whereas the latter vary through time.</w:t>
      </w:r>
      <w:r w:rsidR="00DC32E2" w:rsidRPr="00DA4426">
        <w:rPr>
          <w:lang w:val="en-US"/>
        </w:rPr>
        <w:t xml:space="preserve"> </w:t>
      </w:r>
      <w:r w:rsidRPr="00DA4426">
        <w:rPr>
          <w:lang w:val="en-US"/>
        </w:rPr>
        <w:t xml:space="preserve">Examples include applications to Gaussian predictive process models </w:t>
      </w:r>
      <w:r w:rsidR="00A01347" w:rsidRPr="00A01347">
        <w:t>(e.g., Shelton et al. 2014, Anderson and Ward 2019)</w:t>
      </w:r>
      <w:r w:rsidRPr="00C2183A">
        <w:rPr>
          <w:lang w:val="en-US"/>
        </w:rPr>
        <w:t>, and predictive modeling using integrated nested Laplace approximation</w:t>
      </w:r>
      <w:r w:rsidR="003860C5" w:rsidRPr="00C2183A">
        <w:rPr>
          <w:lang w:val="en-US"/>
        </w:rPr>
        <w:t xml:space="preserve">s </w:t>
      </w:r>
      <w:r w:rsidR="00A01347" w:rsidRPr="00A01347">
        <w:t>(INLA; e.g., Rue et al. 2009, Ruiz-Cárdenas et al. 2012, Thorson et al. 2015)</w:t>
      </w:r>
      <w:r w:rsidR="003860C5" w:rsidRPr="00C2183A">
        <w:rPr>
          <w:lang w:val="en-US"/>
        </w:rPr>
        <w:t>. The</w:t>
      </w:r>
      <w:r w:rsidRPr="00C2183A">
        <w:rPr>
          <w:lang w:val="en-US"/>
        </w:rPr>
        <w:t xml:space="preserve"> latter approach has been </w:t>
      </w:r>
      <w:r w:rsidR="003860C5" w:rsidRPr="00C2183A">
        <w:rPr>
          <w:lang w:val="en-US"/>
        </w:rPr>
        <w:t xml:space="preserve">particularly </w:t>
      </w:r>
      <w:r w:rsidRPr="00C2183A">
        <w:rPr>
          <w:lang w:val="en-US"/>
        </w:rPr>
        <w:t>useful for large datasets</w:t>
      </w:r>
      <w:r w:rsidR="003860C5" w:rsidRPr="00C2183A">
        <w:rPr>
          <w:lang w:val="en-US"/>
        </w:rPr>
        <w:t>,</w:t>
      </w:r>
      <w:r w:rsidRPr="00C2183A">
        <w:rPr>
          <w:lang w:val="en-US"/>
        </w:rPr>
        <w:t xml:space="preserve"> </w:t>
      </w:r>
      <w:r w:rsidR="003860C5" w:rsidRPr="00C2183A">
        <w:rPr>
          <w:lang w:val="en-US"/>
        </w:rPr>
        <w:t xml:space="preserve">where </w:t>
      </w:r>
      <w:r w:rsidR="00843B51" w:rsidRPr="00C2183A">
        <w:rPr>
          <w:lang w:val="en-US"/>
        </w:rPr>
        <w:t xml:space="preserve">substantial </w:t>
      </w:r>
      <w:r w:rsidR="003860C5" w:rsidRPr="00C2183A">
        <w:rPr>
          <w:lang w:val="en-US"/>
        </w:rPr>
        <w:t>gains in computational efficiency are accomplished by taking</w:t>
      </w:r>
      <w:r w:rsidRPr="00C2183A">
        <w:rPr>
          <w:lang w:val="en-US"/>
        </w:rPr>
        <w:t xml:space="preserve"> advantage of sparse matrix approximations to the variance</w:t>
      </w:r>
      <w:r w:rsidR="00843B51" w:rsidRPr="00C2183A">
        <w:rPr>
          <w:lang w:val="en-US"/>
        </w:rPr>
        <w:t>-</w:t>
      </w:r>
      <w:r w:rsidRPr="00C2183A">
        <w:rPr>
          <w:lang w:val="en-US"/>
        </w:rPr>
        <w:t>covariance matrix</w:t>
      </w:r>
      <w:r w:rsidR="00045217" w:rsidRPr="00C2183A">
        <w:rPr>
          <w:lang w:val="en-US"/>
        </w:rPr>
        <w:t xml:space="preserve"> </w:t>
      </w:r>
      <w:r w:rsidR="00A01347" w:rsidRPr="00A01347">
        <w:t>(Thorson and Barnett 2017)</w:t>
      </w:r>
      <w:r w:rsidRPr="00C2183A">
        <w:rPr>
          <w:lang w:val="en-US"/>
        </w:rPr>
        <w:t xml:space="preserve">. Regardless of the estimation approach used, the general formulation of these models uses a link function </w:t>
      </w:r>
      <m:oMath>
        <m:r>
          <w:rPr>
            <w:rFonts w:ascii="Cambria Math" w:hAnsi="Cambria Math"/>
            <w:lang w:val="en-US"/>
          </w:rPr>
          <m:t>g</m:t>
        </m:r>
        <m:r>
          <m:rPr>
            <m:sty m:val="p"/>
          </m:rPr>
          <w:rPr>
            <w:rFonts w:ascii="Cambria Math" w:hAnsi="Cambria Math"/>
            <w:lang w:val="en-US"/>
          </w:rPr>
          <m:t>(∙)</m:t>
        </m:r>
      </m:oMath>
      <w:r w:rsidRPr="00C2183A">
        <w:rPr>
          <w:lang w:val="en-US"/>
        </w:rPr>
        <w:t xml:space="preserve"> to relate the obs</w:t>
      </w:r>
      <w:r w:rsidR="00E57C20">
        <w:rPr>
          <w:lang w:val="en-US"/>
        </w:rPr>
        <w:t>erved</w:t>
      </w:r>
      <w:r w:rsidRPr="00C2183A">
        <w:rPr>
          <w:lang w:val="en-US"/>
        </w:rPr>
        <w:t xml:space="preserve"> response to covariates and a latent spatial process. 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650"/>
        <w:gridCol w:w="805"/>
      </w:tblGrid>
      <w:tr w:rsidR="001B606D" w14:paraId="024E42F5" w14:textId="77777777" w:rsidTr="00C907CA">
        <w:tc>
          <w:tcPr>
            <w:tcW w:w="895" w:type="dxa"/>
          </w:tcPr>
          <w:p w14:paraId="7457AB7F" w14:textId="77777777" w:rsidR="001B606D" w:rsidRDefault="001B606D" w:rsidP="00C907CA">
            <w:pPr>
              <w:spacing w:after="120" w:line="480" w:lineRule="auto"/>
              <w:jc w:val="center"/>
              <w:rPr>
                <w:rFonts w:eastAsiaTheme="minorEastAsia"/>
                <w:lang w:val="en-US"/>
              </w:rPr>
            </w:pPr>
          </w:p>
        </w:tc>
        <w:tc>
          <w:tcPr>
            <w:tcW w:w="7650" w:type="dxa"/>
          </w:tcPr>
          <w:p w14:paraId="625B19B3" w14:textId="52920671" w:rsidR="001B606D" w:rsidRDefault="001B606D" w:rsidP="00C907CA">
            <w:pPr>
              <w:spacing w:after="120" w:line="480" w:lineRule="auto"/>
              <w:jc w:val="center"/>
              <w:rPr>
                <w:rFonts w:eastAsiaTheme="minorEastAsia"/>
                <w:lang w:val="en-US"/>
              </w:rPr>
            </w:pPr>
            <m:oMathPara>
              <m:oMath>
                <m:r>
                  <w:rPr>
                    <w:rFonts w:ascii="Cambria Math" w:hAnsi="Cambria Math"/>
                    <w:lang w:val="en-US"/>
                  </w:rPr>
                  <m:t>g</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s,t</m:t>
                        </m:r>
                      </m:sub>
                    </m:sSub>
                  </m:e>
                </m:d>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s,t</m:t>
                    </m:r>
                  </m:sub>
                </m:sSub>
                <m:r>
                  <m:rPr>
                    <m:sty m:val="bi"/>
                  </m:rPr>
                  <w:rPr>
                    <w:rFonts w:ascii="Cambria Math" w:hAnsi="Cambria Math"/>
                    <w:lang w:val="en-US"/>
                  </w:rPr>
                  <m:t>b</m:t>
                </m:r>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s</m:t>
                        </m:r>
                      </m:sub>
                    </m:sSub>
                    <m:r>
                      <w:rPr>
                        <w:rFonts w:ascii="Cambria Math" w:hAnsi="Cambria Math"/>
                        <w:lang w:val="en-US"/>
                      </w:rPr>
                      <m:t>+ϵ</m:t>
                    </m:r>
                  </m:e>
                  <m:sub>
                    <m:r>
                      <w:rPr>
                        <w:rFonts w:ascii="Cambria Math" w:hAnsi="Cambria Math"/>
                        <w:lang w:val="en-US"/>
                      </w:rPr>
                      <m:t>s,t</m:t>
                    </m:r>
                  </m:sub>
                </m:sSub>
                <m:r>
                  <m:rPr>
                    <m:sty m:val="p"/>
                  </m:rPr>
                  <w:rPr>
                    <w:rFonts w:ascii="Cambria Math" w:hAnsi="Cambria Math"/>
                    <w:lang w:val="en-US"/>
                  </w:rPr>
                  <m:t>,</m:t>
                </m:r>
              </m:oMath>
            </m:oMathPara>
          </w:p>
        </w:tc>
        <w:tc>
          <w:tcPr>
            <w:tcW w:w="805" w:type="dxa"/>
          </w:tcPr>
          <w:p w14:paraId="5BF5DDE3" w14:textId="3701E5D7" w:rsidR="001B606D" w:rsidRDefault="001B606D" w:rsidP="00C907CA">
            <w:pPr>
              <w:spacing w:after="120" w:line="480" w:lineRule="auto"/>
              <w:jc w:val="center"/>
              <w:rPr>
                <w:rFonts w:eastAsiaTheme="minorEastAsia"/>
                <w:lang w:val="en-US"/>
              </w:rPr>
            </w:pPr>
            <w:r>
              <w:rPr>
                <w:rFonts w:eastAsiaTheme="minorEastAsia"/>
                <w:lang w:val="en-US"/>
              </w:rPr>
              <w:t>(</w:t>
            </w:r>
            <w:r w:rsidR="00314810">
              <w:rPr>
                <w:rFonts w:eastAsiaTheme="minorEastAsia"/>
                <w:lang w:val="en-US"/>
              </w:rPr>
              <w:t>1</w:t>
            </w:r>
            <w:r>
              <w:rPr>
                <w:rFonts w:eastAsiaTheme="minorEastAsia"/>
                <w:lang w:val="en-US"/>
              </w:rPr>
              <w:t>)</w:t>
            </w:r>
          </w:p>
        </w:tc>
      </w:tr>
    </w:tbl>
    <w:p w14:paraId="5CAB5269" w14:textId="443FFBF1" w:rsidR="002D09CF" w:rsidRPr="00C2183A" w:rsidRDefault="002D09CF" w:rsidP="00D26510">
      <w:pPr>
        <w:spacing w:after="120" w:line="480" w:lineRule="auto"/>
        <w:rPr>
          <w:lang w:val="en-US"/>
        </w:rPr>
      </w:pPr>
      <w:proofErr w:type="gramStart"/>
      <w:r w:rsidRPr="00C2183A">
        <w:rPr>
          <w:lang w:val="en-US"/>
        </w:rPr>
        <w:t>where</w:t>
      </w:r>
      <w:proofErr w:type="gramEnd"/>
      <w:r w:rsidRPr="00C2183A">
        <w:rPr>
          <w:lang w:val="en-US"/>
        </w:rPr>
        <w:t xml:space="preserve">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s,t</m:t>
            </m:r>
          </m:sub>
        </m:sSub>
      </m:oMath>
      <w:r w:rsidRPr="00C2183A">
        <w:rPr>
          <w:lang w:val="en-US"/>
        </w:rPr>
        <w:t xml:space="preserve"> is the expectation at location </w:t>
      </w:r>
      <w:r w:rsidRPr="00C2183A">
        <w:rPr>
          <w:i/>
          <w:lang w:val="en-US"/>
        </w:rPr>
        <w:t>s</w:t>
      </w:r>
      <w:r w:rsidRPr="00C2183A">
        <w:rPr>
          <w:lang w:val="en-US"/>
        </w:rPr>
        <w:t xml:space="preserve"> and time </w:t>
      </w:r>
      <w:r w:rsidRPr="00C2183A">
        <w:rPr>
          <w:i/>
          <w:lang w:val="en-US"/>
        </w:rPr>
        <w:t>t</w:t>
      </w:r>
      <w:r w:rsidRPr="00C2183A">
        <w:rPr>
          <w:lang w:val="en-US"/>
        </w:rPr>
        <w:t xml:space="preserve">, </w:t>
      </w:r>
      <m:oMath>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s,t</m:t>
            </m:r>
          </m:sub>
        </m:sSub>
      </m:oMath>
      <w:r w:rsidRPr="00C2183A">
        <w:rPr>
          <w:lang w:val="en-US"/>
        </w:rPr>
        <w:t xml:space="preserve"> are covariates, </w:t>
      </w:r>
      <m:oMath>
        <m:r>
          <m:rPr>
            <m:sty m:val="bi"/>
          </m:rPr>
          <w:rPr>
            <w:rFonts w:ascii="Cambria Math" w:hAnsi="Cambria Math"/>
            <w:lang w:val="en-US"/>
          </w:rPr>
          <m:t>b</m:t>
        </m:r>
      </m:oMath>
      <w:r w:rsidRPr="00C2183A">
        <w:rPr>
          <w:lang w:val="en-US"/>
        </w:rPr>
        <w:t xml:space="preserve"> represents a vector of estimated coefficients,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s</m:t>
            </m:r>
          </m:sub>
        </m:sSub>
      </m:oMath>
      <w:r w:rsidRPr="00C2183A">
        <w:rPr>
          <w:rFonts w:eastAsiaTheme="minorEastAsia"/>
          <w:lang w:val="en-US"/>
        </w:rPr>
        <w:t xml:space="preserve"> is the mean spatial component at location </w:t>
      </w:r>
      <w:r w:rsidRPr="00C2183A">
        <w:rPr>
          <w:rFonts w:eastAsiaTheme="minorEastAsia"/>
          <w:i/>
          <w:lang w:val="en-US"/>
        </w:rPr>
        <w:t>s</w:t>
      </w:r>
      <w:r w:rsidRPr="00C2183A">
        <w:rPr>
          <w:rFonts w:eastAsiaTheme="minorEastAsia"/>
          <w:lang w:val="en-US"/>
        </w:rPr>
        <w:t xml:space="preserve"> (constant through time), </w:t>
      </w:r>
      <w:r w:rsidRPr="00C2183A">
        <w:rPr>
          <w:lang w:val="en-US"/>
        </w:rPr>
        <w:t>an</w:t>
      </w:r>
      <w:r w:rsidRPr="009E35B3">
        <w:rPr>
          <w:lang w:val="en-US"/>
        </w:rPr>
        <w:t xml:space="preserve">d </w:t>
      </w:r>
      <m:oMath>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s,t</m:t>
            </m:r>
          </m:sub>
        </m:sSub>
      </m:oMath>
      <w:r w:rsidRPr="009E35B3">
        <w:rPr>
          <w:lang w:val="en-US"/>
        </w:rPr>
        <w:t xml:space="preserve"> is the spatiotemporal process at location </w:t>
      </w:r>
      <w:r w:rsidRPr="009E35B3">
        <w:rPr>
          <w:i/>
          <w:lang w:val="en-US"/>
        </w:rPr>
        <w:t>s</w:t>
      </w:r>
      <w:r w:rsidRPr="009E35B3">
        <w:rPr>
          <w:lang w:val="en-US"/>
        </w:rPr>
        <w:t xml:space="preserve"> and time </w:t>
      </w:r>
      <w:r w:rsidRPr="009E35B3">
        <w:rPr>
          <w:i/>
          <w:lang w:val="en-US"/>
        </w:rPr>
        <w:t>t</w:t>
      </w:r>
      <w:r w:rsidRPr="009E35B3">
        <w:rPr>
          <w:lang w:val="en-US"/>
        </w:rPr>
        <w:t xml:space="preserve">. The spatiotemporal process describing </w:t>
      </w:r>
      <m:oMath>
        <m:r>
          <w:rPr>
            <w:rFonts w:ascii="Cambria Math" w:hAnsi="Cambria Math"/>
            <w:lang w:val="en-US"/>
          </w:rPr>
          <m:t>ϵ</m:t>
        </m:r>
      </m:oMath>
      <w:r w:rsidRPr="009E35B3">
        <w:rPr>
          <w:rFonts w:eastAsiaTheme="minorEastAsia"/>
          <w:lang w:val="en-US"/>
        </w:rPr>
        <w:t xml:space="preserve"> </w:t>
      </w:r>
      <w:r w:rsidRPr="009E35B3">
        <w:rPr>
          <w:lang w:val="en-US"/>
        </w:rPr>
        <w:t>is fl</w:t>
      </w:r>
      <w:r w:rsidRPr="00C2183A">
        <w:rPr>
          <w:lang w:val="en-US"/>
        </w:rPr>
        <w:t>exible in that it can be removed from the model (leaving a model with a spatial but no spatiotemporal component), may be independent for each time slice, or modeled with an autoregressive process</w:t>
      </w:r>
      <w:r w:rsidR="00B0619D">
        <w:rPr>
          <w:lang w:val="en-US"/>
        </w:rPr>
        <w:t xml:space="preserve"> </w:t>
      </w:r>
      <w:r w:rsidR="00A01347" w:rsidRPr="00A01347">
        <w:t>(allowing hotspots to persist through time; Ward et al. 2015, Thorson et al. 2015, Anderson and Ward 2019)</w:t>
      </w:r>
      <w:r w:rsidRPr="00C2183A">
        <w:rPr>
          <w:lang w:val="en-US"/>
        </w:rPr>
        <w:t xml:space="preserve">. </w:t>
      </w:r>
      <w:r w:rsidR="007730D8" w:rsidRPr="00C2183A">
        <w:rPr>
          <w:lang w:val="en-US"/>
        </w:rPr>
        <w:t xml:space="preserve">Previous applications </w:t>
      </w:r>
      <w:r w:rsidR="0089470C" w:rsidRPr="00C2183A">
        <w:rPr>
          <w:lang w:val="en-US"/>
        </w:rPr>
        <w:t xml:space="preserve">to marine fishes </w:t>
      </w:r>
      <w:r w:rsidR="007730D8" w:rsidRPr="00C2183A">
        <w:rPr>
          <w:lang w:val="en-US"/>
        </w:rPr>
        <w:t xml:space="preserve">have either used a delta-GLMM framework to model presence-absence and positive catch rates separately </w:t>
      </w:r>
      <w:r w:rsidR="00A01347" w:rsidRPr="00A01347">
        <w:t>(Thorson et al. 2015)</w:t>
      </w:r>
      <w:r w:rsidR="00B0619D">
        <w:rPr>
          <w:lang w:val="en-US"/>
        </w:rPr>
        <w:t xml:space="preserve"> </w:t>
      </w:r>
      <w:r w:rsidR="007730D8" w:rsidRPr="00C2183A">
        <w:rPr>
          <w:lang w:val="en-US"/>
        </w:rPr>
        <w:t xml:space="preserve">or a Tweedie distribution to model total variation in </w:t>
      </w:r>
      <w:r w:rsidR="00DD4113" w:rsidRPr="00C2183A">
        <w:rPr>
          <w:lang w:val="en-US"/>
        </w:rPr>
        <w:t>density</w:t>
      </w:r>
      <w:r w:rsidR="00D766A8" w:rsidRPr="00C2183A">
        <w:rPr>
          <w:lang w:val="en-US"/>
        </w:rPr>
        <w:t xml:space="preserve"> </w:t>
      </w:r>
      <w:r w:rsidR="00A01347" w:rsidRPr="00A01347">
        <w:t>(Anderson et al. 2019)</w:t>
      </w:r>
      <w:r w:rsidR="007730D8" w:rsidRPr="00C2183A">
        <w:rPr>
          <w:lang w:val="en-US"/>
        </w:rPr>
        <w:t xml:space="preserve">. </w:t>
      </w:r>
    </w:p>
    <w:p w14:paraId="66BADD85" w14:textId="437C38DD" w:rsidR="00CB4A97" w:rsidRPr="00C2183A" w:rsidRDefault="002D09CF" w:rsidP="006D07CD">
      <w:pPr>
        <w:spacing w:after="120" w:line="480" w:lineRule="auto"/>
        <w:rPr>
          <w:rFonts w:eastAsiaTheme="minorEastAsia"/>
          <w:lang w:val="en-US"/>
        </w:rPr>
      </w:pPr>
      <w:r w:rsidRPr="00C2183A">
        <w:rPr>
          <w:lang w:val="en-US"/>
        </w:rPr>
        <w:tab/>
        <w:t xml:space="preserve">Within </w:t>
      </w:r>
      <w:r w:rsidR="00CB4A97" w:rsidRPr="00C2183A">
        <w:rPr>
          <w:lang w:val="en-US"/>
        </w:rPr>
        <w:t xml:space="preserve">this </w:t>
      </w:r>
      <w:r w:rsidRPr="00C2183A">
        <w:rPr>
          <w:lang w:val="en-US"/>
        </w:rPr>
        <w:t xml:space="preserve">GLMM framework, non-stationary changes in the spatial predictions through time can only be modeled with inclusion of </w:t>
      </w:r>
      <w:r w:rsidR="003C0549" w:rsidRPr="00C2183A">
        <w:rPr>
          <w:lang w:val="en-US"/>
        </w:rPr>
        <w:t xml:space="preserve">dynamic </w:t>
      </w:r>
      <w:r w:rsidRPr="00C2183A">
        <w:rPr>
          <w:lang w:val="en-US"/>
        </w:rPr>
        <w:t xml:space="preserve">covariates, or by modeling spatiotemporal variability </w:t>
      </w:r>
      <w:r w:rsidR="00CB4A97" w:rsidRPr="00C2183A">
        <w:rPr>
          <w:lang w:val="en-US"/>
        </w:rPr>
        <w:t xml:space="preserve">as </w:t>
      </w:r>
      <w:r w:rsidRPr="00C2183A">
        <w:rPr>
          <w:lang w:val="en-US"/>
        </w:rPr>
        <w:t xml:space="preserve">an autoregressive spatial process through time. </w:t>
      </w:r>
      <w:r w:rsidR="003C0549" w:rsidRPr="00C2183A">
        <w:rPr>
          <w:lang w:val="en-US"/>
        </w:rPr>
        <w:t>While inclusion of covariates can improve predictive performance in some cases</w:t>
      </w:r>
      <w:r w:rsidR="00E266C1">
        <w:rPr>
          <w:lang w:val="en-US"/>
        </w:rPr>
        <w:t xml:space="preserve"> </w:t>
      </w:r>
      <w:r w:rsidR="00A01347" w:rsidRPr="00A01347">
        <w:t>(e.g., Shelton et al. 2014, Johnson et al. 2019)</w:t>
      </w:r>
      <w:r w:rsidR="003C0549" w:rsidRPr="00C2183A">
        <w:rPr>
          <w:lang w:val="en-US"/>
        </w:rPr>
        <w:t xml:space="preserve">, </w:t>
      </w:r>
      <w:r w:rsidR="004E72C8" w:rsidRPr="00C2183A">
        <w:rPr>
          <w:lang w:val="en-US"/>
        </w:rPr>
        <w:lastRenderedPageBreak/>
        <w:t xml:space="preserve">this requires additional data and can introduce new challenges associated with finding the most appropriate form of the covariate effect, thus </w:t>
      </w:r>
      <w:r w:rsidR="00A46726" w:rsidRPr="00C2183A">
        <w:rPr>
          <w:lang w:val="en-US"/>
        </w:rPr>
        <w:t xml:space="preserve">for generality and simplicity </w:t>
      </w:r>
      <w:r w:rsidR="004E72C8" w:rsidRPr="00C2183A">
        <w:rPr>
          <w:lang w:val="en-US"/>
        </w:rPr>
        <w:t xml:space="preserve">we focus here </w:t>
      </w:r>
      <w:r w:rsidR="00A46726" w:rsidRPr="00C2183A">
        <w:rPr>
          <w:lang w:val="en-US"/>
        </w:rPr>
        <w:t xml:space="preserve">primarily </w:t>
      </w:r>
      <w:r w:rsidR="004E72C8" w:rsidRPr="00C2183A">
        <w:rPr>
          <w:lang w:val="en-US"/>
        </w:rPr>
        <w:t>on a latent variable approach for</w:t>
      </w:r>
      <w:r w:rsidR="00A46726" w:rsidRPr="00C2183A">
        <w:rPr>
          <w:lang w:val="en-US"/>
        </w:rPr>
        <w:t xml:space="preserve"> describing patterns in spatial</w:t>
      </w:r>
      <w:r w:rsidR="00087449" w:rsidRPr="00C2183A">
        <w:rPr>
          <w:lang w:val="en-US"/>
        </w:rPr>
        <w:t>ly explicit temporal</w:t>
      </w:r>
      <w:r w:rsidR="00A46726" w:rsidRPr="00C2183A">
        <w:rPr>
          <w:lang w:val="en-US"/>
        </w:rPr>
        <w:t xml:space="preserve"> trends </w:t>
      </w:r>
      <w:r w:rsidR="00087449" w:rsidRPr="00C2183A">
        <w:rPr>
          <w:lang w:val="en-US"/>
        </w:rPr>
        <w:t xml:space="preserve">(hereafter local trends) </w:t>
      </w:r>
      <w:r w:rsidR="00A46726" w:rsidRPr="00C2183A">
        <w:rPr>
          <w:lang w:val="en-US"/>
        </w:rPr>
        <w:t xml:space="preserve">rather than directly inferring their drivers. </w:t>
      </w:r>
      <w:r w:rsidR="00623C01" w:rsidRPr="00C2183A">
        <w:rPr>
          <w:lang w:val="en-US"/>
        </w:rPr>
        <w:t xml:space="preserve">Estimates of </w:t>
      </w:r>
      <w:r w:rsidR="00087449" w:rsidRPr="00C2183A">
        <w:rPr>
          <w:lang w:val="en-US"/>
        </w:rPr>
        <w:t>local trend</w:t>
      </w:r>
      <w:r w:rsidR="00623C01" w:rsidRPr="00C2183A">
        <w:rPr>
          <w:lang w:val="en-US"/>
        </w:rPr>
        <w:t>s may be derived from spatial and</w:t>
      </w:r>
      <w:r w:rsidR="00A41796" w:rsidRPr="00C2183A">
        <w:rPr>
          <w:lang w:val="en-US"/>
        </w:rPr>
        <w:t xml:space="preserve"> spatiotemporal </w:t>
      </w:r>
      <w:proofErr w:type="gramStart"/>
      <w:r w:rsidR="00A41796" w:rsidRPr="00C2183A">
        <w:rPr>
          <w:lang w:val="en-US"/>
        </w:rPr>
        <w:t>fields</w:t>
      </w:r>
      <w:proofErr w:type="gramEnd"/>
      <w:r w:rsidR="00A41796" w:rsidRPr="00C2183A">
        <w:rPr>
          <w:lang w:val="en-US"/>
        </w:rPr>
        <w:t xml:space="preserve"> post-hoc; however,</w:t>
      </w:r>
      <w:r w:rsidR="00623C01" w:rsidRPr="00C2183A">
        <w:rPr>
          <w:lang w:val="en-US"/>
        </w:rPr>
        <w:t xml:space="preserve"> </w:t>
      </w:r>
      <w:r w:rsidR="00A41796" w:rsidRPr="00C2183A">
        <w:rPr>
          <w:lang w:val="en-US"/>
        </w:rPr>
        <w:t>such post-hoc estimation</w:t>
      </w:r>
      <w:r w:rsidR="00623C01" w:rsidRPr="00C2183A">
        <w:rPr>
          <w:lang w:val="en-US"/>
        </w:rPr>
        <w:t xml:space="preserve"> results in biases (Fig. S1)</w:t>
      </w:r>
      <w:r w:rsidR="00A41796" w:rsidRPr="00C2183A">
        <w:rPr>
          <w:lang w:val="en-US"/>
        </w:rPr>
        <w:t>, specifically a low bias caused by partial pooling, which effectively pulls the intercept deviations toward the mean</w:t>
      </w:r>
      <w:r w:rsidR="00623C01" w:rsidRPr="00C2183A">
        <w:rPr>
          <w:lang w:val="en-US"/>
        </w:rPr>
        <w:t xml:space="preserve">. </w:t>
      </w:r>
      <w:r w:rsidRPr="00C2183A">
        <w:rPr>
          <w:lang w:val="en-US"/>
        </w:rPr>
        <w:t xml:space="preserve">To explicitly account for non-stationary trends in densities, we </w:t>
      </w:r>
      <w:r w:rsidR="0089470C" w:rsidRPr="00C2183A">
        <w:rPr>
          <w:lang w:val="en-US"/>
        </w:rPr>
        <w:t>extend</w:t>
      </w:r>
      <w:r w:rsidRPr="00C2183A">
        <w:rPr>
          <w:lang w:val="en-US"/>
        </w:rPr>
        <w:t xml:space="preserve"> the above framework to include a trend parameter as an additional spatial </w:t>
      </w:r>
      <w:r w:rsidR="007529C1" w:rsidRPr="00C2183A">
        <w:rPr>
          <w:lang w:val="en-US"/>
        </w:rPr>
        <w:t xml:space="preserve">random </w:t>
      </w:r>
      <w:r w:rsidRPr="00C2183A">
        <w:rPr>
          <w:lang w:val="en-US"/>
        </w:rPr>
        <w:t>field</w:t>
      </w:r>
      <w:r w:rsidR="007529C1" w:rsidRPr="00C2183A">
        <w:rPr>
          <w:lang w:val="en-US"/>
        </w:rPr>
        <w:t xml:space="preserve"> for the slopes over time</w:t>
      </w:r>
      <w:r w:rsidR="008A2168" w:rsidRPr="00C2183A">
        <w:rPr>
          <w:lang w:val="en-US"/>
        </w:rPr>
        <w:t xml:space="preserve"> </w:t>
      </w:r>
      <w:r w:rsidR="008A2168" w:rsidRPr="00C2183A">
        <w:rPr>
          <w:rFonts w:eastAsiaTheme="minorEastAsia"/>
          <w:lang w:val="en-US"/>
        </w:rPr>
        <w:t xml:space="preserve">(in the simplest case, each value in the field represents the spatially-explicit linear trend of the response over the </w:t>
      </w:r>
      <w:r w:rsidR="0057481F" w:rsidRPr="00C2183A">
        <w:rPr>
          <w:rFonts w:eastAsiaTheme="minorEastAsia"/>
          <w:lang w:val="en-US"/>
        </w:rPr>
        <w:t xml:space="preserve">modeled </w:t>
      </w:r>
      <w:r w:rsidR="008A2168" w:rsidRPr="00C2183A">
        <w:rPr>
          <w:rFonts w:eastAsiaTheme="minorEastAsia"/>
          <w:lang w:val="en-US"/>
        </w:rPr>
        <w:t xml:space="preserve">time </w:t>
      </w:r>
      <w:r w:rsidR="0057481F" w:rsidRPr="00C2183A">
        <w:rPr>
          <w:rFonts w:eastAsiaTheme="minorEastAsia"/>
          <w:lang w:val="en-US"/>
        </w:rPr>
        <w:t>period</w:t>
      </w:r>
      <w:r w:rsidR="008A2168" w:rsidRPr="00C2183A">
        <w:rPr>
          <w:rFonts w:eastAsiaTheme="minorEastAsia"/>
          <w:lang w:val="en-US"/>
        </w:rPr>
        <w:t>)</w:t>
      </w:r>
      <w:r w:rsidRPr="00C2183A">
        <w:rPr>
          <w:lang w:val="en-US"/>
        </w:rPr>
        <w:t xml:space="preserve">. Extending the model above, this becomes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650"/>
        <w:gridCol w:w="805"/>
      </w:tblGrid>
      <w:tr w:rsidR="001B606D" w14:paraId="6BDF9109" w14:textId="77777777" w:rsidTr="00C907CA">
        <w:tc>
          <w:tcPr>
            <w:tcW w:w="895" w:type="dxa"/>
          </w:tcPr>
          <w:p w14:paraId="44C96444" w14:textId="77777777" w:rsidR="001B606D" w:rsidRDefault="001B606D" w:rsidP="00C907CA">
            <w:pPr>
              <w:spacing w:after="120" w:line="480" w:lineRule="auto"/>
              <w:jc w:val="center"/>
              <w:rPr>
                <w:rFonts w:eastAsiaTheme="minorEastAsia"/>
                <w:lang w:val="en-US"/>
              </w:rPr>
            </w:pPr>
          </w:p>
        </w:tc>
        <w:tc>
          <w:tcPr>
            <w:tcW w:w="7650" w:type="dxa"/>
          </w:tcPr>
          <w:p w14:paraId="7D1862BC" w14:textId="1869EB85" w:rsidR="001B606D" w:rsidRDefault="001B606D" w:rsidP="00C907CA">
            <w:pPr>
              <w:spacing w:after="120" w:line="480" w:lineRule="auto"/>
              <w:jc w:val="center"/>
              <w:rPr>
                <w:rFonts w:eastAsiaTheme="minorEastAsia"/>
                <w:lang w:val="en-US"/>
              </w:rPr>
            </w:pPr>
            <m:oMathPara>
              <m:oMath>
                <m:r>
                  <w:rPr>
                    <w:rFonts w:ascii="Cambria Math" w:hAnsi="Cambria Math"/>
                    <w:lang w:val="en-US"/>
                  </w:rPr>
                  <m:t>g</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s,t</m:t>
                        </m:r>
                      </m:sub>
                    </m:sSub>
                  </m:e>
                </m:d>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s,t</m:t>
                    </m:r>
                  </m:sub>
                </m:sSub>
                <m:r>
                  <m:rPr>
                    <m:sty m:val="bi"/>
                  </m:rPr>
                  <w:rPr>
                    <w:rFonts w:ascii="Cambria Math" w:hAnsi="Cambria Math"/>
                    <w:lang w:val="en-US"/>
                  </w:rPr>
                  <m:t>b</m:t>
                </m:r>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s</m:t>
                        </m:r>
                      </m:sub>
                    </m:sSub>
                    <m:r>
                      <w:rPr>
                        <w:rFonts w:ascii="Cambria Math" w:hAnsi="Cambria Math"/>
                        <w:lang w:val="en-US"/>
                      </w:rPr>
                      <m:t>+ϵ</m:t>
                    </m:r>
                  </m:e>
                  <m:sub>
                    <m:r>
                      <w:rPr>
                        <w:rFonts w:ascii="Cambria Math" w:hAnsi="Cambria Math"/>
                        <w:lang w:val="en-US"/>
                      </w:rPr>
                      <m:t>s,t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t∙ζ</m:t>
                    </m:r>
                  </m:e>
                  <m:sub>
                    <m:r>
                      <w:rPr>
                        <w:rFonts w:ascii="Cambria Math" w:eastAsiaTheme="minorEastAsia" w:hAnsi="Cambria Math"/>
                        <w:lang w:val="en-US"/>
                      </w:rPr>
                      <m:t>s</m:t>
                    </m:r>
                  </m:sub>
                </m:sSub>
                <m:r>
                  <m:rPr>
                    <m:sty m:val="p"/>
                  </m:rPr>
                  <w:rPr>
                    <w:rFonts w:ascii="Cambria Math" w:eastAsiaTheme="minorEastAsia" w:hAnsi="Cambria Math"/>
                    <w:lang w:val="en-US"/>
                  </w:rPr>
                  <m:t>,</m:t>
                </m:r>
              </m:oMath>
            </m:oMathPara>
          </w:p>
        </w:tc>
        <w:tc>
          <w:tcPr>
            <w:tcW w:w="805" w:type="dxa"/>
          </w:tcPr>
          <w:p w14:paraId="2B90C4ED" w14:textId="3124860B" w:rsidR="001B606D" w:rsidRDefault="001B606D" w:rsidP="00C907CA">
            <w:pPr>
              <w:spacing w:after="120" w:line="480" w:lineRule="auto"/>
              <w:jc w:val="center"/>
              <w:rPr>
                <w:rFonts w:eastAsiaTheme="minorEastAsia"/>
                <w:lang w:val="en-US"/>
              </w:rPr>
            </w:pPr>
            <w:r>
              <w:rPr>
                <w:rFonts w:eastAsiaTheme="minorEastAsia"/>
                <w:lang w:val="en-US"/>
              </w:rPr>
              <w:t>(</w:t>
            </w:r>
            <w:r w:rsidR="00314810">
              <w:rPr>
                <w:rFonts w:eastAsiaTheme="minorEastAsia"/>
                <w:lang w:val="en-US"/>
              </w:rPr>
              <w:t>2</w:t>
            </w:r>
            <w:r>
              <w:rPr>
                <w:rFonts w:eastAsiaTheme="minorEastAsia"/>
                <w:lang w:val="en-US"/>
              </w:rPr>
              <w:t>)</w:t>
            </w:r>
          </w:p>
        </w:tc>
      </w:tr>
    </w:tbl>
    <w:p w14:paraId="24456555" w14:textId="592FE4C7" w:rsidR="002D6DFC" w:rsidRPr="00C2183A" w:rsidRDefault="002D09CF" w:rsidP="00D26510">
      <w:pPr>
        <w:spacing w:after="120" w:line="480" w:lineRule="auto"/>
        <w:rPr>
          <w:rFonts w:eastAsiaTheme="minorEastAsia"/>
          <w:lang w:val="en-US"/>
        </w:rPr>
      </w:pPr>
      <w:proofErr w:type="gramStart"/>
      <w:r w:rsidRPr="00C2183A">
        <w:rPr>
          <w:rFonts w:eastAsiaTheme="minorEastAsia"/>
          <w:lang w:val="en-US"/>
        </w:rPr>
        <w:t>where</w:t>
      </w:r>
      <w:proofErr w:type="gramEnd"/>
      <w:r w:rsidRPr="00C2183A">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ζ</m:t>
            </m:r>
          </m:e>
          <m:sub>
            <m:r>
              <w:rPr>
                <w:rFonts w:ascii="Cambria Math" w:eastAsiaTheme="minorEastAsia" w:hAnsi="Cambria Math"/>
                <w:lang w:val="en-US"/>
              </w:rPr>
              <m:t>s</m:t>
            </m:r>
          </m:sub>
        </m:sSub>
      </m:oMath>
      <w:r w:rsidRPr="00C2183A">
        <w:rPr>
          <w:rFonts w:eastAsiaTheme="minorEastAsia"/>
          <w:lang w:val="en-US"/>
        </w:rPr>
        <w:t xml:space="preserve"> represents the spatially varying temporal trend</w:t>
      </w:r>
      <w:r w:rsidR="008A2168" w:rsidRPr="00C2183A">
        <w:rPr>
          <w:rFonts w:eastAsiaTheme="minorEastAsia"/>
          <w:lang w:val="en-US"/>
        </w:rPr>
        <w:t xml:space="preserve">, or </w:t>
      </w:r>
      <w:r w:rsidR="00087449" w:rsidRPr="00C2183A">
        <w:rPr>
          <w:rFonts w:eastAsiaTheme="minorEastAsia"/>
          <w:lang w:val="en-US"/>
        </w:rPr>
        <w:t>local trend</w:t>
      </w:r>
      <w:r w:rsidRPr="00C2183A">
        <w:rPr>
          <w:rFonts w:eastAsiaTheme="minorEastAsia"/>
          <w:lang w:val="en-US"/>
        </w:rPr>
        <w:t>.</w:t>
      </w:r>
      <w:r w:rsidR="0056525B" w:rsidRPr="00C2183A">
        <w:rPr>
          <w:rFonts w:eastAsiaTheme="minorEastAsia"/>
          <w:lang w:val="en-US"/>
        </w:rPr>
        <w:t xml:space="preserve"> </w:t>
      </w:r>
      <w:r w:rsidR="0089470C" w:rsidRPr="00C2183A">
        <w:rPr>
          <w:rFonts w:eastAsiaTheme="minorEastAsia"/>
          <w:lang w:val="en-US"/>
        </w:rPr>
        <w:t xml:space="preserve">This </w:t>
      </w:r>
      <w:r w:rsidR="009F2CD3" w:rsidRPr="00C2183A">
        <w:rPr>
          <w:rFonts w:eastAsiaTheme="minorEastAsia"/>
          <w:lang w:val="en-US"/>
        </w:rPr>
        <w:t xml:space="preserve">local </w:t>
      </w:r>
      <w:r w:rsidR="008A2168" w:rsidRPr="00C2183A">
        <w:rPr>
          <w:rFonts w:eastAsiaTheme="minorEastAsia"/>
          <w:lang w:val="en-US"/>
        </w:rPr>
        <w:t xml:space="preserve">trend </w:t>
      </w:r>
      <w:r w:rsidR="0089470C" w:rsidRPr="00C2183A">
        <w:rPr>
          <w:rFonts w:eastAsiaTheme="minorEastAsia"/>
          <w:lang w:val="en-US"/>
        </w:rPr>
        <w:t>field can be thought of as the spatial variability in how a species</w:t>
      </w:r>
      <w:r w:rsidR="00BD2E04" w:rsidRPr="00C2183A">
        <w:rPr>
          <w:rFonts w:eastAsiaTheme="minorEastAsia"/>
          <w:lang w:val="en-US"/>
        </w:rPr>
        <w:t xml:space="preserve">’ </w:t>
      </w:r>
      <w:r w:rsidR="00DD4113" w:rsidRPr="00C2183A">
        <w:rPr>
          <w:rFonts w:eastAsiaTheme="minorEastAsia"/>
          <w:lang w:val="en-US"/>
        </w:rPr>
        <w:t>density</w:t>
      </w:r>
      <w:r w:rsidR="00D766A8" w:rsidRPr="00C2183A">
        <w:rPr>
          <w:rFonts w:eastAsiaTheme="minorEastAsia"/>
          <w:lang w:val="en-US"/>
        </w:rPr>
        <w:t xml:space="preserve"> </w:t>
      </w:r>
      <w:r w:rsidR="007529C1" w:rsidRPr="00C2183A">
        <w:rPr>
          <w:rFonts w:eastAsiaTheme="minorEastAsia"/>
          <w:lang w:val="en-US"/>
        </w:rPr>
        <w:t>changes through time</w:t>
      </w:r>
      <w:r w:rsidR="00AE2F97" w:rsidRPr="00C2183A">
        <w:rPr>
          <w:rFonts w:eastAsiaTheme="minorEastAsia"/>
          <w:lang w:val="en-US"/>
        </w:rPr>
        <w:t>, which differentiates such trends from time-independent spatiotemporal random fields</w:t>
      </w:r>
      <w:r w:rsidR="007529C1" w:rsidRPr="00C2183A">
        <w:rPr>
          <w:rFonts w:eastAsiaTheme="minorEastAsia"/>
          <w:lang w:val="en-US"/>
        </w:rPr>
        <w:t xml:space="preserve"> (Fig.</w:t>
      </w:r>
      <w:r w:rsidR="0089470C" w:rsidRPr="00C2183A">
        <w:rPr>
          <w:rFonts w:eastAsiaTheme="minorEastAsia"/>
          <w:lang w:val="en-US"/>
        </w:rPr>
        <w:t xml:space="preserve"> 1). </w:t>
      </w:r>
      <w:r w:rsidR="0057481F" w:rsidRPr="00C2183A">
        <w:rPr>
          <w:rFonts w:eastAsiaTheme="minorEastAsia"/>
          <w:lang w:val="en-US"/>
        </w:rPr>
        <w:t xml:space="preserve">Note that this framework could also be extended to model systems in which </w:t>
      </w:r>
      <w:r w:rsidR="00560E72" w:rsidRPr="00C2183A">
        <w:rPr>
          <w:rFonts w:eastAsiaTheme="minorEastAsia"/>
          <w:lang w:val="en-US"/>
        </w:rPr>
        <w:t xml:space="preserve">most </w:t>
      </w:r>
      <w:r w:rsidR="0057481F" w:rsidRPr="00C2183A">
        <w:rPr>
          <w:rFonts w:eastAsiaTheme="minorEastAsia"/>
          <w:lang w:val="en-US"/>
        </w:rPr>
        <w:t>spatially</w:t>
      </w:r>
      <w:r w:rsidR="00322C3D">
        <w:rPr>
          <w:rFonts w:eastAsiaTheme="minorEastAsia"/>
          <w:lang w:val="en-US"/>
        </w:rPr>
        <w:t xml:space="preserve"> </w:t>
      </w:r>
      <w:r w:rsidR="0057481F" w:rsidRPr="00C2183A">
        <w:rPr>
          <w:rFonts w:eastAsiaTheme="minorEastAsia"/>
          <w:lang w:val="en-US"/>
        </w:rPr>
        <w:t>explicit responses are non-linear</w:t>
      </w:r>
      <w:r w:rsidR="00560E72" w:rsidRPr="00C2183A">
        <w:rPr>
          <w:rFonts w:eastAsiaTheme="minorEastAsia"/>
          <w:lang w:val="en-US"/>
        </w:rPr>
        <w:t xml:space="preserve"> by either modifying the model structure or by fitting separate models to each stanza during which a linear trend is suspected.</w:t>
      </w:r>
    </w:p>
    <w:p w14:paraId="2A4C1D37" w14:textId="77777777" w:rsidR="002D09CF" w:rsidRPr="00C2183A" w:rsidRDefault="002D09CF" w:rsidP="00D26510">
      <w:pPr>
        <w:spacing w:after="120" w:line="480" w:lineRule="auto"/>
        <w:rPr>
          <w:lang w:val="en-US"/>
        </w:rPr>
      </w:pPr>
    </w:p>
    <w:p w14:paraId="2F7A74A8" w14:textId="1D688E4C" w:rsidR="00D42716" w:rsidRPr="00C2183A" w:rsidRDefault="002D09CF" w:rsidP="00D26510">
      <w:pPr>
        <w:spacing w:after="120" w:line="480" w:lineRule="auto"/>
        <w:rPr>
          <w:i/>
          <w:lang w:val="en-US"/>
        </w:rPr>
      </w:pPr>
      <w:r w:rsidRPr="00C2183A">
        <w:rPr>
          <w:i/>
          <w:lang w:val="en-US"/>
        </w:rPr>
        <w:t xml:space="preserve">Testing the ability to recover </w:t>
      </w:r>
      <w:r w:rsidR="00087449" w:rsidRPr="00C2183A">
        <w:rPr>
          <w:i/>
          <w:lang w:val="en-US"/>
        </w:rPr>
        <w:t>local trend</w:t>
      </w:r>
      <w:r w:rsidRPr="00C2183A">
        <w:rPr>
          <w:i/>
          <w:lang w:val="en-US"/>
        </w:rPr>
        <w:t>s</w:t>
      </w:r>
    </w:p>
    <w:p w14:paraId="4032B487" w14:textId="4DDB7ED5" w:rsidR="001F7F7D" w:rsidRPr="00C2183A" w:rsidRDefault="00047600" w:rsidP="00D26510">
      <w:pPr>
        <w:spacing w:after="120" w:line="480" w:lineRule="auto"/>
        <w:rPr>
          <w:lang w:val="en-US"/>
        </w:rPr>
      </w:pPr>
      <w:r w:rsidRPr="00C2183A">
        <w:rPr>
          <w:lang w:val="en-US"/>
        </w:rPr>
        <w:t xml:space="preserve">We </w:t>
      </w:r>
      <w:r w:rsidR="00D42716" w:rsidRPr="00C2183A">
        <w:rPr>
          <w:lang w:val="en-US"/>
        </w:rPr>
        <w:t>conducted a simulation analysis</w:t>
      </w:r>
      <w:r w:rsidRPr="00C2183A">
        <w:rPr>
          <w:lang w:val="en-US"/>
        </w:rPr>
        <w:t xml:space="preserve"> to evaluate our ability to recover an added spatial field representing the </w:t>
      </w:r>
      <w:r w:rsidR="008A2168" w:rsidRPr="00C2183A">
        <w:rPr>
          <w:lang w:val="en-US"/>
        </w:rPr>
        <w:t xml:space="preserve">true </w:t>
      </w:r>
      <w:r w:rsidR="00087449" w:rsidRPr="00C2183A">
        <w:rPr>
          <w:lang w:val="en-US"/>
        </w:rPr>
        <w:t>local trend</w:t>
      </w:r>
      <w:r w:rsidR="00D42716" w:rsidRPr="00C2183A">
        <w:rPr>
          <w:lang w:val="en-US"/>
        </w:rPr>
        <w:t xml:space="preserve">. Given results from previous work </w:t>
      </w:r>
      <w:r w:rsidR="00EF6405" w:rsidRPr="00C2183A">
        <w:rPr>
          <w:lang w:val="en-US"/>
        </w:rPr>
        <w:t xml:space="preserve">on similar classes of models </w:t>
      </w:r>
      <w:r w:rsidR="00A01347" w:rsidRPr="00A01347">
        <w:lastRenderedPageBreak/>
        <w:t>(Auger-</w:t>
      </w:r>
      <w:proofErr w:type="spellStart"/>
      <w:r w:rsidR="00A01347" w:rsidRPr="00A01347">
        <w:t>Méthé</w:t>
      </w:r>
      <w:proofErr w:type="spellEnd"/>
      <w:r w:rsidR="00A01347" w:rsidRPr="00A01347">
        <w:t xml:space="preserve"> et al. 2016)</w:t>
      </w:r>
      <w:r w:rsidR="00D42716" w:rsidRPr="00C2183A">
        <w:rPr>
          <w:lang w:val="en-US"/>
        </w:rPr>
        <w:t xml:space="preserve">, we focused our simulations on understanding how the magnitude of spatiotemporal variation </w:t>
      </w:r>
      <w:r w:rsidR="00EF6405" w:rsidRPr="00C2183A">
        <w:rPr>
          <w:lang w:val="en-US"/>
        </w:rPr>
        <w:t xml:space="preserve">and </w:t>
      </w:r>
      <w:r w:rsidR="00D42716" w:rsidRPr="00C2183A">
        <w:rPr>
          <w:lang w:val="en-US"/>
        </w:rPr>
        <w:t xml:space="preserve">observation error variation affect our ability to recover the </w:t>
      </w:r>
      <w:r w:rsidR="00087449" w:rsidRPr="00C2183A">
        <w:rPr>
          <w:lang w:val="en-US"/>
        </w:rPr>
        <w:t>local trend</w:t>
      </w:r>
      <w:r w:rsidR="00574E5B" w:rsidRPr="00C2183A">
        <w:rPr>
          <w:lang w:val="en-US"/>
        </w:rPr>
        <w:t xml:space="preserve"> (details in </w:t>
      </w:r>
      <w:r w:rsidR="00EF6405" w:rsidRPr="00077178">
        <w:rPr>
          <w:lang w:val="en-US"/>
        </w:rPr>
        <w:t>Supplementary material Appendix 1</w:t>
      </w:r>
      <w:r w:rsidR="00655D91" w:rsidRPr="00E57C20">
        <w:rPr>
          <w:lang w:val="en-US"/>
        </w:rPr>
        <w:t xml:space="preserve"> methods and</w:t>
      </w:r>
      <w:r w:rsidR="00EF6405" w:rsidRPr="006B595A">
        <w:rPr>
          <w:lang w:val="en-US"/>
        </w:rPr>
        <w:t xml:space="preserve"> </w:t>
      </w:r>
      <w:r w:rsidR="00574E5B" w:rsidRPr="00C2183A">
        <w:rPr>
          <w:lang w:val="en-US"/>
        </w:rPr>
        <w:t>Table S1)</w:t>
      </w:r>
      <w:r w:rsidR="00D42716" w:rsidRPr="00C2183A">
        <w:rPr>
          <w:lang w:val="en-US"/>
        </w:rPr>
        <w:t xml:space="preserve">. </w:t>
      </w:r>
      <w:r w:rsidR="00655D91" w:rsidRPr="00C2183A">
        <w:rPr>
          <w:lang w:val="en-US"/>
        </w:rPr>
        <w:t xml:space="preserve">We also performed similar sensitivity analyses to </w:t>
      </w:r>
      <w:r w:rsidR="00F91385" w:rsidRPr="00C2183A">
        <w:rPr>
          <w:lang w:val="en-US"/>
        </w:rPr>
        <w:t>verify</w:t>
      </w:r>
      <w:r w:rsidR="00655D91" w:rsidRPr="00C2183A">
        <w:rPr>
          <w:lang w:val="en-US"/>
        </w:rPr>
        <w:t xml:space="preserve"> that the magnitude of spatial </w:t>
      </w:r>
      <w:r w:rsidR="00F91385" w:rsidRPr="00C2183A">
        <w:rPr>
          <w:lang w:val="en-US"/>
        </w:rPr>
        <w:t xml:space="preserve">variance and local trend would affect our ability to recover the local trend in predictable ways. All </w:t>
      </w:r>
      <w:r w:rsidR="00D42716" w:rsidRPr="00C2183A">
        <w:rPr>
          <w:lang w:val="en-US"/>
        </w:rPr>
        <w:t xml:space="preserve">simulations were conducted </w:t>
      </w:r>
      <w:r w:rsidR="00F91385" w:rsidRPr="00C2183A">
        <w:rPr>
          <w:lang w:val="en-US"/>
        </w:rPr>
        <w:t>following this general outline</w:t>
      </w:r>
      <w:r w:rsidR="00D42716" w:rsidRPr="00C2183A">
        <w:rPr>
          <w:lang w:val="en-US"/>
        </w:rPr>
        <w:t xml:space="preserve">: for each </w:t>
      </w:r>
      <w:r w:rsidR="00871A49" w:rsidRPr="00C2183A">
        <w:rPr>
          <w:lang w:val="en-US"/>
        </w:rPr>
        <w:t xml:space="preserve">evaluated (time-invariant) </w:t>
      </w:r>
      <w:r w:rsidR="00D42716" w:rsidRPr="00C2183A">
        <w:rPr>
          <w:lang w:val="en-US"/>
        </w:rPr>
        <w:t xml:space="preserve">value of spatiotemporal variation and observation error, we simulated a random spatial field. We then simulated </w:t>
      </w:r>
      <w:r w:rsidR="001F7F7D" w:rsidRPr="00C2183A">
        <w:rPr>
          <w:lang w:val="en-US"/>
        </w:rPr>
        <w:t xml:space="preserve">a latent </w:t>
      </w:r>
      <w:r w:rsidR="00D42716" w:rsidRPr="00C2183A">
        <w:rPr>
          <w:lang w:val="en-US"/>
        </w:rPr>
        <w:t xml:space="preserve">spatiotemporal </w:t>
      </w:r>
      <w:r w:rsidR="001F7F7D" w:rsidRPr="00C2183A">
        <w:rPr>
          <w:lang w:val="en-US"/>
        </w:rPr>
        <w:t>process</w:t>
      </w:r>
      <w:r w:rsidR="00D42716" w:rsidRPr="00C2183A">
        <w:rPr>
          <w:lang w:val="en-US"/>
        </w:rPr>
        <w:t xml:space="preserve"> over 10 time steps, using spatial and spatiotemporal components (modeled as </w:t>
      </w:r>
      <w:r w:rsidR="00206E9E">
        <w:rPr>
          <w:lang w:val="en-US"/>
        </w:rPr>
        <w:t>independent</w:t>
      </w:r>
      <w:r w:rsidR="0089470C" w:rsidRPr="00C2183A">
        <w:rPr>
          <w:lang w:val="en-US"/>
        </w:rPr>
        <w:t xml:space="preserve"> </w:t>
      </w:r>
      <w:r w:rsidR="00BD2E04" w:rsidRPr="00C2183A">
        <w:rPr>
          <w:lang w:val="en-US"/>
        </w:rPr>
        <w:t xml:space="preserve">from </w:t>
      </w:r>
      <w:r w:rsidR="0089470C" w:rsidRPr="00C2183A">
        <w:rPr>
          <w:lang w:val="en-US"/>
        </w:rPr>
        <w:t>year to year</w:t>
      </w:r>
      <w:r w:rsidR="00D42716" w:rsidRPr="00C2183A">
        <w:rPr>
          <w:lang w:val="en-US"/>
        </w:rPr>
        <w:t xml:space="preserve">) along with </w:t>
      </w:r>
      <w:r w:rsidR="008A2168" w:rsidRPr="00C2183A">
        <w:rPr>
          <w:lang w:val="en-US"/>
        </w:rPr>
        <w:t xml:space="preserve">the </w:t>
      </w:r>
      <w:r w:rsidR="00087449" w:rsidRPr="00C2183A">
        <w:rPr>
          <w:lang w:val="en-US"/>
        </w:rPr>
        <w:t>local trend</w:t>
      </w:r>
      <w:r w:rsidR="008A2168" w:rsidRPr="00C2183A">
        <w:rPr>
          <w:lang w:val="en-US"/>
        </w:rPr>
        <w:t xml:space="preserve"> field</w:t>
      </w:r>
      <w:r w:rsidR="00D42716" w:rsidRPr="00C2183A">
        <w:rPr>
          <w:lang w:val="en-US"/>
        </w:rPr>
        <w:t xml:space="preserve">. </w:t>
      </w:r>
      <w:r w:rsidR="001F7F7D" w:rsidRPr="00C2183A">
        <w:rPr>
          <w:lang w:val="en-US"/>
        </w:rPr>
        <w:t xml:space="preserve">To include measurement or observation error, we simulated normally distributed </w:t>
      </w:r>
      <w:r w:rsidR="00BD2E04" w:rsidRPr="00C2183A">
        <w:rPr>
          <w:lang w:val="en-US"/>
        </w:rPr>
        <w:t xml:space="preserve">observations </w:t>
      </w:r>
      <w:r w:rsidR="001F7F7D" w:rsidRPr="00C2183A">
        <w:rPr>
          <w:lang w:val="en-US"/>
        </w:rPr>
        <w:t xml:space="preserve">from this spatiotemporal process. We then fit a spatial GLMM to the simulated data and assumed the model structure to be known. </w:t>
      </w:r>
      <w:r w:rsidR="00BD2E04" w:rsidRPr="00C2183A">
        <w:rPr>
          <w:lang w:val="en-US"/>
        </w:rPr>
        <w:t>We then compared e</w:t>
      </w:r>
      <w:r w:rsidR="001F7F7D" w:rsidRPr="00C2183A">
        <w:rPr>
          <w:lang w:val="en-US"/>
        </w:rPr>
        <w:t xml:space="preserve">stimated values of the </w:t>
      </w:r>
      <w:r w:rsidR="00087449" w:rsidRPr="00C2183A">
        <w:rPr>
          <w:lang w:val="en-US"/>
        </w:rPr>
        <w:t>local trend</w:t>
      </w:r>
      <w:r w:rsidR="001F7F7D" w:rsidRPr="00C2183A">
        <w:rPr>
          <w:lang w:val="en-US"/>
        </w:rPr>
        <w:t xml:space="preserve"> at the locations of the data </w:t>
      </w:r>
      <w:r w:rsidR="00BD2E04" w:rsidRPr="00C2183A">
        <w:rPr>
          <w:lang w:val="en-US"/>
        </w:rPr>
        <w:t>with</w:t>
      </w:r>
      <w:r w:rsidR="001F7F7D" w:rsidRPr="00C2183A">
        <w:rPr>
          <w:lang w:val="en-US"/>
        </w:rPr>
        <w:t xml:space="preserve"> </w:t>
      </w:r>
      <w:r w:rsidR="0089470C" w:rsidRPr="00C2183A">
        <w:rPr>
          <w:lang w:val="en-US"/>
        </w:rPr>
        <w:t>known values</w:t>
      </w:r>
      <w:r w:rsidR="001F7F7D" w:rsidRPr="00C2183A">
        <w:rPr>
          <w:lang w:val="en-US"/>
        </w:rPr>
        <w:t xml:space="preserve"> to generate statistical summaries (bias</w:t>
      </w:r>
      <w:r w:rsidR="00CA464B" w:rsidRPr="00C2183A">
        <w:rPr>
          <w:lang w:val="en-US"/>
        </w:rPr>
        <w:t xml:space="preserve"> [expectation of difference]</w:t>
      </w:r>
      <w:r w:rsidR="001F7F7D" w:rsidRPr="00C2183A">
        <w:rPr>
          <w:lang w:val="en-US"/>
        </w:rPr>
        <w:t>, variance</w:t>
      </w:r>
      <w:r w:rsidR="00CA464B" w:rsidRPr="00C2183A">
        <w:rPr>
          <w:lang w:val="en-US"/>
        </w:rPr>
        <w:t xml:space="preserve"> [sample variance of difference]</w:t>
      </w:r>
      <w:r w:rsidR="001F7F7D" w:rsidRPr="00C2183A">
        <w:rPr>
          <w:lang w:val="en-US"/>
        </w:rPr>
        <w:t xml:space="preserve">, </w:t>
      </w:r>
      <w:r w:rsidR="00F10C90" w:rsidRPr="00C2183A">
        <w:rPr>
          <w:lang w:val="en-US"/>
        </w:rPr>
        <w:t xml:space="preserve">and </w:t>
      </w:r>
      <w:r w:rsidR="00260692" w:rsidRPr="00C2183A">
        <w:rPr>
          <w:lang w:val="en-US"/>
        </w:rPr>
        <w:t xml:space="preserve">Pearson </w:t>
      </w:r>
      <w:r w:rsidR="001F7F7D" w:rsidRPr="00C2183A">
        <w:rPr>
          <w:lang w:val="en-US"/>
        </w:rPr>
        <w:t xml:space="preserve">correlations between predicted and observed values). For each combination of parameter values, we simulated 100 random datasets. </w:t>
      </w:r>
    </w:p>
    <w:p w14:paraId="0452EF3F" w14:textId="77777777" w:rsidR="009F6418" w:rsidRPr="00C2183A" w:rsidRDefault="009F6418" w:rsidP="00D26510">
      <w:pPr>
        <w:spacing w:after="120" w:line="480" w:lineRule="auto"/>
        <w:ind w:firstLine="720"/>
        <w:rPr>
          <w:lang w:val="en-US"/>
        </w:rPr>
      </w:pPr>
    </w:p>
    <w:p w14:paraId="7EAB5927" w14:textId="0A07667C" w:rsidR="00CB4A97" w:rsidRPr="00C2183A" w:rsidRDefault="00CB4A97" w:rsidP="00D26510">
      <w:pPr>
        <w:spacing w:after="120" w:line="480" w:lineRule="auto"/>
        <w:rPr>
          <w:i/>
          <w:lang w:val="en-US"/>
        </w:rPr>
      </w:pPr>
      <w:r w:rsidRPr="00C2183A">
        <w:rPr>
          <w:i/>
          <w:lang w:val="en-US"/>
        </w:rPr>
        <w:t xml:space="preserve">West coast </w:t>
      </w:r>
      <w:proofErr w:type="spellStart"/>
      <w:r w:rsidRPr="00C2183A">
        <w:rPr>
          <w:i/>
          <w:lang w:val="en-US"/>
        </w:rPr>
        <w:t>groundfish</w:t>
      </w:r>
      <w:proofErr w:type="spellEnd"/>
      <w:r w:rsidRPr="00C2183A">
        <w:rPr>
          <w:i/>
          <w:lang w:val="en-US"/>
        </w:rPr>
        <w:t xml:space="preserve"> </w:t>
      </w:r>
      <w:r w:rsidR="0089470C" w:rsidRPr="00C2183A">
        <w:rPr>
          <w:i/>
          <w:lang w:val="en-US"/>
        </w:rPr>
        <w:t>application</w:t>
      </w:r>
    </w:p>
    <w:p w14:paraId="617ACE96" w14:textId="64CF0BD0" w:rsidR="009C4CF6" w:rsidRPr="00C2183A" w:rsidRDefault="006F0F50" w:rsidP="00D26510">
      <w:pPr>
        <w:spacing w:after="120" w:line="480" w:lineRule="auto"/>
        <w:rPr>
          <w:lang w:val="en-US"/>
        </w:rPr>
      </w:pPr>
      <w:r w:rsidRPr="00C2183A">
        <w:rPr>
          <w:lang w:val="en-US"/>
        </w:rPr>
        <w:t>As an example</w:t>
      </w:r>
      <w:r w:rsidR="00F10C90" w:rsidRPr="00C2183A">
        <w:rPr>
          <w:lang w:val="en-US"/>
        </w:rPr>
        <w:t xml:space="preserve"> of how the </w:t>
      </w:r>
      <w:r w:rsidR="00087449" w:rsidRPr="00C2183A">
        <w:rPr>
          <w:lang w:val="en-US"/>
        </w:rPr>
        <w:t>local trend</w:t>
      </w:r>
      <w:r w:rsidR="00F10C90" w:rsidRPr="00C2183A">
        <w:rPr>
          <w:lang w:val="en-US"/>
        </w:rPr>
        <w:t xml:space="preserve"> model can be applied to improve the interpretation of changes in spatial distribution</w:t>
      </w:r>
      <w:r w:rsidRPr="00C2183A">
        <w:rPr>
          <w:lang w:val="en-US"/>
        </w:rPr>
        <w:t xml:space="preserve">, we fit the </w:t>
      </w:r>
      <w:r w:rsidR="00C25EE2" w:rsidRPr="00C2183A">
        <w:rPr>
          <w:lang w:val="en-US"/>
        </w:rPr>
        <w:t>local trend</w:t>
      </w:r>
      <w:r w:rsidR="00306407" w:rsidRPr="00C2183A">
        <w:rPr>
          <w:lang w:val="en-US"/>
        </w:rPr>
        <w:t xml:space="preserve"> model</w:t>
      </w:r>
      <w:r w:rsidRPr="00C2183A">
        <w:rPr>
          <w:lang w:val="en-US"/>
        </w:rPr>
        <w:t xml:space="preserve"> to</w:t>
      </w:r>
      <w:r w:rsidR="00751649" w:rsidRPr="00C2183A">
        <w:rPr>
          <w:lang w:val="en-US"/>
        </w:rPr>
        <w:t xml:space="preserve"> </w:t>
      </w:r>
      <w:proofErr w:type="spellStart"/>
      <w:r w:rsidR="00751649" w:rsidRPr="00C2183A">
        <w:rPr>
          <w:lang w:val="en-US"/>
        </w:rPr>
        <w:t>groundfish</w:t>
      </w:r>
      <w:proofErr w:type="spellEnd"/>
      <w:r w:rsidR="00751649" w:rsidRPr="00C2183A">
        <w:rPr>
          <w:lang w:val="en-US"/>
        </w:rPr>
        <w:t xml:space="preserve"> </w:t>
      </w:r>
      <w:r w:rsidR="0089470C" w:rsidRPr="00C2183A">
        <w:rPr>
          <w:lang w:val="en-US"/>
        </w:rPr>
        <w:t xml:space="preserve">data collected </w:t>
      </w:r>
      <w:r w:rsidRPr="00C2183A">
        <w:rPr>
          <w:lang w:val="en-US"/>
        </w:rPr>
        <w:t xml:space="preserve">from a fishery-independent survey along the US </w:t>
      </w:r>
      <w:r w:rsidR="003C4531">
        <w:rPr>
          <w:lang w:val="en-US"/>
        </w:rPr>
        <w:t>west coast</w:t>
      </w:r>
      <w:r w:rsidR="008F53D3" w:rsidRPr="00C2183A">
        <w:rPr>
          <w:lang w:val="en-US"/>
        </w:rPr>
        <w:t xml:space="preserve">: the NOAA Fisheries, Northwest Fisheries Science Center, US </w:t>
      </w:r>
      <w:r w:rsidR="003C4531">
        <w:rPr>
          <w:lang w:val="en-US"/>
        </w:rPr>
        <w:t>West Coast</w:t>
      </w:r>
      <w:r w:rsidR="008F53D3" w:rsidRPr="00C2183A">
        <w:rPr>
          <w:lang w:val="en-US"/>
        </w:rPr>
        <w:t xml:space="preserve"> </w:t>
      </w:r>
      <w:proofErr w:type="spellStart"/>
      <w:r w:rsidR="008F53D3" w:rsidRPr="00C2183A">
        <w:rPr>
          <w:lang w:val="en-US"/>
        </w:rPr>
        <w:t>Groundfish</w:t>
      </w:r>
      <w:proofErr w:type="spellEnd"/>
      <w:r w:rsidR="008F53D3" w:rsidRPr="00C2183A">
        <w:rPr>
          <w:lang w:val="en-US"/>
        </w:rPr>
        <w:t xml:space="preserve"> Bottom Trawl Survey</w:t>
      </w:r>
      <w:r w:rsidR="00192C69" w:rsidRPr="00C2183A">
        <w:rPr>
          <w:lang w:val="en-US"/>
        </w:rPr>
        <w:t xml:space="preserve"> </w:t>
      </w:r>
      <w:r w:rsidR="00A01347" w:rsidRPr="00A01347">
        <w:t>(Keller et al. 2017)</w:t>
      </w:r>
      <w:r w:rsidR="005E1879" w:rsidRPr="00C2183A">
        <w:rPr>
          <w:lang w:val="en-US"/>
        </w:rPr>
        <w:t xml:space="preserve"> from 2003 to 2018</w:t>
      </w:r>
      <w:r w:rsidR="008F53D3" w:rsidRPr="00C2183A">
        <w:rPr>
          <w:lang w:val="en-US"/>
        </w:rPr>
        <w:t xml:space="preserve">. </w:t>
      </w:r>
      <w:r w:rsidR="0083649F" w:rsidRPr="00C2183A">
        <w:rPr>
          <w:lang w:val="en-US"/>
        </w:rPr>
        <w:t xml:space="preserve">The annual survey uses a stratified random sampling design, with strata defined by </w:t>
      </w:r>
      <w:r w:rsidR="0083649F" w:rsidRPr="00C2183A">
        <w:rPr>
          <w:lang w:val="en-US"/>
        </w:rPr>
        <w:lastRenderedPageBreak/>
        <w:t xml:space="preserve">depth and latitude, to estimate population density (in terms of catch </w:t>
      </w:r>
      <w:r w:rsidR="00A26076" w:rsidRPr="00C2183A">
        <w:rPr>
          <w:lang w:val="en-US"/>
        </w:rPr>
        <w:t>per area swept by the net</w:t>
      </w:r>
      <w:r w:rsidR="0083649F" w:rsidRPr="00C2183A">
        <w:rPr>
          <w:lang w:val="en-US"/>
        </w:rPr>
        <w:t>) along the continental shelf and upper slope (from 55</w:t>
      </w:r>
      <w:r w:rsidR="00C84954">
        <w:rPr>
          <w:lang w:val="en-US"/>
        </w:rPr>
        <w:t>–</w:t>
      </w:r>
      <w:r w:rsidR="0083649F" w:rsidRPr="00C2183A">
        <w:rPr>
          <w:lang w:val="en-US"/>
        </w:rPr>
        <w:t xml:space="preserve">1280 m depth) of California, Oregon, and Washington state. </w:t>
      </w:r>
      <w:r w:rsidR="00A26076" w:rsidRPr="00C2183A">
        <w:rPr>
          <w:lang w:val="en-US"/>
        </w:rPr>
        <w:t xml:space="preserve">Roughly 650 tows (the unit of observation) are performed </w:t>
      </w:r>
      <w:r w:rsidR="0083649F" w:rsidRPr="00C2183A">
        <w:rPr>
          <w:lang w:val="en-US"/>
        </w:rPr>
        <w:t xml:space="preserve">during two passes from north to south, typically </w:t>
      </w:r>
      <w:r w:rsidR="00A26076" w:rsidRPr="00C2183A">
        <w:rPr>
          <w:lang w:val="en-US"/>
        </w:rPr>
        <w:t xml:space="preserve">occurring </w:t>
      </w:r>
      <w:r w:rsidR="0083649F" w:rsidRPr="00C2183A">
        <w:rPr>
          <w:lang w:val="en-US"/>
        </w:rPr>
        <w:t xml:space="preserve">between </w:t>
      </w:r>
      <w:r w:rsidR="00A26076" w:rsidRPr="00C2183A">
        <w:rPr>
          <w:lang w:val="en-US"/>
        </w:rPr>
        <w:t>late May and the end of October</w:t>
      </w:r>
      <w:r w:rsidR="0083649F" w:rsidRPr="00C2183A">
        <w:rPr>
          <w:lang w:val="en-US"/>
        </w:rPr>
        <w:t xml:space="preserve">. </w:t>
      </w:r>
      <w:r w:rsidR="009A44C9" w:rsidRPr="00C2183A">
        <w:rPr>
          <w:lang w:val="en-US"/>
        </w:rPr>
        <w:t xml:space="preserve">This survey </w:t>
      </w:r>
      <w:r w:rsidR="00704795" w:rsidRPr="00C2183A">
        <w:rPr>
          <w:lang w:val="en-US"/>
        </w:rPr>
        <w:t>represents an ideal case study because it has been used extensively in testing new index standardization methods</w:t>
      </w:r>
      <w:r w:rsidR="009C4CF6" w:rsidRPr="00C2183A">
        <w:rPr>
          <w:lang w:val="en-US"/>
        </w:rPr>
        <w:t xml:space="preserve"> for stock assessments</w:t>
      </w:r>
      <w:r w:rsidR="000C6F4A" w:rsidRPr="00C2183A">
        <w:rPr>
          <w:lang w:val="en-US"/>
        </w:rPr>
        <w:t xml:space="preserve"> </w:t>
      </w:r>
      <w:r w:rsidR="00A01347" w:rsidRPr="00A01347">
        <w:t>(Thorson et al. 2015)</w:t>
      </w:r>
      <w:r w:rsidR="00704795" w:rsidRPr="00C2183A">
        <w:rPr>
          <w:lang w:val="en-US"/>
        </w:rPr>
        <w:t>, is publicly available (</w:t>
      </w:r>
      <w:hyperlink r:id="rId8" w:history="1">
        <w:r w:rsidR="00704795" w:rsidRPr="00C2183A">
          <w:rPr>
            <w:rStyle w:val="Hyperlink"/>
            <w:lang w:val="en-US"/>
          </w:rPr>
          <w:t>https://www.nwfsc.noaa.gov/data/map</w:t>
        </w:r>
      </w:hyperlink>
      <w:r w:rsidR="00704795" w:rsidRPr="00C2183A">
        <w:rPr>
          <w:lang w:val="en-US"/>
        </w:rPr>
        <w:t xml:space="preserve">), and </w:t>
      </w:r>
      <w:r w:rsidR="009C4CF6" w:rsidRPr="00C2183A">
        <w:rPr>
          <w:lang w:val="en-US"/>
        </w:rPr>
        <w:t>has been used to develop coast</w:t>
      </w:r>
      <w:r w:rsidR="00B676A7" w:rsidRPr="00C2183A">
        <w:rPr>
          <w:lang w:val="en-US"/>
        </w:rPr>
        <w:t>-</w:t>
      </w:r>
      <w:r w:rsidR="009C4CF6" w:rsidRPr="00C2183A">
        <w:rPr>
          <w:lang w:val="en-US"/>
        </w:rPr>
        <w:t>wide indicators, including shifts in center of gravity</w:t>
      </w:r>
      <w:r w:rsidR="00BF2CBC" w:rsidRPr="00C2183A">
        <w:rPr>
          <w:lang w:val="en-US"/>
        </w:rPr>
        <w:t xml:space="preserve"> </w:t>
      </w:r>
      <w:r w:rsidR="00A01347" w:rsidRPr="00A01347">
        <w:t>(Thorson et al. 2016a)</w:t>
      </w:r>
      <w:r w:rsidR="009C4CF6" w:rsidRPr="00C2183A">
        <w:rPr>
          <w:lang w:val="en-US"/>
        </w:rPr>
        <w:t xml:space="preserve">. </w:t>
      </w:r>
      <w:r w:rsidR="00F03024" w:rsidRPr="00C2183A">
        <w:rPr>
          <w:lang w:val="en-US"/>
        </w:rPr>
        <w:t xml:space="preserve">We </w:t>
      </w:r>
      <w:r w:rsidR="003D219B" w:rsidRPr="00C2183A">
        <w:rPr>
          <w:lang w:val="en-US"/>
        </w:rPr>
        <w:t xml:space="preserve">selected </w:t>
      </w:r>
      <w:r w:rsidR="006F0B46" w:rsidRPr="00C2183A">
        <w:rPr>
          <w:lang w:val="en-US"/>
        </w:rPr>
        <w:t>19</w:t>
      </w:r>
      <w:r w:rsidR="003D219B" w:rsidRPr="00C2183A">
        <w:rPr>
          <w:lang w:val="en-US"/>
        </w:rPr>
        <w:t xml:space="preserve"> </w:t>
      </w:r>
      <w:proofErr w:type="spellStart"/>
      <w:r w:rsidR="0089470C" w:rsidRPr="00C2183A">
        <w:rPr>
          <w:lang w:val="en-US"/>
        </w:rPr>
        <w:t>groundfish</w:t>
      </w:r>
      <w:proofErr w:type="spellEnd"/>
      <w:r w:rsidR="0089470C" w:rsidRPr="00C2183A">
        <w:rPr>
          <w:lang w:val="en-US"/>
        </w:rPr>
        <w:t xml:space="preserve"> </w:t>
      </w:r>
      <w:r w:rsidR="003D219B" w:rsidRPr="00C2183A">
        <w:rPr>
          <w:lang w:val="en-US"/>
        </w:rPr>
        <w:t>species to model</w:t>
      </w:r>
      <w:r w:rsidR="009C4CF6" w:rsidRPr="00C2183A">
        <w:rPr>
          <w:lang w:val="en-US"/>
        </w:rPr>
        <w:t xml:space="preserve"> in this analysis</w:t>
      </w:r>
      <w:r w:rsidR="003D219B" w:rsidRPr="00C2183A">
        <w:rPr>
          <w:lang w:val="en-US"/>
        </w:rPr>
        <w:t xml:space="preserve"> based on a combination of high commercial landings, market value, conservation concern, and prevalence in the survey data</w:t>
      </w:r>
      <w:r w:rsidR="002D6DFC" w:rsidRPr="00C2183A">
        <w:rPr>
          <w:lang w:val="en-US"/>
        </w:rPr>
        <w:t xml:space="preserve"> (Table </w:t>
      </w:r>
      <w:r w:rsidR="0046021E" w:rsidRPr="00C2183A">
        <w:rPr>
          <w:lang w:val="en-US"/>
        </w:rPr>
        <w:t>S2</w:t>
      </w:r>
      <w:r w:rsidR="002D6DFC" w:rsidRPr="00C2183A">
        <w:rPr>
          <w:lang w:val="en-US"/>
        </w:rPr>
        <w:t>)</w:t>
      </w:r>
      <w:r w:rsidR="003D219B" w:rsidRPr="00C2183A">
        <w:rPr>
          <w:lang w:val="en-US"/>
        </w:rPr>
        <w:t>.</w:t>
      </w:r>
      <w:r w:rsidR="00DC32E2" w:rsidRPr="00C2183A">
        <w:rPr>
          <w:lang w:val="en-US"/>
        </w:rPr>
        <w:t xml:space="preserve"> </w:t>
      </w:r>
      <w:r w:rsidR="00B676A7" w:rsidRPr="00C2183A">
        <w:rPr>
          <w:lang w:val="en-US"/>
        </w:rPr>
        <w:t>It is important to note that the distributions of many of these species extend farther to the north and south. Therefore</w:t>
      </w:r>
      <w:r w:rsidR="00A12CB5">
        <w:rPr>
          <w:lang w:val="en-US"/>
        </w:rPr>
        <w:t>,</w:t>
      </w:r>
      <w:r w:rsidR="00B676A7" w:rsidRPr="00C2183A">
        <w:rPr>
          <w:lang w:val="en-US"/>
        </w:rPr>
        <w:t xml:space="preserve"> conclusions </w:t>
      </w:r>
      <w:r w:rsidR="00AD28B6" w:rsidRPr="00C2183A">
        <w:rPr>
          <w:lang w:val="en-US"/>
        </w:rPr>
        <w:t>from</w:t>
      </w:r>
      <w:r w:rsidR="00B676A7" w:rsidRPr="00C2183A">
        <w:rPr>
          <w:lang w:val="en-US"/>
        </w:rPr>
        <w:t xml:space="preserve"> these analyses only describe the dynamics of their </w:t>
      </w:r>
      <w:r w:rsidR="00AD28B6" w:rsidRPr="00C2183A">
        <w:rPr>
          <w:lang w:val="en-US"/>
        </w:rPr>
        <w:t>density</w:t>
      </w:r>
      <w:r w:rsidR="00B676A7" w:rsidRPr="00C2183A">
        <w:rPr>
          <w:lang w:val="en-US"/>
        </w:rPr>
        <w:t xml:space="preserve"> distribution within the survey area, and not their entire range.</w:t>
      </w:r>
    </w:p>
    <w:p w14:paraId="0C25BE72" w14:textId="1FBE2E41" w:rsidR="00465A85" w:rsidRPr="00C2183A" w:rsidRDefault="00047600" w:rsidP="00770736">
      <w:pPr>
        <w:spacing w:after="120" w:line="480" w:lineRule="auto"/>
        <w:ind w:firstLine="720"/>
        <w:rPr>
          <w:lang w:val="en-US"/>
        </w:rPr>
      </w:pPr>
      <w:r w:rsidRPr="00C2183A">
        <w:rPr>
          <w:lang w:val="en-US"/>
        </w:rPr>
        <w:t xml:space="preserve">We </w:t>
      </w:r>
      <w:r w:rsidR="009B4FC6" w:rsidRPr="00C2183A">
        <w:rPr>
          <w:lang w:val="en-US"/>
        </w:rPr>
        <w:t>fit spatial GLMM</w:t>
      </w:r>
      <w:r w:rsidR="00584268" w:rsidRPr="00C2183A">
        <w:rPr>
          <w:lang w:val="en-US"/>
        </w:rPr>
        <w:t>s</w:t>
      </w:r>
      <w:r w:rsidR="009B4FC6" w:rsidRPr="00C2183A">
        <w:rPr>
          <w:lang w:val="en-US"/>
        </w:rPr>
        <w:t xml:space="preserve"> </w:t>
      </w:r>
      <w:r w:rsidR="00584268" w:rsidRPr="00C2183A">
        <w:rPr>
          <w:lang w:val="en-US"/>
        </w:rPr>
        <w:t xml:space="preserve">with and </w:t>
      </w:r>
      <w:r w:rsidR="009B4FC6" w:rsidRPr="00C2183A">
        <w:rPr>
          <w:lang w:val="en-US"/>
        </w:rPr>
        <w:t xml:space="preserve">without a </w:t>
      </w:r>
      <w:r w:rsidR="00087449" w:rsidRPr="00C2183A">
        <w:rPr>
          <w:lang w:val="en-US"/>
        </w:rPr>
        <w:t>local trend</w:t>
      </w:r>
      <w:r w:rsidR="009B4FC6" w:rsidRPr="00C2183A">
        <w:rPr>
          <w:lang w:val="en-US"/>
        </w:rPr>
        <w:t xml:space="preserve"> to each species</w:t>
      </w:r>
      <w:r w:rsidRPr="00C2183A">
        <w:rPr>
          <w:lang w:val="en-US"/>
        </w:rPr>
        <w:t xml:space="preserve"> to evaluate whether the </w:t>
      </w:r>
      <w:r w:rsidR="00087449" w:rsidRPr="00C2183A">
        <w:rPr>
          <w:lang w:val="en-US"/>
        </w:rPr>
        <w:t>local trend</w:t>
      </w:r>
      <w:r w:rsidRPr="00C2183A">
        <w:rPr>
          <w:lang w:val="en-US"/>
        </w:rPr>
        <w:t xml:space="preserve"> may be appropriate for modeling how these 19 species change over time</w:t>
      </w:r>
      <w:r w:rsidR="009B4FC6" w:rsidRPr="00C2183A">
        <w:rPr>
          <w:lang w:val="en-US"/>
        </w:rPr>
        <w:t xml:space="preserve">. We allowed </w:t>
      </w:r>
      <w:r w:rsidR="00584268" w:rsidRPr="00C2183A">
        <w:rPr>
          <w:lang w:val="en-US"/>
        </w:rPr>
        <w:t>both</w:t>
      </w:r>
      <w:r w:rsidR="009B4FC6" w:rsidRPr="00C2183A">
        <w:rPr>
          <w:lang w:val="en-US"/>
        </w:rPr>
        <w:t xml:space="preserve"> model</w:t>
      </w:r>
      <w:r w:rsidR="00584268" w:rsidRPr="00C2183A">
        <w:rPr>
          <w:lang w:val="en-US"/>
        </w:rPr>
        <w:t>s</w:t>
      </w:r>
      <w:r w:rsidR="009B4FC6" w:rsidRPr="00C2183A">
        <w:rPr>
          <w:lang w:val="en-US"/>
        </w:rPr>
        <w:t xml:space="preserve"> to include spatial and spatiotemporal components (independent </w:t>
      </w:r>
      <w:r w:rsidR="0089470C" w:rsidRPr="00C2183A">
        <w:rPr>
          <w:lang w:val="en-US"/>
        </w:rPr>
        <w:t>by year</w:t>
      </w:r>
      <w:r w:rsidR="008A2168" w:rsidRPr="00C2183A">
        <w:rPr>
          <w:lang w:val="en-US"/>
        </w:rPr>
        <w:t xml:space="preserve">, </w:t>
      </w:r>
      <w:r w:rsidR="00373951" w:rsidRPr="00C2183A">
        <w:rPr>
          <w:lang w:val="en-US"/>
        </w:rPr>
        <w:t>because</w:t>
      </w:r>
      <w:r w:rsidR="008A2168" w:rsidRPr="00C2183A">
        <w:rPr>
          <w:lang w:val="en-US"/>
        </w:rPr>
        <w:t xml:space="preserve"> preliminary testing indicated that including </w:t>
      </w:r>
      <w:r w:rsidR="00373951" w:rsidRPr="00C2183A">
        <w:rPr>
          <w:lang w:val="en-US"/>
        </w:rPr>
        <w:t xml:space="preserve">temporal structure was not typically supported, as the 95% confidence interval </w:t>
      </w:r>
      <w:r w:rsidR="00797443" w:rsidRPr="00C2183A">
        <w:rPr>
          <w:lang w:val="en-US"/>
        </w:rPr>
        <w:t>around</w:t>
      </w:r>
      <w:r w:rsidR="00373951" w:rsidRPr="00C2183A">
        <w:rPr>
          <w:lang w:val="en-US"/>
        </w:rPr>
        <w:t xml:space="preserve"> the</w:t>
      </w:r>
      <w:r w:rsidR="00797443" w:rsidRPr="00C2183A">
        <w:rPr>
          <w:lang w:val="en-US"/>
        </w:rPr>
        <w:t xml:space="preserve"> estimate of the</w:t>
      </w:r>
      <w:r w:rsidR="00373951" w:rsidRPr="00C2183A">
        <w:rPr>
          <w:lang w:val="en-US"/>
        </w:rPr>
        <w:t xml:space="preserve"> </w:t>
      </w:r>
      <w:r w:rsidR="008A2168" w:rsidRPr="00C2183A">
        <w:rPr>
          <w:lang w:val="en-US"/>
        </w:rPr>
        <w:t>first-order autoregressive</w:t>
      </w:r>
      <w:r w:rsidR="00373951" w:rsidRPr="00C2183A">
        <w:rPr>
          <w:lang w:val="en-US"/>
        </w:rPr>
        <w:t xml:space="preserve"> </w:t>
      </w:r>
      <w:r w:rsidR="00797443" w:rsidRPr="00C2183A">
        <w:rPr>
          <w:lang w:val="en-US"/>
        </w:rPr>
        <w:t xml:space="preserve">correlation </w:t>
      </w:r>
      <w:r w:rsidR="00373951" w:rsidRPr="00C2183A">
        <w:rPr>
          <w:lang w:val="en-US"/>
        </w:rPr>
        <w:t>parameter included 0</w:t>
      </w:r>
      <w:r w:rsidR="009B4FC6" w:rsidRPr="00C2183A">
        <w:rPr>
          <w:lang w:val="en-US"/>
        </w:rPr>
        <w:t xml:space="preserve">), depth </w:t>
      </w:r>
      <w:r w:rsidR="00584268" w:rsidRPr="00C2183A">
        <w:rPr>
          <w:lang w:val="en-US"/>
        </w:rPr>
        <w:t xml:space="preserve">modeled </w:t>
      </w:r>
      <w:r w:rsidR="009B4FC6" w:rsidRPr="00C2183A">
        <w:rPr>
          <w:lang w:val="en-US"/>
        </w:rPr>
        <w:t>as a quadratic effect</w:t>
      </w:r>
      <w:r w:rsidR="00BF2CBC" w:rsidRPr="00C2183A">
        <w:rPr>
          <w:lang w:val="en-US"/>
        </w:rPr>
        <w:t xml:space="preserve"> </w:t>
      </w:r>
      <w:r w:rsidR="00A01347" w:rsidRPr="00A01347">
        <w:t>(Thorson et al. 2015)</w:t>
      </w:r>
      <w:r w:rsidR="00184203" w:rsidRPr="00C2183A">
        <w:rPr>
          <w:lang w:val="en-US"/>
        </w:rPr>
        <w:t xml:space="preserve">, and year as a </w:t>
      </w:r>
      <w:r w:rsidR="00672372" w:rsidRPr="00C2183A">
        <w:rPr>
          <w:lang w:val="en-US"/>
        </w:rPr>
        <w:t>factor</w:t>
      </w:r>
      <w:r w:rsidR="00184203" w:rsidRPr="00C2183A">
        <w:rPr>
          <w:lang w:val="en-US"/>
        </w:rPr>
        <w:t xml:space="preserve">. </w:t>
      </w:r>
      <w:r w:rsidR="00046B6F" w:rsidRPr="00C2183A">
        <w:rPr>
          <w:lang w:val="en-US"/>
        </w:rPr>
        <w:t>Below we describe in detail the full model including the local trend.</w:t>
      </w:r>
    </w:p>
    <w:p w14:paraId="5436BD8F" w14:textId="65EF2FF6" w:rsidR="00465A85" w:rsidRPr="00C2183A" w:rsidRDefault="00217FEE" w:rsidP="00D26510">
      <w:pPr>
        <w:spacing w:after="120" w:line="480" w:lineRule="auto"/>
        <w:ind w:firstLine="720"/>
        <w:rPr>
          <w:lang w:val="en-US"/>
        </w:rPr>
      </w:pPr>
      <w:r w:rsidRPr="00C2183A">
        <w:rPr>
          <w:lang w:val="en-US"/>
        </w:rPr>
        <w:t xml:space="preserve">Because of the </w:t>
      </w:r>
      <w:r w:rsidR="005B0DAC" w:rsidRPr="00C2183A">
        <w:rPr>
          <w:lang w:val="en-US"/>
        </w:rPr>
        <w:t>positive continuous nature of the recorded fish densities combined with some zeros</w:t>
      </w:r>
      <w:r w:rsidRPr="00C2183A">
        <w:rPr>
          <w:lang w:val="en-US"/>
        </w:rPr>
        <w:t xml:space="preserve">, we </w:t>
      </w:r>
      <w:r w:rsidR="00343F2D" w:rsidRPr="00C2183A">
        <w:rPr>
          <w:lang w:val="en-US"/>
        </w:rPr>
        <w:t xml:space="preserve">modeled the response </w:t>
      </w:r>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s,t</m:t>
            </m:r>
          </m:sub>
        </m:sSub>
      </m:oMath>
      <w:r w:rsidR="00465A85" w:rsidRPr="00077178">
        <w:rPr>
          <w:lang w:val="en-US"/>
        </w:rPr>
        <w:t xml:space="preserve"> (catch per unit effort [CPUE] at point in spac</w:t>
      </w:r>
      <w:r w:rsidR="00465A85" w:rsidRPr="00E57C20">
        <w:rPr>
          <w:lang w:val="en-US"/>
        </w:rPr>
        <w:t xml:space="preserve">e </w:t>
      </w:r>
      <m:oMath>
        <m:r>
          <w:rPr>
            <w:rFonts w:ascii="Cambria Math" w:hAnsi="Cambria Math"/>
            <w:lang w:val="en-US"/>
          </w:rPr>
          <m:t>s</m:t>
        </m:r>
      </m:oMath>
      <w:r w:rsidR="00465A85" w:rsidRPr="007C710C">
        <w:rPr>
          <w:lang w:val="en-US"/>
        </w:rPr>
        <w:t xml:space="preserve"> and </w:t>
      </w:r>
      <w:proofErr w:type="gramStart"/>
      <w:r w:rsidR="00465A85" w:rsidRPr="007C710C">
        <w:rPr>
          <w:lang w:val="en-US"/>
        </w:rPr>
        <w:lastRenderedPageBreak/>
        <w:t xml:space="preserve">time </w:t>
      </w:r>
      <w:proofErr w:type="gramEnd"/>
      <m:oMath>
        <m:r>
          <w:rPr>
            <w:rFonts w:ascii="Cambria Math" w:hAnsi="Cambria Math"/>
            <w:lang w:val="en-US"/>
          </w:rPr>
          <m:t>t</m:t>
        </m:r>
      </m:oMath>
      <w:r w:rsidR="00465A85" w:rsidRPr="00AF6A51">
        <w:rPr>
          <w:lang w:val="en-US"/>
        </w:rPr>
        <w:t xml:space="preserve">) </w:t>
      </w:r>
      <w:r w:rsidR="00343F2D" w:rsidRPr="00C2183A">
        <w:rPr>
          <w:lang w:val="en-US"/>
        </w:rPr>
        <w:t xml:space="preserve">with a Tweedie distribution </w:t>
      </w:r>
      <w:r w:rsidR="005B0DAC" w:rsidRPr="00C2183A">
        <w:rPr>
          <w:lang w:val="en-US"/>
        </w:rPr>
        <w:t xml:space="preserve">and a </w:t>
      </w:r>
      <w:r w:rsidR="00343F2D" w:rsidRPr="00C2183A">
        <w:rPr>
          <w:lang w:val="en-US"/>
        </w:rPr>
        <w:t>log link</w:t>
      </w:r>
      <w:r w:rsidR="00BF2CBC" w:rsidRPr="00C2183A">
        <w:rPr>
          <w:lang w:val="en-US"/>
        </w:rPr>
        <w:t xml:space="preserve"> </w:t>
      </w:r>
      <w:r w:rsidR="00A01347" w:rsidRPr="00A01347">
        <w:t>(Tweedie 1984, Dunn and Smyth 2005, Anderson et al. 2019)</w:t>
      </w:r>
      <w:r w:rsidR="00465A85" w:rsidRPr="00C2183A">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650"/>
        <w:gridCol w:w="805"/>
      </w:tblGrid>
      <w:tr w:rsidR="00314810" w14:paraId="2447F7FE" w14:textId="77777777" w:rsidTr="00C907CA">
        <w:tc>
          <w:tcPr>
            <w:tcW w:w="895" w:type="dxa"/>
          </w:tcPr>
          <w:p w14:paraId="3298DEFA" w14:textId="77777777" w:rsidR="00314810" w:rsidRDefault="00314810" w:rsidP="00C907CA">
            <w:pPr>
              <w:spacing w:after="120" w:line="480" w:lineRule="auto"/>
              <w:jc w:val="center"/>
              <w:rPr>
                <w:rFonts w:eastAsiaTheme="minorEastAsia"/>
                <w:lang w:val="en-US"/>
              </w:rPr>
            </w:pPr>
          </w:p>
        </w:tc>
        <w:tc>
          <w:tcPr>
            <w:tcW w:w="7650" w:type="dxa"/>
            <w:vAlign w:val="center"/>
          </w:tcPr>
          <w:p w14:paraId="2DAEDE62" w14:textId="0A01BD55" w:rsidR="00314810" w:rsidRDefault="004160DE" w:rsidP="00C907CA">
            <w:pPr>
              <w:spacing w:after="120" w:line="480" w:lineRule="auto"/>
              <w:jc w:val="center"/>
              <w:rPr>
                <w:rFonts w:eastAsiaTheme="minorEastAsia"/>
                <w:lang w:val="en-US"/>
              </w:rPr>
            </w:pPr>
            <m:oMathPara>
              <m:oMath>
                <m:m>
                  <m:mPr>
                    <m:plcHide m:val="1"/>
                    <m:mcs>
                      <m:mc>
                        <m:mcPr>
                          <m:count m:val="1"/>
                          <m:mcJc m:val="right"/>
                        </m:mcPr>
                      </m:mc>
                      <m:mc>
                        <m:mcPr>
                          <m:count m:val="1"/>
                          <m:mcJc m:val="left"/>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s,t</m:t>
                          </m:r>
                        </m:sub>
                      </m:sSub>
                    </m:e>
                    <m:e>
                      <m:r>
                        <w:rPr>
                          <w:rFonts w:ascii="Cambria Math" w:hAnsi="Cambria Math"/>
                          <w:lang w:val="en-US"/>
                        </w:rPr>
                        <m:t>∼</m:t>
                      </m:r>
                      <m:r>
                        <m:rPr>
                          <m:nor/>
                        </m:rPr>
                        <w:rPr>
                          <w:lang w:val="en-US"/>
                        </w:rPr>
                        <m:t>Tweedie</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μ</m:t>
                              </m:r>
                            </m:e>
                            <m:sub>
                              <m:r>
                                <w:rPr>
                                  <w:rFonts w:ascii="Cambria Math" w:hAnsi="Cambria Math"/>
                                  <w:lang w:val="en-US"/>
                                </w:rPr>
                                <m:t>s,t</m:t>
                              </m:r>
                            </m:sub>
                          </m:sSub>
                          <m:r>
                            <w:rPr>
                              <w:rFonts w:ascii="Cambria Math" w:hAnsi="Cambria Math"/>
                              <w:lang w:val="en-US"/>
                            </w:rPr>
                            <m:t>,p,ϕ</m:t>
                          </m:r>
                        </m:e>
                      </m:d>
                      <m:r>
                        <w:rPr>
                          <w:rFonts w:ascii="Cambria Math" w:hAnsi="Cambria Math"/>
                          <w:lang w:val="en-US"/>
                        </w:rPr>
                        <m:t>, 1&lt;p&lt;2 ,</m:t>
                      </m:r>
                    </m:e>
                  </m:mr>
                  <m:mr>
                    <m:e>
                      <m:sSub>
                        <m:sSubPr>
                          <m:ctrlPr>
                            <w:rPr>
                              <w:rFonts w:ascii="Cambria Math" w:hAnsi="Cambria Math"/>
                              <w:lang w:val="en-US"/>
                            </w:rPr>
                          </m:ctrlPr>
                        </m:sSubPr>
                        <m:e>
                          <m:r>
                            <w:rPr>
                              <w:rFonts w:ascii="Cambria Math" w:hAnsi="Cambria Math"/>
                              <w:lang w:val="en-US"/>
                            </w:rPr>
                            <m:t>μ</m:t>
                          </m:r>
                        </m:e>
                        <m:sub>
                          <m:r>
                            <w:rPr>
                              <w:rFonts w:ascii="Cambria Math" w:hAnsi="Cambria Math"/>
                              <w:lang w:val="en-US"/>
                            </w:rPr>
                            <m:t>s,t</m:t>
                          </m:r>
                        </m:sub>
                      </m:sSub>
                    </m:e>
                    <m:e>
                      <m:r>
                        <w:rPr>
                          <w:rFonts w:ascii="Cambria Math" w:hAnsi="Cambria Math"/>
                          <w:lang w:val="en-US"/>
                        </w:rPr>
                        <m:t>=</m:t>
                      </m:r>
                      <m:r>
                        <m:rPr>
                          <m:nor/>
                        </m:rPr>
                        <w:rPr>
                          <w:lang w:val="en-US"/>
                        </w:rPr>
                        <m:t>exp</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t</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D</m:t>
                              </m:r>
                            </m:e>
                            <m:sub>
                              <m:r>
                                <w:rPr>
                                  <w:rFonts w:ascii="Cambria Math" w:hAnsi="Cambria Math"/>
                                  <w:lang w:val="en-US"/>
                                </w:rPr>
                                <m:t>s,t</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2</m:t>
                              </m:r>
                            </m:sub>
                          </m:sSub>
                          <m:sSubSup>
                            <m:sSubSupPr>
                              <m:ctrlPr>
                                <w:rPr>
                                  <w:rFonts w:ascii="Cambria Math" w:hAnsi="Cambria Math"/>
                                  <w:lang w:val="en-US"/>
                                </w:rPr>
                              </m:ctrlPr>
                            </m:sSubSupPr>
                            <m:e>
                              <m:r>
                                <w:rPr>
                                  <w:rFonts w:ascii="Cambria Math" w:hAnsi="Cambria Math"/>
                                  <w:lang w:val="en-US"/>
                                </w:rPr>
                                <m:t>D</m:t>
                              </m:r>
                            </m:e>
                            <m:sub>
                              <m:r>
                                <w:rPr>
                                  <w:rFonts w:ascii="Cambria Math" w:hAnsi="Cambria Math"/>
                                  <w:lang w:val="en-US"/>
                                </w:rPr>
                                <m:t>s,t</m:t>
                              </m:r>
                            </m:sub>
                            <m:sup>
                              <m:r>
                                <w:rPr>
                                  <w:rFonts w:ascii="Cambria Math" w:hAnsi="Cambria Math"/>
                                  <w:lang w:val="en-US"/>
                                </w:rPr>
                                <m:t>2</m:t>
                              </m:r>
                            </m:sup>
                          </m:sSubSup>
                          <m:r>
                            <w:rPr>
                              <w:rFonts w:ascii="Cambria Math" w:hAnsi="Cambria Math"/>
                              <w:lang w:val="en-US"/>
                            </w:rPr>
                            <m:t>+</m:t>
                          </m:r>
                          <m:sSub>
                            <m:sSubPr>
                              <m:ctrlPr>
                                <w:rPr>
                                  <w:rFonts w:ascii="Cambria Math" w:hAnsi="Cambria Math"/>
                                  <w:lang w:val="en-US"/>
                                </w:rPr>
                              </m:ctrlPr>
                            </m:sSubPr>
                            <m:e>
                              <m:r>
                                <w:rPr>
                                  <w:rFonts w:ascii="Cambria Math" w:hAnsi="Cambria Math"/>
                                  <w:lang w:val="en-US"/>
                                </w:rPr>
                                <m:t>ω</m:t>
                              </m:r>
                            </m:e>
                            <m:sub>
                              <m:r>
                                <w:rPr>
                                  <w:rFonts w:ascii="Cambria Math" w:hAnsi="Cambria Math"/>
                                  <w:lang w:val="en-US"/>
                                </w:rPr>
                                <m:t>s</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ϵ</m:t>
                              </m:r>
                            </m:e>
                            <m:sub>
                              <m:r>
                                <w:rPr>
                                  <w:rFonts w:ascii="Cambria Math" w:hAnsi="Cambria Math"/>
                                  <w:lang w:val="en-US"/>
                                </w:rPr>
                                <m:t>s,t</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ζ</m:t>
                              </m:r>
                            </m:e>
                            <m:sub>
                              <m:r>
                                <w:rPr>
                                  <w:rFonts w:ascii="Cambria Math" w:hAnsi="Cambria Math"/>
                                  <w:lang w:val="en-US"/>
                                </w:rPr>
                                <m:t>s</m:t>
                              </m:r>
                            </m:sub>
                          </m:sSub>
                          <m:r>
                            <w:rPr>
                              <w:rFonts w:ascii="Cambria Math" w:hAnsi="Cambria Math"/>
                              <w:lang w:val="en-US"/>
                            </w:rPr>
                            <m:t>t</m:t>
                          </m:r>
                        </m:e>
                      </m:d>
                      <m:r>
                        <w:rPr>
                          <w:rFonts w:ascii="Cambria Math" w:hAnsi="Cambria Math"/>
                          <w:lang w:val="en-US"/>
                        </w:rPr>
                        <m:t>,</m:t>
                      </m:r>
                    </m:e>
                  </m:mr>
                  <m:mr>
                    <m:e>
                      <m:r>
                        <m:rPr>
                          <m:sty m:val="b"/>
                        </m:rPr>
                        <w:rPr>
                          <w:rFonts w:ascii="Cambria Math" w:hAnsi="Cambria Math"/>
                          <w:lang w:val="en-US"/>
                        </w:rPr>
                        <m:t>ω</m:t>
                      </m:r>
                    </m:e>
                    <m:e>
                      <m:r>
                        <w:rPr>
                          <w:rFonts w:ascii="Cambria Math" w:hAnsi="Cambria Math"/>
                          <w:lang w:val="en-US"/>
                        </w:rPr>
                        <m:t>∼</m:t>
                      </m:r>
                      <m:r>
                        <m:rPr>
                          <m:nor/>
                        </m:rPr>
                        <w:rPr>
                          <w:lang w:val="en-US"/>
                        </w:rPr>
                        <m:t>MVNormal</m:t>
                      </m:r>
                      <m:d>
                        <m:dPr>
                          <m:ctrlPr>
                            <w:rPr>
                              <w:rFonts w:ascii="Cambria Math" w:hAnsi="Cambria Math"/>
                              <w:lang w:val="en-US"/>
                            </w:rPr>
                          </m:ctrlPr>
                        </m:dPr>
                        <m:e>
                          <m:r>
                            <m:rPr>
                              <m:sty m:val="b"/>
                            </m:rPr>
                            <w:rPr>
                              <w:rFonts w:ascii="Cambria Math" w:hAnsi="Cambria Math"/>
                              <w:lang w:val="en-US"/>
                            </w:rPr>
                            <m:t>0</m:t>
                          </m:r>
                          <m:r>
                            <w:rPr>
                              <w:rFonts w:ascii="Cambria Math" w:hAnsi="Cambria Math"/>
                              <w:lang w:val="en-US"/>
                            </w:rPr>
                            <m:t>,</m:t>
                          </m:r>
                          <m:sSub>
                            <m:sSubPr>
                              <m:ctrlPr>
                                <w:rPr>
                                  <w:rFonts w:ascii="Cambria Math" w:hAnsi="Cambria Math"/>
                                  <w:lang w:val="en-US"/>
                                </w:rPr>
                              </m:ctrlPr>
                            </m:sSubPr>
                            <m:e>
                              <m:r>
                                <m:rPr>
                                  <m:sty m:val="b"/>
                                </m:rPr>
                                <w:rPr>
                                  <w:rFonts w:ascii="Cambria Math" w:hAnsi="Cambria Math"/>
                                  <w:lang w:val="en-US"/>
                                </w:rPr>
                                <m:t>Σ</m:t>
                              </m:r>
                            </m:e>
                            <m:sub>
                              <m:r>
                                <w:rPr>
                                  <w:rFonts w:ascii="Cambria Math" w:hAnsi="Cambria Math"/>
                                  <w:lang w:val="en-US"/>
                                </w:rPr>
                                <m:t>ω</m:t>
                              </m:r>
                            </m:sub>
                          </m:sSub>
                        </m:e>
                      </m:d>
                      <m:r>
                        <w:rPr>
                          <w:rFonts w:ascii="Cambria Math" w:hAnsi="Cambria Math"/>
                          <w:lang w:val="en-US"/>
                        </w:rPr>
                        <m:t>,</m:t>
                      </m:r>
                    </m:e>
                  </m:mr>
                  <m:mr>
                    <m:e>
                      <m:sSub>
                        <m:sSubPr>
                          <m:ctrlPr>
                            <w:rPr>
                              <w:rFonts w:ascii="Cambria Math" w:hAnsi="Cambria Math"/>
                              <w:lang w:val="en-US"/>
                            </w:rPr>
                          </m:ctrlPr>
                        </m:sSubPr>
                        <m:e>
                          <m:r>
                            <m:rPr>
                              <m:sty m:val="b"/>
                            </m:rPr>
                            <w:rPr>
                              <w:rFonts w:ascii="Cambria Math" w:hAnsi="Cambria Math"/>
                              <w:lang w:val="en-US"/>
                            </w:rPr>
                            <m:t>ϵ</m:t>
                          </m:r>
                        </m:e>
                        <m:sub>
                          <m:r>
                            <w:rPr>
                              <w:rFonts w:ascii="Cambria Math" w:hAnsi="Cambria Math"/>
                              <w:lang w:val="en-US"/>
                            </w:rPr>
                            <m:t>t</m:t>
                          </m:r>
                        </m:sub>
                      </m:sSub>
                    </m:e>
                    <m:e>
                      <m:r>
                        <w:rPr>
                          <w:rFonts w:ascii="Cambria Math" w:hAnsi="Cambria Math"/>
                          <w:lang w:val="en-US"/>
                        </w:rPr>
                        <m:t>∼</m:t>
                      </m:r>
                      <m:r>
                        <m:rPr>
                          <m:nor/>
                        </m:rPr>
                        <w:rPr>
                          <w:lang w:val="en-US"/>
                        </w:rPr>
                        <m:t>MVNormal</m:t>
                      </m:r>
                      <m:d>
                        <m:dPr>
                          <m:ctrlPr>
                            <w:rPr>
                              <w:rFonts w:ascii="Cambria Math" w:hAnsi="Cambria Math"/>
                              <w:lang w:val="en-US"/>
                            </w:rPr>
                          </m:ctrlPr>
                        </m:dPr>
                        <m:e>
                          <m:r>
                            <m:rPr>
                              <m:sty m:val="b"/>
                            </m:rPr>
                            <w:rPr>
                              <w:rFonts w:ascii="Cambria Math" w:hAnsi="Cambria Math"/>
                              <w:lang w:val="en-US"/>
                            </w:rPr>
                            <m:t>0</m:t>
                          </m:r>
                          <m:r>
                            <w:rPr>
                              <w:rFonts w:ascii="Cambria Math" w:hAnsi="Cambria Math"/>
                              <w:lang w:val="en-US"/>
                            </w:rPr>
                            <m:t>,</m:t>
                          </m:r>
                          <m:sSub>
                            <m:sSubPr>
                              <m:ctrlPr>
                                <w:rPr>
                                  <w:rFonts w:ascii="Cambria Math" w:hAnsi="Cambria Math"/>
                                  <w:lang w:val="en-US"/>
                                </w:rPr>
                              </m:ctrlPr>
                            </m:sSubPr>
                            <m:e>
                              <m:r>
                                <m:rPr>
                                  <m:sty m:val="b"/>
                                </m:rPr>
                                <w:rPr>
                                  <w:rFonts w:ascii="Cambria Math" w:hAnsi="Cambria Math"/>
                                  <w:lang w:val="en-US"/>
                                </w:rPr>
                                <m:t>Σ</m:t>
                              </m:r>
                            </m:e>
                            <m:sub>
                              <m:r>
                                <w:rPr>
                                  <w:rFonts w:ascii="Cambria Math" w:hAnsi="Cambria Math"/>
                                  <w:lang w:val="en-US"/>
                                </w:rPr>
                                <m:t>ϵ</m:t>
                              </m:r>
                            </m:sub>
                          </m:sSub>
                        </m:e>
                      </m:d>
                      <m:r>
                        <w:rPr>
                          <w:rFonts w:ascii="Cambria Math" w:hAnsi="Cambria Math"/>
                          <w:lang w:val="en-US"/>
                        </w:rPr>
                        <m:t>,</m:t>
                      </m:r>
                    </m:e>
                  </m:mr>
                  <m:mr>
                    <m:e>
                      <m:r>
                        <m:rPr>
                          <m:sty m:val="b"/>
                        </m:rPr>
                        <w:rPr>
                          <w:rFonts w:ascii="Cambria Math" w:hAnsi="Cambria Math"/>
                          <w:lang w:val="en-US"/>
                        </w:rPr>
                        <m:t>ζ</m:t>
                      </m:r>
                    </m:e>
                    <m:e>
                      <m:r>
                        <w:rPr>
                          <w:rFonts w:ascii="Cambria Math" w:hAnsi="Cambria Math"/>
                          <w:lang w:val="en-US"/>
                        </w:rPr>
                        <m:t>∼</m:t>
                      </m:r>
                      <m:r>
                        <m:rPr>
                          <m:nor/>
                        </m:rPr>
                        <w:rPr>
                          <w:lang w:val="en-US"/>
                        </w:rPr>
                        <m:t>MVNormal</m:t>
                      </m:r>
                      <m:d>
                        <m:dPr>
                          <m:ctrlPr>
                            <w:rPr>
                              <w:rFonts w:ascii="Cambria Math" w:hAnsi="Cambria Math"/>
                              <w:lang w:val="en-US"/>
                            </w:rPr>
                          </m:ctrlPr>
                        </m:dPr>
                        <m:e>
                          <m:r>
                            <m:rPr>
                              <m:sty m:val="b"/>
                            </m:rPr>
                            <w:rPr>
                              <w:rFonts w:ascii="Cambria Math" w:hAnsi="Cambria Math"/>
                              <w:lang w:val="en-US"/>
                            </w:rPr>
                            <m:t>0</m:t>
                          </m:r>
                          <m:r>
                            <w:rPr>
                              <w:rFonts w:ascii="Cambria Math" w:hAnsi="Cambria Math"/>
                              <w:lang w:val="en-US"/>
                            </w:rPr>
                            <m:t>,</m:t>
                          </m:r>
                          <m:sSub>
                            <m:sSubPr>
                              <m:ctrlPr>
                                <w:rPr>
                                  <w:rFonts w:ascii="Cambria Math" w:hAnsi="Cambria Math"/>
                                  <w:lang w:val="en-US"/>
                                </w:rPr>
                              </m:ctrlPr>
                            </m:sSubPr>
                            <m:e>
                              <m:r>
                                <m:rPr>
                                  <m:sty m:val="b"/>
                                </m:rPr>
                                <w:rPr>
                                  <w:rFonts w:ascii="Cambria Math" w:hAnsi="Cambria Math"/>
                                  <w:lang w:val="en-US"/>
                                </w:rPr>
                                <m:t>Σ</m:t>
                              </m:r>
                            </m:e>
                            <m:sub>
                              <m:r>
                                <w:rPr>
                                  <w:rFonts w:ascii="Cambria Math" w:hAnsi="Cambria Math"/>
                                  <w:lang w:val="en-US"/>
                                </w:rPr>
                                <m:t>ζ</m:t>
                              </m:r>
                            </m:sub>
                          </m:sSub>
                        </m:e>
                      </m:d>
                      <m:r>
                        <w:rPr>
                          <w:rFonts w:ascii="Cambria Math" w:hAnsi="Cambria Math"/>
                          <w:lang w:val="en-US"/>
                        </w:rPr>
                        <m:t>,</m:t>
                      </m:r>
                    </m:e>
                  </m:mr>
                </m:m>
              </m:oMath>
            </m:oMathPara>
          </w:p>
        </w:tc>
        <w:tc>
          <w:tcPr>
            <w:tcW w:w="805" w:type="dxa"/>
            <w:vAlign w:val="center"/>
          </w:tcPr>
          <w:p w14:paraId="28962CF8" w14:textId="19B6EE4F" w:rsidR="00314810" w:rsidRDefault="00314810" w:rsidP="00C907CA">
            <w:pPr>
              <w:spacing w:after="120" w:line="480" w:lineRule="auto"/>
              <w:jc w:val="center"/>
              <w:rPr>
                <w:rFonts w:eastAsiaTheme="minorEastAsia"/>
                <w:lang w:val="en-US"/>
              </w:rPr>
            </w:pPr>
            <w:r>
              <w:rPr>
                <w:rFonts w:eastAsiaTheme="minorEastAsia"/>
                <w:lang w:val="en-US"/>
              </w:rPr>
              <w:t>(3)</w:t>
            </w:r>
          </w:p>
        </w:tc>
      </w:tr>
    </w:tbl>
    <w:p w14:paraId="693C7D9C" w14:textId="7457F789" w:rsidR="00465A85" w:rsidRPr="00E57C20" w:rsidRDefault="00465A85" w:rsidP="00C2183A">
      <w:pPr>
        <w:spacing w:after="120" w:line="480" w:lineRule="auto"/>
        <w:rPr>
          <w:lang w:val="en-US"/>
        </w:rPr>
      </w:pPr>
      <w:proofErr w:type="gramStart"/>
      <w:r w:rsidRPr="00E57C20">
        <w:rPr>
          <w:lang w:val="en-US"/>
        </w:rPr>
        <w:t>where</w:t>
      </w:r>
      <w:proofErr w:type="gramEnd"/>
      <w:r w:rsidRPr="00E57C20">
        <w:rPr>
          <w:lang w:val="en-US"/>
        </w:rPr>
        <w:t xml:space="preserve"> </w:t>
      </w:r>
      <m:oMath>
        <m:r>
          <w:rPr>
            <w:rFonts w:ascii="Cambria Math" w:hAnsi="Cambria Math"/>
            <w:lang w:val="en-US"/>
          </w:rPr>
          <m:t>μ</m:t>
        </m:r>
      </m:oMath>
      <w:r w:rsidRPr="007C710C">
        <w:rPr>
          <w:lang w:val="en-US"/>
        </w:rPr>
        <w:t xml:space="preserve"> represents the mean, </w:t>
      </w:r>
      <m:oMath>
        <m:r>
          <w:rPr>
            <w:rFonts w:ascii="Cambria Math" w:hAnsi="Cambria Math"/>
            <w:lang w:val="en-US"/>
          </w:rPr>
          <m:t>p</m:t>
        </m:r>
      </m:oMath>
      <w:r w:rsidRPr="00AF6A51">
        <w:rPr>
          <w:lang w:val="en-US"/>
        </w:rPr>
        <w:t xml:space="preserve"> represents the power parameter, and </w:t>
      </w:r>
      <m:oMath>
        <m:r>
          <w:rPr>
            <w:rFonts w:ascii="Cambria Math" w:hAnsi="Cambria Math"/>
            <w:lang w:val="en-US"/>
          </w:rPr>
          <m:t>ϕ</m:t>
        </m:r>
      </m:oMath>
      <w:r w:rsidRPr="00AF6A51">
        <w:rPr>
          <w:lang w:val="en-US"/>
        </w:rPr>
        <w:t xml:space="preserve"> represents the dispersion parameter. The </w:t>
      </w:r>
      <m:oMath>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t</m:t>
            </m:r>
          </m:sub>
        </m:sSub>
      </m:oMath>
      <w:r w:rsidRPr="00077178">
        <w:rPr>
          <w:lang w:val="en-US"/>
        </w:rPr>
        <w:t xml:space="preserve"> parameters represent independent means estimated for each year, and </w:t>
      </w:r>
      <m:oMath>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1</m:t>
            </m:r>
          </m:sub>
        </m:sSub>
      </m:oMath>
      <w:r w:rsidRPr="00077178">
        <w:rPr>
          <w:lang w:val="en-US"/>
        </w:rPr>
        <w:t xml:space="preserve"> and </w:t>
      </w:r>
      <m:oMath>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2</m:t>
            </m:r>
          </m:sub>
        </m:sSub>
      </m:oMath>
      <w:r w:rsidRPr="00077178">
        <w:rPr>
          <w:lang w:val="en-US"/>
        </w:rPr>
        <w:t xml:space="preserve"> represent coefficients for log depth (</w:t>
      </w:r>
      <m:oMath>
        <m:r>
          <w:rPr>
            <w:rFonts w:ascii="Cambria Math" w:hAnsi="Cambria Math"/>
            <w:lang w:val="en-US"/>
          </w:rPr>
          <m:t>D</m:t>
        </m:r>
      </m:oMath>
      <w:r w:rsidRPr="00052F7B">
        <w:rPr>
          <w:lang w:val="en-US"/>
        </w:rPr>
        <w:t>) and log depth squared (</w:t>
      </w:r>
      <m:oMath>
        <m:sSup>
          <m:sSupPr>
            <m:ctrlPr>
              <w:rPr>
                <w:rFonts w:ascii="Cambria Math" w:hAnsi="Cambria Math"/>
                <w:lang w:val="en-US"/>
              </w:rPr>
            </m:ctrlPr>
          </m:sSupPr>
          <m:e>
            <m:r>
              <w:rPr>
                <w:rFonts w:ascii="Cambria Math" w:hAnsi="Cambria Math"/>
                <w:lang w:val="en-US"/>
              </w:rPr>
              <m:t>D</m:t>
            </m:r>
          </m:e>
          <m:sup>
            <m:r>
              <w:rPr>
                <w:rFonts w:ascii="Cambria Math" w:hAnsi="Cambria Math"/>
                <w:lang w:val="en-US"/>
              </w:rPr>
              <m:t>2</m:t>
            </m:r>
          </m:sup>
        </m:sSup>
      </m:oMath>
      <w:r w:rsidRPr="00077178">
        <w:rPr>
          <w:lang w:val="en-US"/>
        </w:rPr>
        <w:t>). The symb</w:t>
      </w:r>
      <w:r w:rsidRPr="00E57C20">
        <w:rPr>
          <w:lang w:val="en-US"/>
        </w:rPr>
        <w:t xml:space="preserve">ols </w:t>
      </w:r>
      <m:oMath>
        <m:sSub>
          <m:sSubPr>
            <m:ctrlPr>
              <w:rPr>
                <w:rFonts w:ascii="Cambria Math" w:hAnsi="Cambria Math"/>
                <w:lang w:val="en-US"/>
              </w:rPr>
            </m:ctrlPr>
          </m:sSubPr>
          <m:e>
            <m:r>
              <w:rPr>
                <w:rFonts w:ascii="Cambria Math" w:hAnsi="Cambria Math"/>
                <w:lang w:val="en-US"/>
              </w:rPr>
              <m:t>ω</m:t>
            </m:r>
          </m:e>
          <m:sub>
            <m:r>
              <w:rPr>
                <w:rFonts w:ascii="Cambria Math" w:hAnsi="Cambria Math"/>
                <w:lang w:val="en-US"/>
              </w:rPr>
              <m:t>s</m:t>
            </m:r>
          </m:sub>
        </m:sSub>
      </m:oMath>
      <w:r w:rsidRPr="00077178">
        <w:rPr>
          <w:lang w:val="en-US"/>
        </w:rPr>
        <w:t xml:space="preserve"> and </w:t>
      </w:r>
      <m:oMath>
        <m:sSub>
          <m:sSubPr>
            <m:ctrlPr>
              <w:rPr>
                <w:rFonts w:ascii="Cambria Math" w:hAnsi="Cambria Math"/>
                <w:lang w:val="en-US"/>
              </w:rPr>
            </m:ctrlPr>
          </m:sSubPr>
          <m:e>
            <m:r>
              <w:rPr>
                <w:rFonts w:ascii="Cambria Math" w:hAnsi="Cambria Math"/>
                <w:lang w:val="en-US"/>
              </w:rPr>
              <m:t>ϵ</m:t>
            </m:r>
          </m:e>
          <m:sub>
            <m:r>
              <w:rPr>
                <w:rFonts w:ascii="Cambria Math" w:hAnsi="Cambria Math"/>
                <w:lang w:val="en-US"/>
              </w:rPr>
              <m:t>s,t</m:t>
            </m:r>
          </m:sub>
        </m:sSub>
      </m:oMath>
      <w:r w:rsidRPr="00077178">
        <w:rPr>
          <w:lang w:val="en-US"/>
        </w:rPr>
        <w:t xml:space="preserve"> represent spatial and spatiotemporal random effects (respectively) drawn fr</w:t>
      </w:r>
      <w:r w:rsidRPr="00AF6A51">
        <w:rPr>
          <w:lang w:val="en-US"/>
        </w:rPr>
        <w:t xml:space="preserve">om Gaussian Markov random fields </w:t>
      </w:r>
      <w:r w:rsidR="00A01347" w:rsidRPr="00A01347">
        <w:t>(</w:t>
      </w:r>
      <w:proofErr w:type="spellStart"/>
      <w:r w:rsidR="00A01347" w:rsidRPr="00A01347">
        <w:t>Cressie</w:t>
      </w:r>
      <w:proofErr w:type="spellEnd"/>
      <w:r w:rsidR="00A01347" w:rsidRPr="00A01347">
        <w:t xml:space="preserve"> and </w:t>
      </w:r>
      <w:proofErr w:type="spellStart"/>
      <w:r w:rsidR="00A01347" w:rsidRPr="00A01347">
        <w:t>Wikle</w:t>
      </w:r>
      <w:proofErr w:type="spellEnd"/>
      <w:r w:rsidR="00A01347" w:rsidRPr="00A01347">
        <w:t xml:space="preserve"> 2011)</w:t>
      </w:r>
      <w:r w:rsidRPr="00077178">
        <w:rPr>
          <w:lang w:val="en-US"/>
        </w:rPr>
        <w:t xml:space="preserve"> with covariance matrices </w:t>
      </w:r>
      <m:oMath>
        <m:sSub>
          <m:sSubPr>
            <m:ctrlPr>
              <w:rPr>
                <w:rFonts w:ascii="Cambria Math" w:hAnsi="Cambria Math"/>
                <w:lang w:val="en-US"/>
              </w:rPr>
            </m:ctrlPr>
          </m:sSubPr>
          <m:e>
            <m:r>
              <m:rPr>
                <m:sty m:val="b"/>
              </m:rPr>
              <w:rPr>
                <w:rFonts w:ascii="Cambria Math" w:hAnsi="Cambria Math"/>
                <w:lang w:val="en-US"/>
              </w:rPr>
              <m:t>Σ</m:t>
            </m:r>
          </m:e>
          <m:sub>
            <m:r>
              <w:rPr>
                <w:rFonts w:ascii="Cambria Math" w:hAnsi="Cambria Math"/>
                <w:lang w:val="en-US"/>
              </w:rPr>
              <m:t>ϵ</m:t>
            </m:r>
          </m:sub>
        </m:sSub>
      </m:oMath>
      <w:r w:rsidRPr="00077178">
        <w:rPr>
          <w:lang w:val="en-US"/>
        </w:rPr>
        <w:t xml:space="preserve"> and </w:t>
      </w:r>
      <m:oMath>
        <m:sSub>
          <m:sSubPr>
            <m:ctrlPr>
              <w:rPr>
                <w:rFonts w:ascii="Cambria Math" w:hAnsi="Cambria Math"/>
                <w:lang w:val="en-US"/>
              </w:rPr>
            </m:ctrlPr>
          </m:sSubPr>
          <m:e>
            <m:r>
              <m:rPr>
                <m:sty m:val="b"/>
              </m:rPr>
              <w:rPr>
                <w:rFonts w:ascii="Cambria Math" w:hAnsi="Cambria Math"/>
                <w:lang w:val="en-US"/>
              </w:rPr>
              <m:t>Σ</m:t>
            </m:r>
          </m:e>
          <m:sub>
            <m:r>
              <w:rPr>
                <w:rFonts w:ascii="Cambria Math" w:hAnsi="Cambria Math"/>
                <w:lang w:val="en-US"/>
              </w:rPr>
              <m:t>ω</m:t>
            </m:r>
          </m:sub>
        </m:sSub>
      </m:oMath>
      <w:r w:rsidRPr="00077178">
        <w:rPr>
          <w:lang w:val="en-US"/>
        </w:rPr>
        <w:t xml:space="preserve">. The symbol </w:t>
      </w:r>
      <w:bookmarkStart w:id="2" w:name="_Hlk43301182"/>
      <m:oMath>
        <m:sSub>
          <m:sSubPr>
            <m:ctrlPr>
              <w:rPr>
                <w:rFonts w:ascii="Cambria Math" w:hAnsi="Cambria Math"/>
                <w:lang w:val="en-US"/>
              </w:rPr>
            </m:ctrlPr>
          </m:sSubPr>
          <m:e>
            <m:r>
              <w:rPr>
                <w:rFonts w:ascii="Cambria Math" w:hAnsi="Cambria Math"/>
                <w:lang w:val="en-US"/>
              </w:rPr>
              <m:t>ζ</m:t>
            </m:r>
          </m:e>
          <m:sub>
            <m:r>
              <w:rPr>
                <w:rFonts w:ascii="Cambria Math" w:hAnsi="Cambria Math"/>
                <w:lang w:val="en-US"/>
              </w:rPr>
              <m:t>s</m:t>
            </m:r>
          </m:sub>
        </m:sSub>
      </m:oMath>
      <w:r w:rsidRPr="00077178">
        <w:rPr>
          <w:lang w:val="en-US"/>
        </w:rPr>
        <w:t xml:space="preserve"> </w:t>
      </w:r>
      <w:bookmarkEnd w:id="2"/>
      <w:r w:rsidRPr="00077178">
        <w:rPr>
          <w:lang w:val="en-US"/>
        </w:rPr>
        <w:t>represents the spatially varying coefficients that represent local trends through time</w:t>
      </w:r>
      <w:r w:rsidR="00AA3904" w:rsidRPr="00AF6A51">
        <w:rPr>
          <w:lang w:val="en-US"/>
        </w:rPr>
        <w:t>,</w:t>
      </w:r>
      <w:r w:rsidRPr="00AF6A51">
        <w:rPr>
          <w:lang w:val="en-US"/>
        </w:rPr>
        <w:t xml:space="preserve"> also drawn from Gaussian Markov </w:t>
      </w:r>
      <w:bookmarkStart w:id="3" w:name="_Hlk43300868"/>
      <w:r w:rsidRPr="00AF6A51">
        <w:rPr>
          <w:lang w:val="en-US"/>
        </w:rPr>
        <w:t>random fields.</w:t>
      </w:r>
      <w:bookmarkEnd w:id="3"/>
      <w:r w:rsidRPr="00AF6A51">
        <w:rPr>
          <w:lang w:val="en-US"/>
        </w:rPr>
        <w:t xml:space="preserve"> Time, </w:t>
      </w:r>
      <w:r w:rsidRPr="00AF6A51">
        <w:rPr>
          <w:i/>
          <w:lang w:val="en-US"/>
        </w:rPr>
        <w:t>t</w:t>
      </w:r>
      <w:r w:rsidRPr="00AF6A51">
        <w:rPr>
          <w:lang w:val="en-US"/>
        </w:rPr>
        <w:t xml:space="preserve">, is entered into the model for multiplication with </w:t>
      </w:r>
      <m:oMath>
        <m:sSub>
          <m:sSubPr>
            <m:ctrlPr>
              <w:rPr>
                <w:rFonts w:ascii="Cambria Math" w:hAnsi="Cambria Math"/>
                <w:lang w:val="en-US"/>
              </w:rPr>
            </m:ctrlPr>
          </m:sSubPr>
          <m:e>
            <m:r>
              <w:rPr>
                <w:rFonts w:ascii="Cambria Math" w:hAnsi="Cambria Math"/>
                <w:lang w:val="en-US"/>
              </w:rPr>
              <m:t>ζ</m:t>
            </m:r>
          </m:e>
          <m:sub>
            <m:r>
              <w:rPr>
                <w:rFonts w:ascii="Cambria Math" w:hAnsi="Cambria Math"/>
                <w:lang w:val="en-US"/>
              </w:rPr>
              <m:t>s</m:t>
            </m:r>
          </m:sub>
        </m:sSub>
      </m:oMath>
      <w:r w:rsidRPr="00077178">
        <w:rPr>
          <w:lang w:val="en-US"/>
        </w:rPr>
        <w:t xml:space="preserve"> after centering</w:t>
      </w:r>
      <w:r w:rsidRPr="00E57C20">
        <w:rPr>
          <w:lang w:val="en-US"/>
        </w:rPr>
        <w:t xml:space="preserve"> it by its mean value. All three random fields have covariance matrices constrained by anisotropic </w:t>
      </w:r>
      <w:proofErr w:type="spellStart"/>
      <w:r w:rsidRPr="00052F7B">
        <w:rPr>
          <w:lang w:val="en-US"/>
        </w:rPr>
        <w:t>Matérn</w:t>
      </w:r>
      <w:proofErr w:type="spellEnd"/>
      <w:r w:rsidRPr="00052F7B">
        <w:rPr>
          <w:lang w:val="en-US"/>
        </w:rPr>
        <w:t xml:space="preserve"> covariance functions</w:t>
      </w:r>
      <w:r w:rsidRPr="007C710C">
        <w:rPr>
          <w:lang w:val="en-US"/>
        </w:rPr>
        <w:t xml:space="preserve"> with independent scales but shared </w:t>
      </w:r>
      <m:oMath>
        <m:r>
          <w:rPr>
            <w:rFonts w:ascii="Cambria Math" w:hAnsi="Cambria Math"/>
            <w:lang w:val="en-US"/>
          </w:rPr>
          <m:t>κ</m:t>
        </m:r>
      </m:oMath>
      <w:r w:rsidRPr="00AF6A51">
        <w:rPr>
          <w:lang w:val="en-US"/>
        </w:rPr>
        <w:t xml:space="preserve"> parameters controlling the rate of decay of spatial correlation with distance </w:t>
      </w:r>
      <w:r w:rsidR="00A01347" w:rsidRPr="00A01347">
        <w:t>(</w:t>
      </w:r>
      <w:proofErr w:type="spellStart"/>
      <w:r w:rsidR="00A01347" w:rsidRPr="00A01347">
        <w:t>Cressie</w:t>
      </w:r>
      <w:proofErr w:type="spellEnd"/>
      <w:r w:rsidR="00A01347" w:rsidRPr="00A01347">
        <w:t xml:space="preserve"> and </w:t>
      </w:r>
      <w:proofErr w:type="spellStart"/>
      <w:r w:rsidR="00A01347" w:rsidRPr="00A01347">
        <w:t>Wikle</w:t>
      </w:r>
      <w:proofErr w:type="spellEnd"/>
      <w:r w:rsidR="00A01347" w:rsidRPr="00A01347">
        <w:t xml:space="preserve"> 2011, Thorson et al. 2015)</w:t>
      </w:r>
      <w:r w:rsidRPr="00077178">
        <w:rPr>
          <w:lang w:val="en-US"/>
        </w:rPr>
        <w:t xml:space="preserve">. </w:t>
      </w:r>
    </w:p>
    <w:p w14:paraId="42AEA335" w14:textId="0F90183C" w:rsidR="00046B6F" w:rsidRPr="00C2183A" w:rsidRDefault="00465A85" w:rsidP="00770736">
      <w:pPr>
        <w:spacing w:after="120" w:line="480" w:lineRule="auto"/>
        <w:ind w:firstLine="720"/>
        <w:rPr>
          <w:lang w:val="en-US"/>
        </w:rPr>
      </w:pPr>
      <w:r w:rsidRPr="00052F7B">
        <w:rPr>
          <w:lang w:val="en-US"/>
        </w:rPr>
        <w:t xml:space="preserve">We approximated the </w:t>
      </w:r>
      <w:r w:rsidR="00046B6F" w:rsidRPr="007C710C">
        <w:rPr>
          <w:lang w:val="en-US"/>
        </w:rPr>
        <w:t xml:space="preserve">continuous </w:t>
      </w:r>
      <w:r w:rsidRPr="007C710C">
        <w:rPr>
          <w:lang w:val="en-US"/>
        </w:rPr>
        <w:t>random fields usin</w:t>
      </w:r>
      <w:r w:rsidRPr="00AF6A51">
        <w:rPr>
          <w:lang w:val="en-US"/>
        </w:rPr>
        <w:t xml:space="preserve">g </w:t>
      </w:r>
      <w:r w:rsidR="00046B6F" w:rsidRPr="00C2183A">
        <w:rPr>
          <w:lang w:val="en-US"/>
        </w:rPr>
        <w:t xml:space="preserve">a triangulated mesh with vertices at </w:t>
      </w:r>
      <w:r w:rsidRPr="00077178">
        <w:rPr>
          <w:lang w:val="en-US"/>
        </w:rPr>
        <w:t xml:space="preserve">350 “knots” </w:t>
      </w:r>
      <w:r w:rsidR="00A01347" w:rsidRPr="00A01347">
        <w:t>(Rue et al. 2009, Lindgren et al. 2011)</w:t>
      </w:r>
      <w:r w:rsidRPr="00077178">
        <w:rPr>
          <w:lang w:val="en-US"/>
        </w:rPr>
        <w:t xml:space="preserve"> as calculated with the INLA R package </w:t>
      </w:r>
      <w:r w:rsidR="00A01347" w:rsidRPr="00A01347">
        <w:t>(Rue et al. 2009)</w:t>
      </w:r>
      <w:r w:rsidRPr="00077178">
        <w:rPr>
          <w:lang w:val="en-US"/>
        </w:rPr>
        <w:t xml:space="preserve"> and us</w:t>
      </w:r>
      <w:r w:rsidRPr="00E57C20">
        <w:rPr>
          <w:lang w:val="en-US"/>
        </w:rPr>
        <w:t xml:space="preserve">ed bilinear interpolation to predict at locations between the knots. We found the minimum log likelihood using the R </w:t>
      </w:r>
      <w:proofErr w:type="spellStart"/>
      <w:r w:rsidRPr="00E57C20">
        <w:rPr>
          <w:lang w:val="en-US"/>
        </w:rPr>
        <w:t>nlminb</w:t>
      </w:r>
      <w:proofErr w:type="spellEnd"/>
      <w:r w:rsidRPr="00E57C20">
        <w:rPr>
          <w:lang w:val="en-US"/>
        </w:rPr>
        <w:t xml:space="preserve"> optimization rou</w:t>
      </w:r>
      <w:r w:rsidRPr="00AF6A51">
        <w:rPr>
          <w:lang w:val="en-US"/>
        </w:rPr>
        <w:t>tine with Template Model Builder</w:t>
      </w:r>
      <w:r w:rsidR="000F36B8">
        <w:rPr>
          <w:lang w:val="en-US"/>
        </w:rPr>
        <w:t xml:space="preserve"> </w:t>
      </w:r>
      <w:r w:rsidR="00A01347" w:rsidRPr="00A01347">
        <w:t xml:space="preserve">(TMB; </w:t>
      </w:r>
      <w:proofErr w:type="spellStart"/>
      <w:r w:rsidR="00A01347" w:rsidRPr="00A01347">
        <w:t>Kristensen</w:t>
      </w:r>
      <w:proofErr w:type="spellEnd"/>
      <w:r w:rsidR="00A01347" w:rsidRPr="00A01347">
        <w:t xml:space="preserve"> et al. 2016)</w:t>
      </w:r>
      <w:r w:rsidR="002515A1">
        <w:rPr>
          <w:lang w:val="en-US"/>
        </w:rPr>
        <w:t xml:space="preserve"> </w:t>
      </w:r>
      <w:r w:rsidRPr="00AF6A51">
        <w:rPr>
          <w:lang w:val="en-US"/>
        </w:rPr>
        <w:t>implementing the Laplace approximation to the marginal likelihood.</w:t>
      </w:r>
      <w:r w:rsidR="000F36B8">
        <w:rPr>
          <w:lang w:val="en-US"/>
        </w:rPr>
        <w:t xml:space="preserve"> TMB uses </w:t>
      </w:r>
      <w:r w:rsidR="000F36B8" w:rsidRPr="000F36B8">
        <w:rPr>
          <w:lang w:val="en-US"/>
        </w:rPr>
        <w:t xml:space="preserve">the generalized delta-method to calculate standard errors. </w:t>
      </w:r>
      <w:r w:rsidR="00A236C6">
        <w:rPr>
          <w:lang w:val="en-US"/>
        </w:rPr>
        <w:t xml:space="preserve">We used bilinear </w:t>
      </w:r>
      <w:r w:rsidR="00A236C6">
        <w:rPr>
          <w:lang w:val="en-US"/>
        </w:rPr>
        <w:lastRenderedPageBreak/>
        <w:t xml:space="preserve">interpolation to project predictions at the knot locations to the data locations. </w:t>
      </w:r>
      <w:r w:rsidRPr="00AF6A51">
        <w:rPr>
          <w:lang w:val="en-US"/>
        </w:rPr>
        <w:t xml:space="preserve">Specifically, we fit all models </w:t>
      </w:r>
      <w:r w:rsidR="002C63FC" w:rsidRPr="00C2183A">
        <w:rPr>
          <w:lang w:val="en-US"/>
        </w:rPr>
        <w:t xml:space="preserve">in </w:t>
      </w:r>
      <w:r w:rsidR="00527CF7" w:rsidRPr="00C2183A">
        <w:rPr>
          <w:lang w:val="en-US"/>
        </w:rPr>
        <w:t>R</w:t>
      </w:r>
      <w:r w:rsidR="00DE7964" w:rsidRPr="00C2183A">
        <w:rPr>
          <w:lang w:val="en-US"/>
        </w:rPr>
        <w:t xml:space="preserve"> version </w:t>
      </w:r>
      <w:r w:rsidR="00F10C90" w:rsidRPr="00C2183A">
        <w:rPr>
          <w:lang w:val="en-US"/>
        </w:rPr>
        <w:t>3.5.3</w:t>
      </w:r>
      <w:r w:rsidR="00527CF7" w:rsidRPr="00C2183A">
        <w:rPr>
          <w:lang w:val="en-US"/>
        </w:rPr>
        <w:t xml:space="preserve"> </w:t>
      </w:r>
      <w:r w:rsidR="00A01347" w:rsidRPr="00A01347">
        <w:t>(R Core Team 2019)</w:t>
      </w:r>
      <w:r w:rsidR="002C63FC" w:rsidRPr="00C2183A">
        <w:rPr>
          <w:lang w:val="en-US"/>
        </w:rPr>
        <w:t xml:space="preserve"> using the package </w:t>
      </w:r>
      <w:proofErr w:type="spellStart"/>
      <w:r w:rsidR="002C63FC" w:rsidRPr="00C2183A">
        <w:rPr>
          <w:lang w:val="en-US"/>
        </w:rPr>
        <w:t>sdmTMB</w:t>
      </w:r>
      <w:proofErr w:type="spellEnd"/>
      <w:r w:rsidR="002C63FC" w:rsidRPr="00C2183A">
        <w:rPr>
          <w:lang w:val="en-US"/>
        </w:rPr>
        <w:t xml:space="preserve"> </w:t>
      </w:r>
      <w:r w:rsidR="00A01347" w:rsidRPr="00A01347">
        <w:t>(Anderson et al. 2019, 2020)</w:t>
      </w:r>
      <w:r w:rsidR="002C63FC" w:rsidRPr="00C2183A">
        <w:rPr>
          <w:lang w:val="en-US"/>
        </w:rPr>
        <w:t xml:space="preserve"> which interfaces automatic differentiation in Template Model Builder </w:t>
      </w:r>
      <w:r w:rsidR="00A01347" w:rsidRPr="00A01347">
        <w:t>(</w:t>
      </w:r>
      <w:proofErr w:type="spellStart"/>
      <w:r w:rsidR="00A01347" w:rsidRPr="00A01347">
        <w:t>Kristensen</w:t>
      </w:r>
      <w:proofErr w:type="spellEnd"/>
      <w:r w:rsidR="00A01347" w:rsidRPr="00A01347">
        <w:t xml:space="preserve"> et al. 2016)</w:t>
      </w:r>
      <w:r w:rsidR="002C63FC" w:rsidRPr="00C2183A">
        <w:rPr>
          <w:lang w:val="en-US"/>
        </w:rPr>
        <w:t xml:space="preserve"> with </w:t>
      </w:r>
      <w:r w:rsidR="00234BE8" w:rsidRPr="00C2183A">
        <w:rPr>
          <w:lang w:val="en-US"/>
        </w:rPr>
        <w:t>INLA</w:t>
      </w:r>
      <w:r w:rsidR="00BF2CBC" w:rsidRPr="00C2183A">
        <w:rPr>
          <w:lang w:val="en-US"/>
        </w:rPr>
        <w:t xml:space="preserve"> </w:t>
      </w:r>
      <w:r w:rsidR="00A01347" w:rsidRPr="00A01347">
        <w:t>(Rue et al. 2009)</w:t>
      </w:r>
      <w:r w:rsidR="00527CF7" w:rsidRPr="00C2183A">
        <w:rPr>
          <w:lang w:val="en-US"/>
        </w:rPr>
        <w:t xml:space="preserve">. </w:t>
      </w:r>
    </w:p>
    <w:p w14:paraId="1C5E7FBE" w14:textId="46659D35" w:rsidR="009C4CF6" w:rsidRPr="00C2183A" w:rsidRDefault="00AA3904" w:rsidP="00770736">
      <w:pPr>
        <w:spacing w:after="120" w:line="480" w:lineRule="auto"/>
        <w:ind w:firstLine="720"/>
        <w:rPr>
          <w:lang w:val="en-US"/>
        </w:rPr>
      </w:pPr>
      <w:r w:rsidRPr="00C2183A">
        <w:rPr>
          <w:lang w:val="en-US"/>
        </w:rPr>
        <w:t>To compare</w:t>
      </w:r>
      <w:r w:rsidR="00584268" w:rsidRPr="00C2183A">
        <w:rPr>
          <w:lang w:val="en-US"/>
        </w:rPr>
        <w:t xml:space="preserve"> models with different random effect structure</w:t>
      </w:r>
      <w:r w:rsidR="00306407" w:rsidRPr="00C2183A">
        <w:rPr>
          <w:lang w:val="en-US"/>
        </w:rPr>
        <w:t xml:space="preserve">s (with and without the </w:t>
      </w:r>
      <w:r w:rsidR="00C25EE2" w:rsidRPr="00C2183A">
        <w:rPr>
          <w:lang w:val="en-US"/>
        </w:rPr>
        <w:t>local trend</w:t>
      </w:r>
      <w:r w:rsidR="00584268" w:rsidRPr="00C2183A">
        <w:rPr>
          <w:lang w:val="en-US"/>
        </w:rPr>
        <w:t xml:space="preserve"> field), we used restricted maximum likelihood </w:t>
      </w:r>
      <w:r w:rsidR="00A01347" w:rsidRPr="00A01347">
        <w:t xml:space="preserve">(REML, </w:t>
      </w:r>
      <w:proofErr w:type="spellStart"/>
      <w:r w:rsidR="00A01347" w:rsidRPr="00A01347">
        <w:t>Zuur</w:t>
      </w:r>
      <w:proofErr w:type="spellEnd"/>
      <w:r w:rsidR="00A01347" w:rsidRPr="00A01347">
        <w:t xml:space="preserve"> et al. 2009)</w:t>
      </w:r>
      <w:r w:rsidR="00584268" w:rsidRPr="00C2183A">
        <w:rPr>
          <w:lang w:val="en-US"/>
        </w:rPr>
        <w:t xml:space="preserve"> to generate </w:t>
      </w:r>
      <w:proofErr w:type="spellStart"/>
      <w:r w:rsidR="00584268" w:rsidRPr="00C2183A">
        <w:rPr>
          <w:rFonts w:eastAsiaTheme="minorEastAsia"/>
          <w:lang w:val="en-US"/>
        </w:rPr>
        <w:t>Akaike’s</w:t>
      </w:r>
      <w:proofErr w:type="spellEnd"/>
      <w:r w:rsidR="00584268" w:rsidRPr="00C2183A">
        <w:rPr>
          <w:rFonts w:eastAsiaTheme="minorEastAsia"/>
          <w:lang w:val="en-US"/>
        </w:rPr>
        <w:t xml:space="preserve"> Information Criterion values for each </w:t>
      </w:r>
      <w:r w:rsidR="005B0DAC" w:rsidRPr="00C2183A">
        <w:rPr>
          <w:rFonts w:eastAsiaTheme="minorEastAsia"/>
          <w:lang w:val="en-US"/>
        </w:rPr>
        <w:t xml:space="preserve">model </w:t>
      </w:r>
      <w:r w:rsidR="00A01347" w:rsidRPr="00A01347">
        <w:rPr>
          <w:rFonts w:eastAsiaTheme="minorEastAsia"/>
        </w:rPr>
        <w:t xml:space="preserve">(AIC, </w:t>
      </w:r>
      <w:proofErr w:type="spellStart"/>
      <w:r w:rsidR="00A01347" w:rsidRPr="00A01347">
        <w:rPr>
          <w:rFonts w:eastAsiaTheme="minorEastAsia"/>
        </w:rPr>
        <w:t>Akaike</w:t>
      </w:r>
      <w:proofErr w:type="spellEnd"/>
      <w:r w:rsidR="00A01347" w:rsidRPr="00A01347">
        <w:rPr>
          <w:rFonts w:eastAsiaTheme="minorEastAsia"/>
        </w:rPr>
        <w:t xml:space="preserve"> 1973)</w:t>
      </w:r>
      <w:r w:rsidR="00584268" w:rsidRPr="00C2183A">
        <w:rPr>
          <w:lang w:val="en-US"/>
        </w:rPr>
        <w:t xml:space="preserve">. </w:t>
      </w:r>
      <w:r w:rsidR="001C43CD" w:rsidRPr="00C2183A">
        <w:rPr>
          <w:lang w:val="en-US"/>
        </w:rPr>
        <w:t xml:space="preserve">AIC is a relative measure of </w:t>
      </w:r>
      <w:r w:rsidR="00AF73A8" w:rsidRPr="00C2183A">
        <w:rPr>
          <w:lang w:val="en-US"/>
        </w:rPr>
        <w:t xml:space="preserve">goodness-of-fit </w:t>
      </w:r>
      <w:r w:rsidR="001C43CD" w:rsidRPr="00C2183A">
        <w:rPr>
          <w:lang w:val="en-US"/>
        </w:rPr>
        <w:t xml:space="preserve">that is penalized by the number of model parameters. </w:t>
      </w:r>
      <w:r w:rsidR="00584268" w:rsidRPr="00C2183A">
        <w:rPr>
          <w:lang w:val="en-US"/>
        </w:rPr>
        <w:t xml:space="preserve">Using AIC as a model screening tool, we found broad support for the inclusion of the </w:t>
      </w:r>
      <w:r w:rsidR="00087449" w:rsidRPr="00C2183A">
        <w:rPr>
          <w:lang w:val="en-US"/>
        </w:rPr>
        <w:t>local trend</w:t>
      </w:r>
      <w:r w:rsidR="00584268" w:rsidRPr="00C2183A">
        <w:rPr>
          <w:lang w:val="en-US"/>
        </w:rPr>
        <w:t xml:space="preserve"> for these </w:t>
      </w:r>
      <w:r w:rsidR="006F0B46" w:rsidRPr="00C2183A">
        <w:rPr>
          <w:lang w:val="en-US"/>
        </w:rPr>
        <w:t>19</w:t>
      </w:r>
      <w:r w:rsidR="00584268" w:rsidRPr="00C2183A">
        <w:rPr>
          <w:lang w:val="en-US"/>
        </w:rPr>
        <w:t xml:space="preserve"> species, with the trend model generating lower AIC values in 1</w:t>
      </w:r>
      <w:r w:rsidR="006F0B46" w:rsidRPr="00C2183A">
        <w:rPr>
          <w:lang w:val="en-US"/>
        </w:rPr>
        <w:t>7</w:t>
      </w:r>
      <w:r w:rsidR="00584268" w:rsidRPr="00C2183A">
        <w:rPr>
          <w:lang w:val="en-US"/>
        </w:rPr>
        <w:t xml:space="preserve"> of the </w:t>
      </w:r>
      <w:r w:rsidR="006F0B46" w:rsidRPr="00C2183A">
        <w:rPr>
          <w:lang w:val="en-US"/>
        </w:rPr>
        <w:t>19</w:t>
      </w:r>
      <w:r w:rsidR="00584268" w:rsidRPr="00C2183A">
        <w:rPr>
          <w:lang w:val="en-US"/>
        </w:rPr>
        <w:t xml:space="preserve"> cases</w:t>
      </w:r>
      <w:r w:rsidR="006F0B46" w:rsidRPr="00C2183A">
        <w:rPr>
          <w:lang w:val="en-US"/>
        </w:rPr>
        <w:t xml:space="preserve">, and AIC scores </w:t>
      </w:r>
      <w:r w:rsidR="005B0DAC" w:rsidRPr="00C2183A">
        <w:rPr>
          <w:lang w:val="en-US"/>
        </w:rPr>
        <w:t xml:space="preserve">differing </w:t>
      </w:r>
      <w:r w:rsidR="006F0B46" w:rsidRPr="00C2183A">
        <w:rPr>
          <w:lang w:val="en-US"/>
        </w:rPr>
        <w:t xml:space="preserve">by less than </w:t>
      </w:r>
      <w:r w:rsidR="005B0DAC" w:rsidRPr="00C2183A">
        <w:rPr>
          <w:lang w:val="en-US"/>
        </w:rPr>
        <w:t>two</w:t>
      </w:r>
      <w:r w:rsidR="006F0B46" w:rsidRPr="00C2183A">
        <w:rPr>
          <w:lang w:val="en-US"/>
        </w:rPr>
        <w:t xml:space="preserve"> in the remaining </w:t>
      </w:r>
      <w:r w:rsidR="005B0DAC" w:rsidRPr="00C2183A">
        <w:rPr>
          <w:lang w:val="en-US"/>
        </w:rPr>
        <w:t>two</w:t>
      </w:r>
      <w:r w:rsidR="006F0B46" w:rsidRPr="00C2183A">
        <w:rPr>
          <w:lang w:val="en-US"/>
        </w:rPr>
        <w:t xml:space="preserve"> cases </w:t>
      </w:r>
      <w:r w:rsidR="00584268" w:rsidRPr="00C2183A">
        <w:rPr>
          <w:lang w:val="en-US"/>
        </w:rPr>
        <w:t xml:space="preserve">(Table </w:t>
      </w:r>
      <w:r w:rsidR="00574E5B" w:rsidRPr="00C2183A">
        <w:rPr>
          <w:lang w:val="en-US"/>
        </w:rPr>
        <w:t>S3</w:t>
      </w:r>
      <w:r w:rsidR="00584268" w:rsidRPr="00C2183A">
        <w:rPr>
          <w:lang w:val="en-US"/>
        </w:rPr>
        <w:t>).</w:t>
      </w:r>
      <w:r w:rsidR="0043104E" w:rsidRPr="00C2183A">
        <w:rPr>
          <w:lang w:val="en-US"/>
        </w:rPr>
        <w:t xml:space="preserve"> To verify that AIC was effective </w:t>
      </w:r>
      <w:r w:rsidR="00C25EE2" w:rsidRPr="00C2183A">
        <w:rPr>
          <w:lang w:val="en-US"/>
        </w:rPr>
        <w:t>at</w:t>
      </w:r>
      <w:r w:rsidR="0043104E" w:rsidRPr="00C2183A">
        <w:rPr>
          <w:lang w:val="en-US"/>
        </w:rPr>
        <w:t xml:space="preserve"> selecting the model most consistent with the data-generating process, we </w:t>
      </w:r>
      <w:r w:rsidR="00C25EE2" w:rsidRPr="00C2183A">
        <w:rPr>
          <w:lang w:val="en-US"/>
        </w:rPr>
        <w:t xml:space="preserve">performed parallel contrasts </w:t>
      </w:r>
      <w:r w:rsidR="008F4A4B" w:rsidRPr="00C2183A">
        <w:rPr>
          <w:lang w:val="en-US"/>
        </w:rPr>
        <w:t>(</w:t>
      </w:r>
      <w:r w:rsidR="00C25EE2" w:rsidRPr="00C2183A">
        <w:rPr>
          <w:lang w:val="en-US"/>
        </w:rPr>
        <w:t xml:space="preserve">between models with and without the </w:t>
      </w:r>
      <w:r w:rsidR="008F4A4B" w:rsidRPr="00C2183A">
        <w:rPr>
          <w:lang w:val="en-US"/>
        </w:rPr>
        <w:t>local trend) using simulated data.</w:t>
      </w:r>
    </w:p>
    <w:p w14:paraId="6E391888" w14:textId="35EFBD4C" w:rsidR="00437DE9" w:rsidRPr="00C2183A" w:rsidRDefault="00D12954" w:rsidP="00D26510">
      <w:pPr>
        <w:spacing w:after="120" w:line="480" w:lineRule="auto"/>
        <w:ind w:firstLine="720"/>
        <w:rPr>
          <w:lang w:val="en-US"/>
        </w:rPr>
      </w:pPr>
      <w:r w:rsidRPr="00C2183A">
        <w:rPr>
          <w:lang w:val="en-US"/>
        </w:rPr>
        <w:t xml:space="preserve">Given the evidence supporting the </w:t>
      </w:r>
      <w:r w:rsidR="00C25EE2" w:rsidRPr="00C2183A">
        <w:rPr>
          <w:lang w:val="en-US"/>
        </w:rPr>
        <w:t>local trend</w:t>
      </w:r>
      <w:r w:rsidR="00306407" w:rsidRPr="00C2183A">
        <w:rPr>
          <w:lang w:val="en-US"/>
        </w:rPr>
        <w:t xml:space="preserve"> model</w:t>
      </w:r>
      <w:r w:rsidRPr="00C2183A">
        <w:rPr>
          <w:lang w:val="en-US"/>
        </w:rPr>
        <w:t xml:space="preserve"> as the most parsimonious model, we used this model structure to evaluate changes in species density distributions over time</w:t>
      </w:r>
      <w:r w:rsidR="00527CF7" w:rsidRPr="00C2183A">
        <w:rPr>
          <w:lang w:val="en-US"/>
        </w:rPr>
        <w:t>.</w:t>
      </w:r>
      <w:r w:rsidRPr="00C2183A">
        <w:rPr>
          <w:lang w:val="en-US"/>
        </w:rPr>
        <w:t xml:space="preserve"> </w:t>
      </w:r>
      <w:r w:rsidR="00647FFB" w:rsidRPr="00C2183A">
        <w:rPr>
          <w:lang w:val="en-US"/>
        </w:rPr>
        <w:t xml:space="preserve">To obtain a smooth surface of predicted </w:t>
      </w:r>
      <w:r w:rsidR="00C13CC1" w:rsidRPr="00C2183A">
        <w:rPr>
          <w:lang w:val="en-US"/>
        </w:rPr>
        <w:t>density</w:t>
      </w:r>
      <w:r w:rsidR="00D766A8" w:rsidRPr="00C2183A">
        <w:rPr>
          <w:lang w:val="en-US"/>
        </w:rPr>
        <w:t xml:space="preserve"> </w:t>
      </w:r>
      <w:r w:rsidR="00647FFB" w:rsidRPr="00C2183A">
        <w:rPr>
          <w:lang w:val="en-US"/>
        </w:rPr>
        <w:t>across the footprint of the survey area</w:t>
      </w:r>
      <w:r w:rsidRPr="00C2183A">
        <w:rPr>
          <w:lang w:val="en-US"/>
        </w:rPr>
        <w:t xml:space="preserve"> (Fig. 2)</w:t>
      </w:r>
      <w:r w:rsidR="00647FFB" w:rsidRPr="00C2183A">
        <w:rPr>
          <w:lang w:val="en-US"/>
        </w:rPr>
        <w:t xml:space="preserve">, we predicted </w:t>
      </w:r>
      <w:r w:rsidRPr="00C2183A">
        <w:rPr>
          <w:lang w:val="en-US"/>
        </w:rPr>
        <w:t>density</w:t>
      </w:r>
      <w:r w:rsidR="00D766A8" w:rsidRPr="00C2183A">
        <w:rPr>
          <w:lang w:val="en-US"/>
        </w:rPr>
        <w:t xml:space="preserve"> </w:t>
      </w:r>
      <w:r w:rsidR="00647FFB" w:rsidRPr="00C2183A">
        <w:rPr>
          <w:lang w:val="en-US"/>
        </w:rPr>
        <w:t xml:space="preserve">using </w:t>
      </w:r>
      <w:r w:rsidRPr="00C2183A">
        <w:rPr>
          <w:lang w:val="en-US"/>
        </w:rPr>
        <w:t xml:space="preserve">a </w:t>
      </w:r>
      <w:r w:rsidR="00AF73A8" w:rsidRPr="00C2183A">
        <w:rPr>
          <w:lang w:val="en-US"/>
        </w:rPr>
        <w:t xml:space="preserve">composite of </w:t>
      </w:r>
      <w:r w:rsidR="00647FFB" w:rsidRPr="00C2183A">
        <w:rPr>
          <w:lang w:val="en-US"/>
        </w:rPr>
        <w:t xml:space="preserve">depth </w:t>
      </w:r>
      <w:r w:rsidRPr="00C2183A">
        <w:rPr>
          <w:lang w:val="en-US"/>
        </w:rPr>
        <w:t>layer</w:t>
      </w:r>
      <w:r w:rsidR="00AF73A8" w:rsidRPr="00C2183A">
        <w:rPr>
          <w:lang w:val="en-US"/>
        </w:rPr>
        <w:t>s</w:t>
      </w:r>
      <w:r w:rsidRPr="00C2183A">
        <w:rPr>
          <w:lang w:val="en-US"/>
        </w:rPr>
        <w:t xml:space="preserve"> </w:t>
      </w:r>
      <w:r w:rsidR="00647FFB" w:rsidRPr="00C2183A">
        <w:rPr>
          <w:lang w:val="en-US"/>
        </w:rPr>
        <w:t>defined by NOAA bathymetry data (https://www.ngdc</w:t>
      </w:r>
      <w:r w:rsidR="00AF73A8" w:rsidRPr="00C2183A">
        <w:rPr>
          <w:lang w:val="en-US"/>
        </w:rPr>
        <w:t>.noaa.gov/mgg/coastal/crm.html).</w:t>
      </w:r>
      <w:r w:rsidR="00647FFB" w:rsidRPr="00C2183A">
        <w:rPr>
          <w:lang w:val="en-US"/>
        </w:rPr>
        <w:t xml:space="preserve"> </w:t>
      </w:r>
      <w:r w:rsidR="00AF73A8" w:rsidRPr="00C2183A">
        <w:rPr>
          <w:lang w:val="en-US"/>
        </w:rPr>
        <w:t xml:space="preserve">These data were spatially aggregated using </w:t>
      </w:r>
      <w:r w:rsidR="00F37160" w:rsidRPr="00C2183A">
        <w:rPr>
          <w:lang w:val="en-US"/>
        </w:rPr>
        <w:t>bilinear interpolation</w:t>
      </w:r>
      <w:r w:rsidR="00AF73A8" w:rsidRPr="00C2183A">
        <w:rPr>
          <w:lang w:val="en-US"/>
        </w:rPr>
        <w:t xml:space="preserve"> </w:t>
      </w:r>
      <w:r w:rsidR="00647FFB" w:rsidRPr="00C2183A">
        <w:rPr>
          <w:lang w:val="en-US"/>
        </w:rPr>
        <w:t>to match the resolution of the survey sampling grid (~2.8 x 3.7 km), which is the spatial resolution we used for all analyses</w:t>
      </w:r>
      <w:r w:rsidR="00A37B6E" w:rsidRPr="00C2183A">
        <w:rPr>
          <w:lang w:val="en-US"/>
        </w:rPr>
        <w:t xml:space="preserve">. </w:t>
      </w:r>
      <w:r w:rsidR="00ED0FC2">
        <w:rPr>
          <w:lang w:val="en-US"/>
        </w:rPr>
        <w:t>We implemented a</w:t>
      </w:r>
      <w:r w:rsidR="00A37B6E" w:rsidRPr="00C2183A">
        <w:rPr>
          <w:lang w:val="en-US"/>
        </w:rPr>
        <w:t xml:space="preserve"> number of diagnostics </w:t>
      </w:r>
      <w:r w:rsidR="00373951" w:rsidRPr="00C2183A">
        <w:rPr>
          <w:lang w:val="en-US"/>
        </w:rPr>
        <w:t xml:space="preserve">using spot checks </w:t>
      </w:r>
      <w:r w:rsidR="00C13CC1" w:rsidRPr="00C2183A">
        <w:rPr>
          <w:lang w:val="en-US"/>
        </w:rPr>
        <w:t>on</w:t>
      </w:r>
      <w:r w:rsidR="00A37B6E" w:rsidRPr="00C2183A">
        <w:rPr>
          <w:lang w:val="en-US"/>
        </w:rPr>
        <w:t xml:space="preserve"> these predictions </w:t>
      </w:r>
      <w:r w:rsidR="00373951" w:rsidRPr="00C2183A">
        <w:rPr>
          <w:lang w:val="en-US"/>
        </w:rPr>
        <w:t>and</w:t>
      </w:r>
      <w:r w:rsidR="00A37B6E" w:rsidRPr="00C2183A">
        <w:rPr>
          <w:lang w:val="en-US"/>
        </w:rPr>
        <w:t xml:space="preserve"> model fits to </w:t>
      </w:r>
      <w:r w:rsidR="0089470C" w:rsidRPr="00C2183A">
        <w:rPr>
          <w:lang w:val="en-US"/>
        </w:rPr>
        <w:t xml:space="preserve">further </w:t>
      </w:r>
      <w:r w:rsidR="00C13CC1" w:rsidRPr="00C2183A">
        <w:rPr>
          <w:lang w:val="en-US"/>
        </w:rPr>
        <w:t>analyze</w:t>
      </w:r>
      <w:r w:rsidR="00A37B6E" w:rsidRPr="00C2183A">
        <w:rPr>
          <w:lang w:val="en-US"/>
        </w:rPr>
        <w:t xml:space="preserve"> whether a </w:t>
      </w:r>
      <w:r w:rsidR="00087449" w:rsidRPr="00C2183A">
        <w:rPr>
          <w:lang w:val="en-US"/>
        </w:rPr>
        <w:t>local trend</w:t>
      </w:r>
      <w:r w:rsidR="00A37B6E" w:rsidRPr="00C2183A">
        <w:rPr>
          <w:lang w:val="en-US"/>
        </w:rPr>
        <w:t xml:space="preserve"> </w:t>
      </w:r>
      <w:r w:rsidR="00373951" w:rsidRPr="00C2183A">
        <w:rPr>
          <w:lang w:val="en-US"/>
        </w:rPr>
        <w:t>was</w:t>
      </w:r>
      <w:r w:rsidR="00A37B6E" w:rsidRPr="00C2183A">
        <w:rPr>
          <w:lang w:val="en-US"/>
        </w:rPr>
        <w:t xml:space="preserve"> appropriate</w:t>
      </w:r>
      <w:r w:rsidR="00373951" w:rsidRPr="00C2183A">
        <w:rPr>
          <w:lang w:val="en-US"/>
        </w:rPr>
        <w:t xml:space="preserve"> (e.g.,</w:t>
      </w:r>
      <w:r w:rsidR="00A37B6E" w:rsidRPr="00C2183A">
        <w:rPr>
          <w:lang w:val="en-US"/>
        </w:rPr>
        <w:t xml:space="preserve"> </w:t>
      </w:r>
      <w:r w:rsidR="00774334" w:rsidRPr="00C2183A">
        <w:rPr>
          <w:lang w:val="en-US"/>
        </w:rPr>
        <w:t xml:space="preserve">examining spatial patterns in residuals </w:t>
      </w:r>
      <w:r w:rsidR="00373951" w:rsidRPr="00C2183A">
        <w:rPr>
          <w:lang w:val="en-US"/>
        </w:rPr>
        <w:t>and</w:t>
      </w:r>
      <w:r w:rsidR="00774334" w:rsidRPr="00C2183A">
        <w:rPr>
          <w:lang w:val="en-US"/>
        </w:rPr>
        <w:t xml:space="preserve"> the estimated spatiotemporal component</w:t>
      </w:r>
      <w:r w:rsidR="00373951" w:rsidRPr="00C2183A">
        <w:rPr>
          <w:lang w:val="en-US"/>
        </w:rPr>
        <w:t>)</w:t>
      </w:r>
      <w:r w:rsidR="00584268" w:rsidRPr="00C2183A">
        <w:rPr>
          <w:lang w:val="en-US"/>
        </w:rPr>
        <w:t>.</w:t>
      </w:r>
      <w:r w:rsidR="00774334" w:rsidRPr="00C2183A">
        <w:rPr>
          <w:lang w:val="en-US"/>
        </w:rPr>
        <w:t xml:space="preserve"> </w:t>
      </w:r>
    </w:p>
    <w:p w14:paraId="15E2051D" w14:textId="77777777" w:rsidR="00DE5153" w:rsidRPr="00C2183A" w:rsidRDefault="00DE5153" w:rsidP="00D26510">
      <w:pPr>
        <w:spacing w:after="120" w:line="480" w:lineRule="auto"/>
        <w:ind w:firstLine="720"/>
        <w:rPr>
          <w:rFonts w:eastAsiaTheme="minorEastAsia"/>
          <w:lang w:val="en-US"/>
        </w:rPr>
      </w:pPr>
    </w:p>
    <w:p w14:paraId="46946D59" w14:textId="493DD930" w:rsidR="00986655" w:rsidRPr="00C2183A" w:rsidRDefault="00437DE9" w:rsidP="00D26510">
      <w:pPr>
        <w:spacing w:after="120" w:line="480" w:lineRule="auto"/>
        <w:rPr>
          <w:i/>
          <w:lang w:val="en-US"/>
        </w:rPr>
      </w:pPr>
      <w:r w:rsidRPr="00C2183A">
        <w:rPr>
          <w:i/>
          <w:lang w:val="en-US"/>
        </w:rPr>
        <w:t xml:space="preserve">Using </w:t>
      </w:r>
      <w:r w:rsidR="00087449" w:rsidRPr="00C2183A">
        <w:rPr>
          <w:i/>
          <w:lang w:val="en-US"/>
        </w:rPr>
        <w:t>local trend</w:t>
      </w:r>
      <w:r w:rsidRPr="00C2183A">
        <w:rPr>
          <w:i/>
          <w:lang w:val="en-US"/>
        </w:rPr>
        <w:t>s as indicators of change</w:t>
      </w:r>
    </w:p>
    <w:p w14:paraId="35935DB9" w14:textId="50C88807" w:rsidR="005A551D" w:rsidRDefault="007B4559" w:rsidP="006D07CD">
      <w:pPr>
        <w:pStyle w:val="Bibliography"/>
        <w:spacing w:after="120" w:line="480" w:lineRule="auto"/>
        <w:ind w:left="0" w:firstLine="720"/>
        <w:rPr>
          <w:rFonts w:ascii="Times New Roman" w:hAnsi="Times New Roman" w:cs="Times New Roman"/>
        </w:rPr>
      </w:pPr>
      <w:r w:rsidRPr="00E57C20">
        <w:rPr>
          <w:rFonts w:ascii="Times New Roman" w:hAnsi="Times New Roman" w:cs="Times New Roman"/>
        </w:rPr>
        <w:t xml:space="preserve">We </w:t>
      </w:r>
      <w:r w:rsidR="004C533C" w:rsidRPr="00E57C20">
        <w:rPr>
          <w:rFonts w:ascii="Times New Roman" w:hAnsi="Times New Roman" w:cs="Times New Roman"/>
        </w:rPr>
        <w:t>compare</w:t>
      </w:r>
      <w:r w:rsidR="00032B0B" w:rsidRPr="00AF6A51">
        <w:rPr>
          <w:rFonts w:ascii="Times New Roman" w:hAnsi="Times New Roman" w:cs="Times New Roman"/>
        </w:rPr>
        <w:t>d</w:t>
      </w:r>
      <w:r w:rsidR="004C533C" w:rsidRPr="00AF6A51">
        <w:rPr>
          <w:rFonts w:ascii="Times New Roman" w:hAnsi="Times New Roman" w:cs="Times New Roman"/>
        </w:rPr>
        <w:t xml:space="preserve"> </w:t>
      </w:r>
      <w:r w:rsidR="00032B0B" w:rsidRPr="00AF6A51">
        <w:rPr>
          <w:rFonts w:ascii="Times New Roman" w:hAnsi="Times New Roman" w:cs="Times New Roman"/>
        </w:rPr>
        <w:t>inferences</w:t>
      </w:r>
      <w:r w:rsidR="004C533C" w:rsidRPr="00AF6A51">
        <w:rPr>
          <w:rFonts w:ascii="Times New Roman" w:hAnsi="Times New Roman" w:cs="Times New Roman"/>
        </w:rPr>
        <w:t xml:space="preserve"> of changes in </w:t>
      </w:r>
      <w:r w:rsidR="00032B0B" w:rsidRPr="00AF6A51">
        <w:rPr>
          <w:rFonts w:ascii="Times New Roman" w:hAnsi="Times New Roman" w:cs="Times New Roman"/>
        </w:rPr>
        <w:t>species density distributions obtained from metrics calculated on a spectrum of spatial resolution</w:t>
      </w:r>
      <w:r w:rsidRPr="00AF6A51">
        <w:rPr>
          <w:rFonts w:ascii="Times New Roman" w:hAnsi="Times New Roman" w:cs="Times New Roman"/>
        </w:rPr>
        <w:t xml:space="preserve"> to demonstrate the utility of understanding fine-scale temporal trends</w:t>
      </w:r>
      <w:r w:rsidR="00032B0B" w:rsidRPr="00AF6A51">
        <w:rPr>
          <w:rFonts w:ascii="Times New Roman" w:hAnsi="Times New Roman" w:cs="Times New Roman"/>
        </w:rPr>
        <w:t xml:space="preserve">. </w:t>
      </w:r>
      <w:r w:rsidR="00674524" w:rsidRPr="00AF6A51">
        <w:rPr>
          <w:rFonts w:ascii="Times New Roman" w:hAnsi="Times New Roman" w:cs="Times New Roman"/>
        </w:rPr>
        <w:t xml:space="preserve">Quantifying change at multiple spatial scales has implications for the management of marine fishes and has utility as a spatial indicator within the California Current ecosystem. </w:t>
      </w:r>
      <w:r w:rsidR="00032B0B" w:rsidRPr="00AF6A51">
        <w:rPr>
          <w:rFonts w:ascii="Times New Roman" w:hAnsi="Times New Roman" w:cs="Times New Roman"/>
        </w:rPr>
        <w:t xml:space="preserve">Specifically, we compared the fine-scale interpretation of the </w:t>
      </w:r>
      <w:r w:rsidR="00087449" w:rsidRPr="00AF6A51">
        <w:rPr>
          <w:rFonts w:ascii="Times New Roman" w:hAnsi="Times New Roman" w:cs="Times New Roman"/>
        </w:rPr>
        <w:t>local trend</w:t>
      </w:r>
      <w:r w:rsidR="00032B0B" w:rsidRPr="00AF6A51">
        <w:rPr>
          <w:rFonts w:ascii="Times New Roman" w:hAnsi="Times New Roman" w:cs="Times New Roman"/>
        </w:rPr>
        <w:t xml:space="preserve"> </w:t>
      </w:r>
      <w:r w:rsidR="00C63E8E" w:rsidRPr="00AF6A51">
        <w:rPr>
          <w:rFonts w:ascii="Times New Roman" w:hAnsi="Times New Roman" w:cs="Times New Roman"/>
        </w:rPr>
        <w:t xml:space="preserve">and mean predicted density </w:t>
      </w:r>
      <w:proofErr w:type="spellStart"/>
      <w:r w:rsidR="00C63E8E" w:rsidRPr="00AF6A51">
        <w:rPr>
          <w:rFonts w:ascii="Times New Roman" w:hAnsi="Times New Roman" w:cs="Times New Roman"/>
        </w:rPr>
        <w:t xml:space="preserve">over </w:t>
      </w:r>
      <w:r w:rsidR="005209B4" w:rsidRPr="00AF6A51">
        <w:rPr>
          <w:rFonts w:ascii="Times New Roman" w:hAnsi="Times New Roman" w:cs="Times New Roman"/>
        </w:rPr>
        <w:t>all</w:t>
      </w:r>
      <w:proofErr w:type="spellEnd"/>
      <w:r w:rsidR="005209B4" w:rsidRPr="00AF6A51">
        <w:rPr>
          <w:rFonts w:ascii="Times New Roman" w:hAnsi="Times New Roman" w:cs="Times New Roman"/>
        </w:rPr>
        <w:t xml:space="preserve"> years</w:t>
      </w:r>
      <w:r w:rsidR="00C63E8E" w:rsidRPr="00AF6A51">
        <w:rPr>
          <w:rFonts w:ascii="Times New Roman" w:hAnsi="Times New Roman" w:cs="Times New Roman"/>
        </w:rPr>
        <w:t xml:space="preserve"> to</w:t>
      </w:r>
      <w:r w:rsidR="00032B0B" w:rsidRPr="00AF6A51">
        <w:rPr>
          <w:rFonts w:ascii="Times New Roman" w:hAnsi="Times New Roman" w:cs="Times New Roman"/>
        </w:rPr>
        <w:t xml:space="preserve"> </w:t>
      </w:r>
      <w:r w:rsidR="00C63E8E" w:rsidRPr="00AF6A51">
        <w:rPr>
          <w:rFonts w:ascii="Times New Roman" w:hAnsi="Times New Roman" w:cs="Times New Roman"/>
        </w:rPr>
        <w:t>coarse</w:t>
      </w:r>
      <w:r w:rsidR="00032B0B" w:rsidRPr="00AF6A51">
        <w:rPr>
          <w:rFonts w:ascii="Times New Roman" w:hAnsi="Times New Roman" w:cs="Times New Roman"/>
        </w:rPr>
        <w:t xml:space="preserve">-scale </w:t>
      </w:r>
      <w:r w:rsidR="00C63E8E" w:rsidRPr="00AF6A51">
        <w:rPr>
          <w:rFonts w:ascii="Times New Roman" w:hAnsi="Times New Roman" w:cs="Times New Roman"/>
        </w:rPr>
        <w:t xml:space="preserve">interpretations of: 1) the </w:t>
      </w:r>
      <w:r w:rsidR="00087449" w:rsidRPr="00AF6A51">
        <w:rPr>
          <w:rFonts w:ascii="Times New Roman" w:hAnsi="Times New Roman" w:cs="Times New Roman"/>
        </w:rPr>
        <w:t>local trend</w:t>
      </w:r>
      <w:r w:rsidR="00C63E8E" w:rsidRPr="00AF6A51">
        <w:rPr>
          <w:rFonts w:ascii="Times New Roman" w:hAnsi="Times New Roman" w:cs="Times New Roman"/>
        </w:rPr>
        <w:t xml:space="preserve">, 2) </w:t>
      </w:r>
      <w:r w:rsidR="00032B0B" w:rsidRPr="00AF6A51">
        <w:rPr>
          <w:rFonts w:ascii="Times New Roman" w:hAnsi="Times New Roman" w:cs="Times New Roman"/>
        </w:rPr>
        <w:t xml:space="preserve">regional </w:t>
      </w:r>
      <w:r w:rsidR="00032437" w:rsidRPr="00AF6A51">
        <w:rPr>
          <w:rFonts w:ascii="Times New Roman" w:hAnsi="Times New Roman" w:cs="Times New Roman"/>
        </w:rPr>
        <w:t xml:space="preserve">COGs </w:t>
      </w:r>
      <w:r w:rsidR="00032B0B" w:rsidRPr="00AF6A51">
        <w:rPr>
          <w:rFonts w:ascii="Times New Roman" w:hAnsi="Times New Roman" w:cs="Times New Roman"/>
        </w:rPr>
        <w:t xml:space="preserve">and </w:t>
      </w:r>
      <w:r w:rsidR="00C63E8E" w:rsidRPr="00AF6A51">
        <w:rPr>
          <w:rFonts w:ascii="Times New Roman" w:hAnsi="Times New Roman" w:cs="Times New Roman"/>
        </w:rPr>
        <w:t xml:space="preserve">3) </w:t>
      </w:r>
      <w:proofErr w:type="spellStart"/>
      <w:r w:rsidR="00032B0B" w:rsidRPr="00AF6A51">
        <w:rPr>
          <w:rFonts w:ascii="Times New Roman" w:hAnsi="Times New Roman" w:cs="Times New Roman"/>
        </w:rPr>
        <w:t>coastwide</w:t>
      </w:r>
      <w:proofErr w:type="spellEnd"/>
      <w:r w:rsidR="00032B0B" w:rsidRPr="00AF6A51">
        <w:rPr>
          <w:rFonts w:ascii="Times New Roman" w:hAnsi="Times New Roman" w:cs="Times New Roman"/>
        </w:rPr>
        <w:t xml:space="preserve"> COG calculated from predicted densities</w:t>
      </w:r>
      <w:r w:rsidR="00A62F88" w:rsidRPr="00AF6A51">
        <w:rPr>
          <w:rFonts w:ascii="Times New Roman" w:hAnsi="Times New Roman" w:cs="Times New Roman"/>
        </w:rPr>
        <w:t xml:space="preserve"> </w:t>
      </w:r>
      <m:oMath>
        <m:r>
          <w:rPr>
            <w:rFonts w:ascii="Cambria Math" w:hAnsi="Cambria Math"/>
          </w:rPr>
          <m:t>y</m:t>
        </m:r>
      </m:oMath>
      <w:r w:rsidR="00A62F88" w:rsidRPr="00AF6A51">
        <w:rPr>
          <w:rFonts w:ascii="Times New Roman" w:eastAsiaTheme="minorEastAsia" w:hAnsi="Times New Roman" w:cs="Times New Roman"/>
        </w:rPr>
        <w:t xml:space="preserve"> for each location </w:t>
      </w:r>
      <w:r w:rsidR="00A62F88" w:rsidRPr="00AF6A51">
        <w:rPr>
          <w:rFonts w:ascii="Times New Roman" w:eastAsiaTheme="minorEastAsia" w:hAnsi="Times New Roman" w:cs="Times New Roman"/>
          <w:i/>
        </w:rPr>
        <w:t xml:space="preserve">s </w:t>
      </w:r>
      <w:r w:rsidR="00A62F88" w:rsidRPr="00AF6A51">
        <w:rPr>
          <w:rFonts w:ascii="Times New Roman" w:eastAsiaTheme="minorEastAsia" w:hAnsi="Times New Roman" w:cs="Times New Roman"/>
        </w:rPr>
        <w:t xml:space="preserve">and time </w:t>
      </w:r>
      <w:r w:rsidR="00A62F88" w:rsidRPr="00AF6A51">
        <w:rPr>
          <w:rFonts w:ascii="Times New Roman" w:eastAsiaTheme="minorEastAsia" w:hAnsi="Times New Roman" w:cs="Times New Roman"/>
          <w:i/>
        </w:rPr>
        <w:t>t</w:t>
      </w:r>
      <w:r w:rsidR="00A62F88" w:rsidRPr="00AF6A51">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COG</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i/>
              </w:rPr>
            </m:ctrlPr>
          </m:fPr>
          <m:num>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rPr>
                      <m:t>y</m:t>
                    </m:r>
                  </m:e>
                  <m:sub>
                    <m:r>
                      <w:rPr>
                        <w:rFonts w:ascii="Cambria Math" w:hAnsi="Cambria Math" w:cs="Times New Roman"/>
                      </w:rPr>
                      <m:t>s,t</m:t>
                    </m:r>
                  </m:sub>
                </m:s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s</m:t>
                    </m:r>
                  </m:sub>
                </m:sSub>
              </m:e>
            </m:nary>
          </m:num>
          <m:den>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rPr>
                      <m:t>y</m:t>
                    </m:r>
                  </m:e>
                  <m:sub>
                    <m:r>
                      <w:rPr>
                        <w:rFonts w:ascii="Cambria Math" w:hAnsi="Cambria Math" w:cs="Times New Roman"/>
                      </w:rPr>
                      <m:t>s,t</m:t>
                    </m:r>
                  </m:sub>
                </m:sSub>
              </m:e>
            </m:nary>
          </m:den>
        </m:f>
      </m:oMath>
      <w:r w:rsidR="00A62F88" w:rsidRPr="00E57C20">
        <w:rPr>
          <w:rFonts w:ascii="Times New Roman" w:eastAsiaTheme="minorEastAsia"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s</m:t>
            </m:r>
          </m:sub>
        </m:sSub>
      </m:oMath>
      <w:r w:rsidR="00A62F88" w:rsidRPr="00E57C20">
        <w:rPr>
          <w:rFonts w:ascii="Times New Roman" w:eastAsiaTheme="minorEastAsia" w:hAnsi="Times New Roman" w:cs="Times New Roman"/>
        </w:rPr>
        <w:t xml:space="preserve"> is the </w:t>
      </w:r>
      <w:r w:rsidR="00A62F88" w:rsidRPr="00E57C20">
        <w:rPr>
          <w:rFonts w:ascii="Times New Roman" w:eastAsiaTheme="minorEastAsia" w:hAnsi="Times New Roman" w:cs="Times New Roman"/>
          <w:i/>
        </w:rPr>
        <w:t>y</w:t>
      </w:r>
      <w:r w:rsidR="00A62F88" w:rsidRPr="00AF6A51">
        <w:rPr>
          <w:rFonts w:ascii="Times New Roman" w:eastAsiaTheme="minorEastAsia" w:hAnsi="Times New Roman" w:cs="Times New Roman"/>
        </w:rPr>
        <w:t xml:space="preserve"> coordinate of location </w:t>
      </w:r>
      <w:r w:rsidR="00A62F88" w:rsidRPr="00AF6A51">
        <w:rPr>
          <w:rFonts w:ascii="Times New Roman" w:eastAsiaTheme="minorEastAsia" w:hAnsi="Times New Roman" w:cs="Times New Roman"/>
          <w:i/>
        </w:rPr>
        <w:t>s</w:t>
      </w:r>
      <w:r w:rsidR="00A62F88" w:rsidRPr="00AF6A51">
        <w:rPr>
          <w:rFonts w:ascii="Times New Roman" w:hAnsi="Times New Roman" w:cs="Times New Roman"/>
        </w:rPr>
        <w:t>)</w:t>
      </w:r>
      <w:r w:rsidR="00032B0B" w:rsidRPr="00AF6A51">
        <w:rPr>
          <w:rFonts w:ascii="Times New Roman" w:hAnsi="Times New Roman" w:cs="Times New Roman"/>
        </w:rPr>
        <w:t>.</w:t>
      </w:r>
      <w:r w:rsidR="00D4616B" w:rsidRPr="00AF6A51">
        <w:rPr>
          <w:rFonts w:ascii="Times New Roman" w:hAnsi="Times New Roman" w:cs="Times New Roman"/>
        </w:rPr>
        <w:t xml:space="preserve"> </w:t>
      </w:r>
      <w:r w:rsidR="00405D00">
        <w:rPr>
          <w:rFonts w:ascii="Times New Roman" w:hAnsi="Times New Roman" w:cs="Times New Roman"/>
        </w:rPr>
        <w:t xml:space="preserve">We use the mean predicted density over </w:t>
      </w:r>
      <w:r w:rsidR="00292122">
        <w:rPr>
          <w:rFonts w:ascii="Times New Roman" w:hAnsi="Times New Roman" w:cs="Times New Roman"/>
        </w:rPr>
        <w:t>time</w:t>
      </w:r>
      <w:r w:rsidR="00405D00">
        <w:rPr>
          <w:rFonts w:ascii="Times New Roman" w:hAnsi="Times New Roman" w:cs="Times New Roman"/>
        </w:rPr>
        <w:t xml:space="preserve"> as </w:t>
      </w:r>
      <w:r w:rsidR="00292122">
        <w:rPr>
          <w:rFonts w:ascii="Times New Roman" w:hAnsi="Times New Roman" w:cs="Times New Roman"/>
        </w:rPr>
        <w:t xml:space="preserve">a </w:t>
      </w:r>
      <w:r w:rsidR="005408A0">
        <w:rPr>
          <w:rFonts w:ascii="Times New Roman" w:hAnsi="Times New Roman" w:cs="Times New Roman"/>
        </w:rPr>
        <w:t xml:space="preserve">benchmark </w:t>
      </w:r>
      <w:r w:rsidR="005408A0" w:rsidRPr="00292122">
        <w:rPr>
          <w:rFonts w:ascii="Times New Roman" w:hAnsi="Times New Roman" w:cs="Times New Roman"/>
        </w:rPr>
        <w:t xml:space="preserve">for </w:t>
      </w:r>
      <w:r w:rsidR="005408A0">
        <w:rPr>
          <w:rFonts w:ascii="Times New Roman" w:hAnsi="Times New Roman" w:cs="Times New Roman"/>
        </w:rPr>
        <w:t>describing</w:t>
      </w:r>
      <w:r w:rsidR="005408A0" w:rsidRPr="00292122">
        <w:rPr>
          <w:rFonts w:ascii="Times New Roman" w:hAnsi="Times New Roman" w:cs="Times New Roman"/>
        </w:rPr>
        <w:t xml:space="preserve"> how </w:t>
      </w:r>
      <w:r w:rsidR="005408A0">
        <w:rPr>
          <w:rFonts w:ascii="Times New Roman" w:hAnsi="Times New Roman" w:cs="Times New Roman"/>
        </w:rPr>
        <w:t xml:space="preserve">species’ </w:t>
      </w:r>
      <w:r w:rsidR="005408A0" w:rsidRPr="00292122">
        <w:rPr>
          <w:rFonts w:ascii="Times New Roman" w:hAnsi="Times New Roman" w:cs="Times New Roman"/>
        </w:rPr>
        <w:t xml:space="preserve">distributions change </w:t>
      </w:r>
      <w:r w:rsidR="005408A0">
        <w:rPr>
          <w:rFonts w:ascii="Times New Roman" w:hAnsi="Times New Roman" w:cs="Times New Roman"/>
        </w:rPr>
        <w:t xml:space="preserve">because this can be interpreted </w:t>
      </w:r>
      <w:r w:rsidR="00292122" w:rsidRPr="00292122">
        <w:rPr>
          <w:rFonts w:ascii="Times New Roman" w:hAnsi="Times New Roman" w:cs="Times New Roman"/>
        </w:rPr>
        <w:t xml:space="preserve">as </w:t>
      </w:r>
      <w:r w:rsidR="005408A0">
        <w:rPr>
          <w:rFonts w:ascii="Times New Roman" w:hAnsi="Times New Roman" w:cs="Times New Roman"/>
        </w:rPr>
        <w:t>a “weight” on the local trend, where the product of the two defines the absolute magnitude of the change in density over time.</w:t>
      </w:r>
    </w:p>
    <w:p w14:paraId="43D39E36" w14:textId="0673BE39" w:rsidR="002D6DFC" w:rsidRPr="00E57C20" w:rsidRDefault="005A551D" w:rsidP="006D07CD">
      <w:pPr>
        <w:pStyle w:val="Bibliography"/>
        <w:spacing w:after="120" w:line="480" w:lineRule="auto"/>
        <w:ind w:left="0" w:firstLine="720"/>
        <w:rPr>
          <w:rFonts w:ascii="Times New Roman" w:hAnsi="Times New Roman" w:cs="Times New Roman"/>
        </w:rPr>
      </w:pPr>
      <w:r>
        <w:rPr>
          <w:rFonts w:ascii="Times New Roman" w:hAnsi="Times New Roman" w:cs="Times New Roman"/>
        </w:rPr>
        <w:t>W</w:t>
      </w:r>
      <w:r w:rsidR="00D4616B" w:rsidRPr="00AF6A51">
        <w:rPr>
          <w:rFonts w:ascii="Times New Roman" w:hAnsi="Times New Roman" w:cs="Times New Roman"/>
        </w:rPr>
        <w:t>e evaluate</w:t>
      </w:r>
      <w:r w:rsidR="0007109D" w:rsidRPr="00AF6A51">
        <w:rPr>
          <w:rFonts w:ascii="Times New Roman" w:hAnsi="Times New Roman" w:cs="Times New Roman"/>
        </w:rPr>
        <w:t>d</w:t>
      </w:r>
      <w:r w:rsidR="00D4616B" w:rsidRPr="00AF6A51">
        <w:rPr>
          <w:rFonts w:ascii="Times New Roman" w:hAnsi="Times New Roman" w:cs="Times New Roman"/>
        </w:rPr>
        <w:t xml:space="preserve"> whether </w:t>
      </w:r>
      <w:r w:rsidR="00C25EE2" w:rsidRPr="00AF6A51">
        <w:rPr>
          <w:rFonts w:ascii="Times New Roman" w:hAnsi="Times New Roman" w:cs="Times New Roman"/>
        </w:rPr>
        <w:t>local trend</w:t>
      </w:r>
      <w:r w:rsidR="0089470C" w:rsidRPr="00AF6A51">
        <w:rPr>
          <w:rFonts w:ascii="Times New Roman" w:hAnsi="Times New Roman" w:cs="Times New Roman"/>
        </w:rPr>
        <w:t xml:space="preserve"> estimates from our model can be used to identify discrete areas of change</w:t>
      </w:r>
      <w:r w:rsidR="00D4616B" w:rsidRPr="00AF6A51">
        <w:rPr>
          <w:rFonts w:ascii="Times New Roman" w:hAnsi="Times New Roman" w:cs="Times New Roman"/>
        </w:rPr>
        <w:t xml:space="preserve"> that may reflect stock structure</w:t>
      </w:r>
      <w:r w:rsidR="0089470C" w:rsidRPr="00AF6A51">
        <w:rPr>
          <w:rFonts w:ascii="Times New Roman" w:hAnsi="Times New Roman" w:cs="Times New Roman"/>
        </w:rPr>
        <w:t>. One approach</w:t>
      </w:r>
      <w:r w:rsidR="002834BD">
        <w:rPr>
          <w:rFonts w:ascii="Times New Roman" w:hAnsi="Times New Roman" w:cs="Times New Roman"/>
        </w:rPr>
        <w:t xml:space="preserve"> among many possible options</w:t>
      </w:r>
      <w:r w:rsidR="0089470C" w:rsidRPr="00AF6A51">
        <w:rPr>
          <w:rFonts w:ascii="Times New Roman" w:hAnsi="Times New Roman" w:cs="Times New Roman"/>
        </w:rPr>
        <w:t xml:space="preserve"> for doing this is to apply post-hoc cluster analyses to model outputs or covariates; for our </w:t>
      </w:r>
      <w:proofErr w:type="spellStart"/>
      <w:r w:rsidR="0089470C" w:rsidRPr="00AF6A51">
        <w:rPr>
          <w:rFonts w:ascii="Times New Roman" w:hAnsi="Times New Roman" w:cs="Times New Roman"/>
        </w:rPr>
        <w:t>groundfish</w:t>
      </w:r>
      <w:proofErr w:type="spellEnd"/>
      <w:r w:rsidR="0089470C" w:rsidRPr="00AF6A51">
        <w:rPr>
          <w:rFonts w:ascii="Times New Roman" w:hAnsi="Times New Roman" w:cs="Times New Roman"/>
        </w:rPr>
        <w:t xml:space="preserve"> application, we </w:t>
      </w:r>
      <w:r w:rsidR="00E14054" w:rsidRPr="00AF6A51">
        <w:rPr>
          <w:rFonts w:ascii="Times New Roman" w:hAnsi="Times New Roman" w:cs="Times New Roman"/>
        </w:rPr>
        <w:t xml:space="preserve">used the partitioning around </w:t>
      </w:r>
      <w:proofErr w:type="spellStart"/>
      <w:r w:rsidR="00E14054" w:rsidRPr="00AF6A51">
        <w:rPr>
          <w:rFonts w:ascii="Times New Roman" w:hAnsi="Times New Roman" w:cs="Times New Roman"/>
        </w:rPr>
        <w:t>medo</w:t>
      </w:r>
      <w:r w:rsidR="0007109D" w:rsidRPr="00AF6A51">
        <w:rPr>
          <w:rFonts w:ascii="Times New Roman" w:hAnsi="Times New Roman" w:cs="Times New Roman"/>
        </w:rPr>
        <w:t>i</w:t>
      </w:r>
      <w:r w:rsidR="00E14054" w:rsidRPr="00AF6A51">
        <w:rPr>
          <w:rFonts w:ascii="Times New Roman" w:hAnsi="Times New Roman" w:cs="Times New Roman"/>
        </w:rPr>
        <w:t>ds</w:t>
      </w:r>
      <w:proofErr w:type="spellEnd"/>
      <w:r w:rsidR="00E14054" w:rsidRPr="00AF6A51">
        <w:rPr>
          <w:rFonts w:ascii="Times New Roman" w:hAnsi="Times New Roman" w:cs="Times New Roman"/>
        </w:rPr>
        <w:t xml:space="preserve"> </w:t>
      </w:r>
      <w:r w:rsidR="005B0DAC" w:rsidRPr="00AF6A51">
        <w:rPr>
          <w:rFonts w:ascii="Times New Roman" w:hAnsi="Times New Roman" w:cs="Times New Roman"/>
        </w:rPr>
        <w:t xml:space="preserve">(PAM) </w:t>
      </w:r>
      <w:r w:rsidR="00E14054" w:rsidRPr="00AF6A51">
        <w:rPr>
          <w:rFonts w:ascii="Times New Roman" w:hAnsi="Times New Roman" w:cs="Times New Roman"/>
        </w:rPr>
        <w:t>algorithm</w:t>
      </w:r>
      <w:r w:rsidR="008D64D9" w:rsidRPr="00AF6A51">
        <w:rPr>
          <w:rFonts w:ascii="Times New Roman" w:hAnsi="Times New Roman" w:cs="Times New Roman"/>
        </w:rPr>
        <w:t xml:space="preserve"> with estimation of the number of clusters</w:t>
      </w:r>
      <w:r w:rsidR="00106AF8" w:rsidRPr="00AF6A51">
        <w:rPr>
          <w:rFonts w:ascii="Times New Roman" w:hAnsi="Times New Roman" w:cs="Times New Roman"/>
        </w:rPr>
        <w:t xml:space="preserve"> </w:t>
      </w:r>
      <w:r w:rsidR="00FF2FC3">
        <w:rPr>
          <w:rFonts w:ascii="Times New Roman" w:hAnsi="Times New Roman" w:cs="Times New Roman"/>
        </w:rPr>
        <w:t xml:space="preserve">to demonstrate a possible framework for boundary detection to be used with other system information to define appropriate spatial scales for summarizing monitoring data </w:t>
      </w:r>
      <w:r w:rsidR="00A01347" w:rsidRPr="00A01347">
        <w:rPr>
          <w:rFonts w:ascii="Times New Roman" w:hAnsi="Times New Roman" w:cs="Times New Roman"/>
        </w:rPr>
        <w:t>(implemented with R packages “</w:t>
      </w:r>
      <w:proofErr w:type="spellStart"/>
      <w:r w:rsidR="00A01347" w:rsidRPr="00A01347">
        <w:rPr>
          <w:rFonts w:ascii="Times New Roman" w:hAnsi="Times New Roman" w:cs="Times New Roman"/>
        </w:rPr>
        <w:t>fpc</w:t>
      </w:r>
      <w:proofErr w:type="spellEnd"/>
      <w:r w:rsidR="00A01347" w:rsidRPr="00A01347">
        <w:rPr>
          <w:rFonts w:ascii="Times New Roman" w:hAnsi="Times New Roman" w:cs="Times New Roman"/>
        </w:rPr>
        <w:t xml:space="preserve">” and “cluster”, </w:t>
      </w:r>
      <w:proofErr w:type="spellStart"/>
      <w:r w:rsidR="00A01347" w:rsidRPr="00A01347">
        <w:rPr>
          <w:rFonts w:ascii="Times New Roman" w:hAnsi="Times New Roman" w:cs="Times New Roman"/>
        </w:rPr>
        <w:t>Hennig</w:t>
      </w:r>
      <w:proofErr w:type="spellEnd"/>
      <w:r w:rsidR="00A01347" w:rsidRPr="00A01347">
        <w:rPr>
          <w:rFonts w:ascii="Times New Roman" w:hAnsi="Times New Roman" w:cs="Times New Roman"/>
        </w:rPr>
        <w:t xml:space="preserve"> 2019, </w:t>
      </w:r>
      <w:proofErr w:type="spellStart"/>
      <w:r w:rsidR="00A01347" w:rsidRPr="00A01347">
        <w:rPr>
          <w:rFonts w:ascii="Times New Roman" w:hAnsi="Times New Roman" w:cs="Times New Roman"/>
        </w:rPr>
        <w:t>Maechler</w:t>
      </w:r>
      <w:proofErr w:type="spellEnd"/>
      <w:r w:rsidR="00A01347" w:rsidRPr="00A01347">
        <w:rPr>
          <w:rFonts w:ascii="Times New Roman" w:hAnsi="Times New Roman" w:cs="Times New Roman"/>
        </w:rPr>
        <w:t xml:space="preserve"> et al. 2019)</w:t>
      </w:r>
      <w:r w:rsidR="0089470C" w:rsidRPr="00E57C20">
        <w:rPr>
          <w:rFonts w:ascii="Times New Roman" w:hAnsi="Times New Roman" w:cs="Times New Roman"/>
        </w:rPr>
        <w:t xml:space="preserve">. </w:t>
      </w:r>
      <w:r w:rsidR="006B08B7" w:rsidRPr="00E57C20">
        <w:rPr>
          <w:rFonts w:ascii="Times New Roman" w:hAnsi="Times New Roman" w:cs="Times New Roman"/>
        </w:rPr>
        <w:t xml:space="preserve">PAM is a robust clustering algorithm that minimizes the sum of </w:t>
      </w:r>
      <w:r w:rsidR="002463AD" w:rsidRPr="00AF6A51">
        <w:rPr>
          <w:rFonts w:ascii="Times New Roman" w:hAnsi="Times New Roman" w:cs="Times New Roman"/>
        </w:rPr>
        <w:t xml:space="preserve">Euclidean </w:t>
      </w:r>
      <w:r w:rsidR="006B08B7" w:rsidRPr="00AF6A51">
        <w:rPr>
          <w:rFonts w:ascii="Times New Roman" w:hAnsi="Times New Roman" w:cs="Times New Roman"/>
        </w:rPr>
        <w:t>dissimilarities</w:t>
      </w:r>
      <w:r w:rsidR="002463AD" w:rsidRPr="00AF6A51">
        <w:rPr>
          <w:rFonts w:ascii="Times New Roman" w:hAnsi="Times New Roman" w:cs="Times New Roman"/>
        </w:rPr>
        <w:t xml:space="preserve"> (root of sum-of-squares of differences</w:t>
      </w:r>
      <w:r w:rsidR="00A12419" w:rsidRPr="00AF6A51">
        <w:rPr>
          <w:rFonts w:ascii="Times New Roman" w:hAnsi="Times New Roman" w:cs="Times New Roman"/>
        </w:rPr>
        <w:t>) between observations and cluster values</w:t>
      </w:r>
      <w:r w:rsidR="001E0AAE" w:rsidRPr="00AF6A51">
        <w:rPr>
          <w:rFonts w:ascii="Times New Roman" w:hAnsi="Times New Roman" w:cs="Times New Roman"/>
        </w:rPr>
        <w:t xml:space="preserve"> </w:t>
      </w:r>
      <w:r w:rsidR="00A01347" w:rsidRPr="00A01347">
        <w:rPr>
          <w:rFonts w:ascii="Times New Roman" w:hAnsi="Times New Roman" w:cs="Times New Roman"/>
        </w:rPr>
        <w:lastRenderedPageBreak/>
        <w:t xml:space="preserve">(Reynolds et al. 2006, Kaufman and </w:t>
      </w:r>
      <w:proofErr w:type="spellStart"/>
      <w:r w:rsidR="00A01347" w:rsidRPr="00A01347">
        <w:rPr>
          <w:rFonts w:ascii="Times New Roman" w:hAnsi="Times New Roman" w:cs="Times New Roman"/>
        </w:rPr>
        <w:t>Rousseeuw</w:t>
      </w:r>
      <w:proofErr w:type="spellEnd"/>
      <w:r w:rsidR="00A01347" w:rsidRPr="00A01347">
        <w:rPr>
          <w:rFonts w:ascii="Times New Roman" w:hAnsi="Times New Roman" w:cs="Times New Roman"/>
        </w:rPr>
        <w:t xml:space="preserve"> 2009)</w:t>
      </w:r>
      <w:r w:rsidR="006B08B7" w:rsidRPr="00E57C20">
        <w:rPr>
          <w:rFonts w:ascii="Times New Roman" w:hAnsi="Times New Roman" w:cs="Times New Roman"/>
        </w:rPr>
        <w:t xml:space="preserve">. </w:t>
      </w:r>
      <w:r w:rsidR="005B0DAC" w:rsidRPr="00E57C20">
        <w:rPr>
          <w:rFonts w:ascii="Times New Roman" w:hAnsi="Times New Roman" w:cs="Times New Roman"/>
        </w:rPr>
        <w:t>We used l</w:t>
      </w:r>
      <w:r w:rsidR="0089470C" w:rsidRPr="00E57C20">
        <w:rPr>
          <w:rFonts w:ascii="Times New Roman" w:hAnsi="Times New Roman" w:cs="Times New Roman"/>
        </w:rPr>
        <w:t xml:space="preserve">atitude and the predicted </w:t>
      </w:r>
      <w:r w:rsidR="00087449" w:rsidRPr="00AF6A51">
        <w:rPr>
          <w:rFonts w:ascii="Times New Roman" w:hAnsi="Times New Roman" w:cs="Times New Roman"/>
        </w:rPr>
        <w:t>local trend</w:t>
      </w:r>
      <w:r w:rsidR="0089470C" w:rsidRPr="00AF6A51">
        <w:rPr>
          <w:rFonts w:ascii="Times New Roman" w:hAnsi="Times New Roman" w:cs="Times New Roman"/>
        </w:rPr>
        <w:t xml:space="preserve">s as clustering variables </w:t>
      </w:r>
      <w:r w:rsidR="00E14054" w:rsidRPr="00AF6A51">
        <w:rPr>
          <w:rFonts w:ascii="Times New Roman" w:hAnsi="Times New Roman" w:cs="Times New Roman"/>
        </w:rPr>
        <w:t>given that the majority of the contrast in dynamics along the U</w:t>
      </w:r>
      <w:r w:rsidR="00234BE8" w:rsidRPr="00AF6A51">
        <w:rPr>
          <w:rFonts w:ascii="Times New Roman" w:hAnsi="Times New Roman" w:cs="Times New Roman"/>
        </w:rPr>
        <w:t>S</w:t>
      </w:r>
      <w:r w:rsidR="00E14054" w:rsidRPr="00AF6A51">
        <w:rPr>
          <w:rFonts w:ascii="Times New Roman" w:hAnsi="Times New Roman" w:cs="Times New Roman"/>
        </w:rPr>
        <w:t xml:space="preserve"> </w:t>
      </w:r>
      <w:r w:rsidR="003C4531">
        <w:rPr>
          <w:rFonts w:ascii="Times New Roman" w:hAnsi="Times New Roman" w:cs="Times New Roman"/>
        </w:rPr>
        <w:t>west coast</w:t>
      </w:r>
      <w:r w:rsidR="00E14054" w:rsidRPr="00AF6A51">
        <w:rPr>
          <w:rFonts w:ascii="Times New Roman" w:hAnsi="Times New Roman" w:cs="Times New Roman"/>
        </w:rPr>
        <w:t xml:space="preserve"> is in the latitudinal direction. </w:t>
      </w:r>
      <w:r w:rsidR="00373951" w:rsidRPr="00AF6A51">
        <w:rPr>
          <w:rFonts w:ascii="Times New Roman" w:hAnsi="Times New Roman" w:cs="Times New Roman"/>
        </w:rPr>
        <w:t>For other applications, additional</w:t>
      </w:r>
      <w:r w:rsidR="00E14054" w:rsidRPr="00AF6A51">
        <w:rPr>
          <w:rFonts w:ascii="Times New Roman" w:hAnsi="Times New Roman" w:cs="Times New Roman"/>
        </w:rPr>
        <w:t xml:space="preserve"> metrics could also be included in clustering including </w:t>
      </w:r>
      <w:r w:rsidR="00186508" w:rsidRPr="00AF6A51">
        <w:rPr>
          <w:rFonts w:ascii="Times New Roman" w:hAnsi="Times New Roman" w:cs="Times New Roman"/>
        </w:rPr>
        <w:t xml:space="preserve">longitude, </w:t>
      </w:r>
      <w:r w:rsidR="00E14054" w:rsidRPr="00AF6A51">
        <w:rPr>
          <w:rFonts w:ascii="Times New Roman" w:hAnsi="Times New Roman" w:cs="Times New Roman"/>
        </w:rPr>
        <w:t xml:space="preserve">habitat features, </w:t>
      </w:r>
      <w:r w:rsidR="00186508" w:rsidRPr="00AF6A51">
        <w:rPr>
          <w:rFonts w:ascii="Times New Roman" w:hAnsi="Times New Roman" w:cs="Times New Roman"/>
        </w:rPr>
        <w:t>environmental covariates, or hum</w:t>
      </w:r>
      <w:r w:rsidR="00E81ACF" w:rsidRPr="00AF6A51">
        <w:rPr>
          <w:rFonts w:ascii="Times New Roman" w:hAnsi="Times New Roman" w:cs="Times New Roman"/>
        </w:rPr>
        <w:t xml:space="preserve">an impacts such as </w:t>
      </w:r>
      <w:r w:rsidR="0089470C" w:rsidRPr="00AF6A51">
        <w:rPr>
          <w:rFonts w:ascii="Times New Roman" w:hAnsi="Times New Roman" w:cs="Times New Roman"/>
        </w:rPr>
        <w:t xml:space="preserve">fisheries </w:t>
      </w:r>
      <w:r w:rsidR="00E81ACF" w:rsidRPr="00AF6A51">
        <w:rPr>
          <w:rFonts w:ascii="Times New Roman" w:hAnsi="Times New Roman" w:cs="Times New Roman"/>
        </w:rPr>
        <w:t>removals.</w:t>
      </w:r>
      <w:r w:rsidR="009534B5" w:rsidRPr="00AF6A51">
        <w:rPr>
          <w:rFonts w:ascii="Times New Roman" w:hAnsi="Times New Roman" w:cs="Times New Roman"/>
        </w:rPr>
        <w:t xml:space="preserve"> We chose the number of clusters </w:t>
      </w:r>
      <w:r w:rsidR="008D2423" w:rsidRPr="00AF6A51">
        <w:rPr>
          <w:rFonts w:ascii="Times New Roman" w:hAnsi="Times New Roman" w:cs="Times New Roman"/>
        </w:rPr>
        <w:t xml:space="preserve">(constrained between </w:t>
      </w:r>
      <w:r>
        <w:rPr>
          <w:rFonts w:ascii="Times New Roman" w:hAnsi="Times New Roman" w:cs="Times New Roman"/>
        </w:rPr>
        <w:t>1</w:t>
      </w:r>
      <w:r w:rsidRPr="00AF6A51">
        <w:rPr>
          <w:rFonts w:ascii="Times New Roman" w:hAnsi="Times New Roman" w:cs="Times New Roman"/>
        </w:rPr>
        <w:t xml:space="preserve"> </w:t>
      </w:r>
      <w:r w:rsidR="008D2423" w:rsidRPr="00AF6A51">
        <w:rPr>
          <w:rFonts w:ascii="Times New Roman" w:hAnsi="Times New Roman" w:cs="Times New Roman"/>
        </w:rPr>
        <w:t xml:space="preserve">and 10) </w:t>
      </w:r>
      <w:r w:rsidR="00DE4D0D" w:rsidRPr="00AF6A51">
        <w:rPr>
          <w:rFonts w:ascii="Times New Roman" w:hAnsi="Times New Roman" w:cs="Times New Roman"/>
        </w:rPr>
        <w:t xml:space="preserve">that </w:t>
      </w:r>
      <w:r w:rsidR="00E95A46" w:rsidRPr="00AF6A51">
        <w:rPr>
          <w:rFonts w:ascii="Times New Roman" w:hAnsi="Times New Roman" w:cs="Times New Roman"/>
        </w:rPr>
        <w:t>maximized</w:t>
      </w:r>
      <w:r w:rsidR="00DE4D0D" w:rsidRPr="00AF6A51">
        <w:rPr>
          <w:rFonts w:ascii="Times New Roman" w:hAnsi="Times New Roman" w:cs="Times New Roman"/>
        </w:rPr>
        <w:t xml:space="preserve"> the average silhouette width</w:t>
      </w:r>
      <w:r w:rsidR="00E95A46" w:rsidRPr="00AF6A51">
        <w:rPr>
          <w:rFonts w:ascii="Times New Roman" w:hAnsi="Times New Roman" w:cs="Times New Roman"/>
        </w:rPr>
        <w:t xml:space="preserve"> across all predictions for a given species </w:t>
      </w:r>
      <w:r w:rsidR="00A01347" w:rsidRPr="00A01347">
        <w:rPr>
          <w:rFonts w:ascii="Times New Roman" w:hAnsi="Times New Roman" w:cs="Times New Roman"/>
        </w:rPr>
        <w:t xml:space="preserve">(Kaufman and </w:t>
      </w:r>
      <w:proofErr w:type="spellStart"/>
      <w:r w:rsidR="00A01347" w:rsidRPr="00A01347">
        <w:rPr>
          <w:rFonts w:ascii="Times New Roman" w:hAnsi="Times New Roman" w:cs="Times New Roman"/>
        </w:rPr>
        <w:t>Rousseeuw</w:t>
      </w:r>
      <w:proofErr w:type="spellEnd"/>
      <w:r w:rsidR="00A01347" w:rsidRPr="00A01347">
        <w:rPr>
          <w:rFonts w:ascii="Times New Roman" w:hAnsi="Times New Roman" w:cs="Times New Roman"/>
        </w:rPr>
        <w:t xml:space="preserve"> 2009)</w:t>
      </w:r>
      <w:r w:rsidR="00DE4D0D" w:rsidRPr="00E57C20">
        <w:rPr>
          <w:rFonts w:ascii="Times New Roman" w:hAnsi="Times New Roman" w:cs="Times New Roman"/>
        </w:rPr>
        <w:t>.</w:t>
      </w:r>
      <w:r w:rsidR="00C047E1" w:rsidRPr="00C2183A">
        <w:rPr>
          <w:rFonts w:ascii="Times New Roman" w:eastAsia="Times New Roman" w:hAnsi="Times New Roman" w:cs="Times New Roman"/>
        </w:rPr>
        <w:t xml:space="preserve"> </w:t>
      </w:r>
      <w:r w:rsidR="00C047E1" w:rsidRPr="00C2183A">
        <w:rPr>
          <w:rFonts w:ascii="Times New Roman" w:hAnsi="Times New Roman" w:cs="Times New Roman"/>
        </w:rPr>
        <w:t>Code and data necessary to replicate all above analyses are included in the repository for this project (</w:t>
      </w:r>
      <w:hyperlink r:id="rId9" w:history="1">
        <w:r w:rsidR="00C047E1" w:rsidRPr="00C2183A">
          <w:rPr>
            <w:rStyle w:val="Hyperlink"/>
            <w:rFonts w:ascii="Times New Roman" w:hAnsi="Times New Roman" w:cs="Times New Roman"/>
          </w:rPr>
          <w:t>https://github.com/fate-spatialindicators/spatial-trend</w:t>
        </w:r>
      </w:hyperlink>
      <w:r w:rsidR="00C047E1" w:rsidRPr="00C2183A">
        <w:rPr>
          <w:rFonts w:ascii="Times New Roman" w:hAnsi="Times New Roman" w:cs="Times New Roman"/>
        </w:rPr>
        <w:t>).</w:t>
      </w:r>
    </w:p>
    <w:p w14:paraId="2E55AA28" w14:textId="77777777" w:rsidR="00C86EB2" w:rsidRPr="00FD7147" w:rsidRDefault="00C86EB2" w:rsidP="00D26510">
      <w:pPr>
        <w:spacing w:after="120" w:line="480" w:lineRule="auto"/>
        <w:rPr>
          <w:b/>
          <w:lang w:val="en-US"/>
        </w:rPr>
      </w:pPr>
    </w:p>
    <w:p w14:paraId="24CE921F" w14:textId="226596C4" w:rsidR="00454BC9" w:rsidRPr="00FD7147" w:rsidRDefault="00454BC9" w:rsidP="00D26510">
      <w:pPr>
        <w:spacing w:after="120" w:line="480" w:lineRule="auto"/>
        <w:rPr>
          <w:b/>
          <w:lang w:val="en-US"/>
        </w:rPr>
      </w:pPr>
      <w:r w:rsidRPr="00FD7147">
        <w:rPr>
          <w:b/>
          <w:lang w:val="en-US"/>
        </w:rPr>
        <w:t>Results</w:t>
      </w:r>
    </w:p>
    <w:p w14:paraId="23C86FED" w14:textId="77777777" w:rsidR="00454BC9" w:rsidRPr="00FD7147" w:rsidRDefault="00454BC9" w:rsidP="00D26510">
      <w:pPr>
        <w:spacing w:after="120" w:line="480" w:lineRule="auto"/>
        <w:rPr>
          <w:i/>
          <w:lang w:val="en-US"/>
        </w:rPr>
      </w:pPr>
      <w:r w:rsidRPr="00FD7147">
        <w:rPr>
          <w:i/>
          <w:lang w:val="en-US"/>
        </w:rPr>
        <w:t>Simulation testing</w:t>
      </w:r>
    </w:p>
    <w:p w14:paraId="0B7B6907" w14:textId="3EF72410" w:rsidR="00454BC9" w:rsidRPr="00FD7147" w:rsidRDefault="001F7F7D" w:rsidP="00D26510">
      <w:pPr>
        <w:spacing w:after="120" w:line="480" w:lineRule="auto"/>
        <w:rPr>
          <w:lang w:val="en-US"/>
        </w:rPr>
      </w:pPr>
      <w:r w:rsidRPr="00FD7147">
        <w:rPr>
          <w:lang w:val="en-US"/>
        </w:rPr>
        <w:t>Results from our simulation indicated that</w:t>
      </w:r>
      <w:r w:rsidR="00D234E0" w:rsidRPr="00FD7147">
        <w:rPr>
          <w:lang w:val="en-US"/>
        </w:rPr>
        <w:t>,</w:t>
      </w:r>
      <w:r w:rsidRPr="00FD7147">
        <w:rPr>
          <w:lang w:val="en-US"/>
        </w:rPr>
        <w:t xml:space="preserve"> as expected, both observation error variation and spatiotemporal variation degraded our ability to estimate the true </w:t>
      </w:r>
      <w:r w:rsidR="00087449" w:rsidRPr="00FD7147">
        <w:rPr>
          <w:lang w:val="en-US"/>
        </w:rPr>
        <w:t>local trend</w:t>
      </w:r>
      <w:r w:rsidRPr="00FD7147">
        <w:rPr>
          <w:lang w:val="en-US"/>
        </w:rPr>
        <w:t xml:space="preserve"> (Fig. </w:t>
      </w:r>
      <w:r w:rsidR="00246658" w:rsidRPr="00FD7147">
        <w:rPr>
          <w:lang w:val="en-US"/>
        </w:rPr>
        <w:t>3</w:t>
      </w:r>
      <w:r w:rsidRPr="00FD7147">
        <w:rPr>
          <w:lang w:val="en-US"/>
        </w:rPr>
        <w:t xml:space="preserve">). When both variance parameters </w:t>
      </w:r>
      <w:r w:rsidR="00B32181">
        <w:rPr>
          <w:lang w:val="en-US"/>
        </w:rPr>
        <w:t>were</w:t>
      </w:r>
      <w:r w:rsidR="00B32181" w:rsidRPr="00FD7147">
        <w:rPr>
          <w:lang w:val="en-US"/>
        </w:rPr>
        <w:t xml:space="preserve"> </w:t>
      </w:r>
      <w:r w:rsidRPr="00FD7147">
        <w:rPr>
          <w:lang w:val="en-US"/>
        </w:rPr>
        <w:t xml:space="preserve">small, estimates </w:t>
      </w:r>
      <w:r w:rsidR="00B32181">
        <w:rPr>
          <w:lang w:val="en-US"/>
        </w:rPr>
        <w:t>were</w:t>
      </w:r>
      <w:r w:rsidR="00B32181" w:rsidRPr="00FD7147">
        <w:rPr>
          <w:lang w:val="en-US"/>
        </w:rPr>
        <w:t xml:space="preserve"> </w:t>
      </w:r>
      <w:r w:rsidRPr="00FD7147">
        <w:rPr>
          <w:lang w:val="en-US"/>
        </w:rPr>
        <w:t>precisely estimated and unbiased</w:t>
      </w:r>
      <w:r w:rsidR="00F613C1" w:rsidRPr="00FD7147">
        <w:rPr>
          <w:lang w:val="en-US"/>
        </w:rPr>
        <w:t>;</w:t>
      </w:r>
      <w:r w:rsidRPr="00FD7147">
        <w:rPr>
          <w:lang w:val="en-US"/>
        </w:rPr>
        <w:t xml:space="preserve"> however</w:t>
      </w:r>
      <w:r w:rsidR="00F613C1" w:rsidRPr="00FD7147">
        <w:rPr>
          <w:lang w:val="en-US"/>
        </w:rPr>
        <w:t>,</w:t>
      </w:r>
      <w:r w:rsidRPr="00FD7147">
        <w:rPr>
          <w:lang w:val="en-US"/>
        </w:rPr>
        <w:t xml:space="preserve"> large values of either </w:t>
      </w:r>
      <w:r w:rsidR="007D0BC4" w:rsidRPr="00FD7147">
        <w:rPr>
          <w:lang w:val="en-US"/>
        </w:rPr>
        <w:t>limit</w:t>
      </w:r>
      <w:r w:rsidR="00B32181">
        <w:rPr>
          <w:lang w:val="en-US"/>
        </w:rPr>
        <w:t>ed</w:t>
      </w:r>
      <w:r w:rsidR="007D0BC4" w:rsidRPr="00FD7147">
        <w:rPr>
          <w:lang w:val="en-US"/>
        </w:rPr>
        <w:t xml:space="preserve"> </w:t>
      </w:r>
      <w:r w:rsidRPr="00FD7147">
        <w:rPr>
          <w:lang w:val="en-US"/>
        </w:rPr>
        <w:t xml:space="preserve">the ability to recover the trend (Fig. </w:t>
      </w:r>
      <w:r w:rsidR="00246658" w:rsidRPr="00FD7147">
        <w:rPr>
          <w:lang w:val="en-US"/>
        </w:rPr>
        <w:t>3</w:t>
      </w:r>
      <w:r w:rsidRPr="00FD7147">
        <w:rPr>
          <w:lang w:val="en-US"/>
        </w:rPr>
        <w:t xml:space="preserve">). </w:t>
      </w:r>
      <w:r w:rsidR="00096F4A" w:rsidRPr="00FD7147">
        <w:rPr>
          <w:lang w:val="en-US"/>
        </w:rPr>
        <w:t>Results of further sensitivity analysis were also as expected</w:t>
      </w:r>
      <w:r w:rsidR="00FA2C87" w:rsidRPr="00FD7147">
        <w:rPr>
          <w:lang w:val="en-US"/>
        </w:rPr>
        <w:t xml:space="preserve"> (Fig. S2)</w:t>
      </w:r>
      <w:r w:rsidR="00096F4A" w:rsidRPr="00FD7147">
        <w:rPr>
          <w:lang w:val="en-US"/>
        </w:rPr>
        <w:t>, with spatial variation having no effect</w:t>
      </w:r>
      <w:r w:rsidR="00D53C0B" w:rsidRPr="00FD7147">
        <w:rPr>
          <w:lang w:val="en-US"/>
        </w:rPr>
        <w:t xml:space="preserve"> on local trend estimates, while estimates of the local trend were only poor when the variation of the local trend field was extremely low (i.e., the signal was barely present</w:t>
      </w:r>
      <w:r w:rsidR="00D711E2" w:rsidRPr="00FD7147">
        <w:rPr>
          <w:lang w:val="en-US"/>
        </w:rPr>
        <w:t xml:space="preserve"> and obscured by variation in other components</w:t>
      </w:r>
      <w:r w:rsidR="00FA2C87" w:rsidRPr="00FD7147">
        <w:rPr>
          <w:lang w:val="en-US"/>
        </w:rPr>
        <w:t>, causing low correlation between estimated and true local trend</w:t>
      </w:r>
      <w:r w:rsidR="00B32181">
        <w:rPr>
          <w:lang w:val="en-US"/>
        </w:rPr>
        <w:t>s</w:t>
      </w:r>
      <w:r w:rsidR="00FA2C87" w:rsidRPr="00FD7147">
        <w:rPr>
          <w:lang w:val="en-US"/>
        </w:rPr>
        <w:t>; Fig. S2f</w:t>
      </w:r>
      <w:r w:rsidR="00D53C0B" w:rsidRPr="00FD7147">
        <w:rPr>
          <w:lang w:val="en-US"/>
        </w:rPr>
        <w:t>)</w:t>
      </w:r>
      <w:r w:rsidR="005A551D">
        <w:rPr>
          <w:lang w:val="en-US"/>
        </w:rPr>
        <w:t xml:space="preserve">. </w:t>
      </w:r>
      <w:r w:rsidR="00D711E2" w:rsidRPr="00FD7147">
        <w:rPr>
          <w:lang w:val="en-US"/>
        </w:rPr>
        <w:t xml:space="preserve">Furthermore, we found that the correct model (the model including the local trend) was easily distinguished by model selection using AIC except when </w:t>
      </w:r>
      <w:r w:rsidR="0043104E" w:rsidRPr="00FD7147">
        <w:rPr>
          <w:lang w:val="en-US"/>
        </w:rPr>
        <w:t>observation error or spatiotemporal variation was extremely high, or when the local trend variance was extremely low (Fig. S3).</w:t>
      </w:r>
    </w:p>
    <w:p w14:paraId="7D5F123F" w14:textId="77777777" w:rsidR="009F6418" w:rsidRPr="00FD7147" w:rsidRDefault="009F6418" w:rsidP="00D26510">
      <w:pPr>
        <w:spacing w:after="120" w:line="480" w:lineRule="auto"/>
        <w:rPr>
          <w:i/>
          <w:lang w:val="en-US"/>
        </w:rPr>
      </w:pPr>
    </w:p>
    <w:p w14:paraId="1878F4FB" w14:textId="4D1AD768" w:rsidR="00454BC9" w:rsidRPr="00FD7147" w:rsidRDefault="003C4531" w:rsidP="00D26510">
      <w:pPr>
        <w:keepNext/>
        <w:spacing w:after="120" w:line="480" w:lineRule="auto"/>
        <w:rPr>
          <w:i/>
          <w:lang w:val="en-US"/>
        </w:rPr>
      </w:pPr>
      <w:r>
        <w:rPr>
          <w:i/>
          <w:lang w:val="en-US"/>
        </w:rPr>
        <w:t>West coast</w:t>
      </w:r>
      <w:r w:rsidR="00454BC9" w:rsidRPr="00FD7147">
        <w:rPr>
          <w:i/>
          <w:lang w:val="en-US"/>
        </w:rPr>
        <w:t xml:space="preserve"> </w:t>
      </w:r>
      <w:proofErr w:type="spellStart"/>
      <w:r w:rsidR="00454BC9" w:rsidRPr="00FD7147">
        <w:rPr>
          <w:i/>
          <w:lang w:val="en-US"/>
        </w:rPr>
        <w:t>groundfish</w:t>
      </w:r>
      <w:proofErr w:type="spellEnd"/>
      <w:r w:rsidR="00454BC9" w:rsidRPr="00FD7147">
        <w:rPr>
          <w:i/>
          <w:lang w:val="en-US"/>
        </w:rPr>
        <w:t xml:space="preserve"> </w:t>
      </w:r>
      <w:r w:rsidR="0089470C" w:rsidRPr="00FD7147">
        <w:rPr>
          <w:i/>
          <w:lang w:val="en-US"/>
        </w:rPr>
        <w:t>application</w:t>
      </w:r>
    </w:p>
    <w:p w14:paraId="1BF5074F" w14:textId="4D1138B0" w:rsidR="005B5CB5" w:rsidRPr="00FD7147" w:rsidRDefault="00B21799" w:rsidP="00D26510">
      <w:pPr>
        <w:keepNext/>
        <w:spacing w:after="120" w:line="480" w:lineRule="auto"/>
        <w:rPr>
          <w:lang w:val="en-US"/>
        </w:rPr>
      </w:pPr>
      <w:r w:rsidRPr="00FD7147">
        <w:rPr>
          <w:lang w:val="en-US"/>
        </w:rPr>
        <w:t>Predictions of the spatially</w:t>
      </w:r>
      <w:r w:rsidR="00A04BCB" w:rsidRPr="00FD7147">
        <w:rPr>
          <w:lang w:val="en-US"/>
        </w:rPr>
        <w:t xml:space="preserve"> </w:t>
      </w:r>
      <w:r w:rsidRPr="00FD7147">
        <w:rPr>
          <w:lang w:val="en-US"/>
        </w:rPr>
        <w:t xml:space="preserve">explicit </w:t>
      </w:r>
      <w:r w:rsidR="00C25EE2" w:rsidRPr="00FD7147">
        <w:rPr>
          <w:lang w:val="en-US"/>
        </w:rPr>
        <w:t xml:space="preserve">temporal </w:t>
      </w:r>
      <w:r w:rsidRPr="00FD7147">
        <w:rPr>
          <w:lang w:val="en-US"/>
        </w:rPr>
        <w:t xml:space="preserve">trend from the </w:t>
      </w:r>
      <w:r w:rsidR="00C25EE2" w:rsidRPr="00FD7147">
        <w:rPr>
          <w:lang w:val="en-US"/>
        </w:rPr>
        <w:t xml:space="preserve">local </w:t>
      </w:r>
      <w:r w:rsidR="00306407" w:rsidRPr="00FD7147">
        <w:rPr>
          <w:lang w:val="en-US"/>
        </w:rPr>
        <w:t>trend model</w:t>
      </w:r>
      <w:r w:rsidR="0089470C" w:rsidRPr="00FD7147">
        <w:rPr>
          <w:lang w:val="en-US"/>
        </w:rPr>
        <w:t xml:space="preserve"> </w:t>
      </w:r>
      <w:r w:rsidRPr="00FD7147">
        <w:rPr>
          <w:lang w:val="en-US"/>
        </w:rPr>
        <w:t xml:space="preserve">revealed intricate fine-scale spatial structure and </w:t>
      </w:r>
      <w:r w:rsidR="0089470C" w:rsidRPr="00FD7147">
        <w:rPr>
          <w:lang w:val="en-US"/>
        </w:rPr>
        <w:t xml:space="preserve">rates of change of species in the </w:t>
      </w:r>
      <w:r w:rsidR="003C4531">
        <w:rPr>
          <w:lang w:val="en-US"/>
        </w:rPr>
        <w:t>west coast</w:t>
      </w:r>
      <w:r w:rsidRPr="00FD7147">
        <w:rPr>
          <w:lang w:val="en-US"/>
        </w:rPr>
        <w:t xml:space="preserve"> </w:t>
      </w:r>
      <w:proofErr w:type="spellStart"/>
      <w:r w:rsidRPr="00FD7147">
        <w:rPr>
          <w:lang w:val="en-US"/>
        </w:rPr>
        <w:t>groundfish</w:t>
      </w:r>
      <w:proofErr w:type="spellEnd"/>
      <w:r w:rsidRPr="00FD7147">
        <w:rPr>
          <w:lang w:val="en-US"/>
        </w:rPr>
        <w:t xml:space="preserve"> </w:t>
      </w:r>
      <w:r w:rsidR="0089470C" w:rsidRPr="00FD7147">
        <w:rPr>
          <w:lang w:val="en-US"/>
        </w:rPr>
        <w:t>community</w:t>
      </w:r>
      <w:r w:rsidRPr="00FD7147">
        <w:rPr>
          <w:lang w:val="en-US"/>
        </w:rPr>
        <w:t xml:space="preserve">. </w:t>
      </w:r>
      <w:r w:rsidR="0089470C" w:rsidRPr="00FD7147">
        <w:rPr>
          <w:lang w:val="en-US"/>
        </w:rPr>
        <w:t xml:space="preserve">Our cluster analysis of the estimated </w:t>
      </w:r>
      <w:r w:rsidR="00087449" w:rsidRPr="00FD7147">
        <w:rPr>
          <w:lang w:val="en-US"/>
        </w:rPr>
        <w:t>local trend</w:t>
      </w:r>
      <w:r w:rsidR="0089470C" w:rsidRPr="00FD7147">
        <w:rPr>
          <w:lang w:val="en-US"/>
        </w:rPr>
        <w:t xml:space="preserve"> and latitude</w:t>
      </w:r>
      <w:r w:rsidRPr="00FD7147">
        <w:rPr>
          <w:lang w:val="en-US"/>
        </w:rPr>
        <w:t xml:space="preserve"> helped </w:t>
      </w:r>
      <w:r w:rsidR="002826D7" w:rsidRPr="00FD7147">
        <w:rPr>
          <w:lang w:val="en-US"/>
        </w:rPr>
        <w:t xml:space="preserve">to </w:t>
      </w:r>
      <w:r w:rsidRPr="00FD7147">
        <w:rPr>
          <w:lang w:val="en-US"/>
        </w:rPr>
        <w:t xml:space="preserve">delineate areas with the greatest relative rate of change in </w:t>
      </w:r>
      <w:r w:rsidR="00DD4113" w:rsidRPr="00FD7147">
        <w:rPr>
          <w:lang w:val="en-US"/>
        </w:rPr>
        <w:t>density</w:t>
      </w:r>
      <w:r w:rsidRPr="00FD7147">
        <w:rPr>
          <w:lang w:val="en-US"/>
        </w:rPr>
        <w:t xml:space="preserve"> over time. </w:t>
      </w:r>
      <w:r w:rsidR="007C1B9F">
        <w:rPr>
          <w:lang w:val="en-US"/>
        </w:rPr>
        <w:t>For the majority (</w:t>
      </w:r>
      <w:r w:rsidR="006B7811">
        <w:rPr>
          <w:lang w:val="en-US"/>
        </w:rPr>
        <w:t>58</w:t>
      </w:r>
      <w:r w:rsidR="007C1B9F">
        <w:rPr>
          <w:lang w:val="en-US"/>
        </w:rPr>
        <w:t xml:space="preserve">%) of </w:t>
      </w:r>
      <w:r w:rsidR="0089470C" w:rsidRPr="00FD7147">
        <w:rPr>
          <w:lang w:val="en-US"/>
        </w:rPr>
        <w:t>species</w:t>
      </w:r>
      <w:r w:rsidR="005B5CB5" w:rsidRPr="00FD7147">
        <w:rPr>
          <w:lang w:val="en-US"/>
        </w:rPr>
        <w:t xml:space="preserve">, at least one of the breaks between </w:t>
      </w:r>
      <w:r w:rsidR="007C1B9F">
        <w:rPr>
          <w:lang w:val="en-US"/>
        </w:rPr>
        <w:t xml:space="preserve">local trend </w:t>
      </w:r>
      <w:r w:rsidR="005B5CB5" w:rsidRPr="00FD7147">
        <w:rPr>
          <w:lang w:val="en-US"/>
        </w:rPr>
        <w:t xml:space="preserve">clusters occurred at a latitude </w:t>
      </w:r>
      <w:r w:rsidR="007C1B9F">
        <w:rPr>
          <w:lang w:val="en-US"/>
        </w:rPr>
        <w:t>within 100km of the two</w:t>
      </w:r>
      <w:r w:rsidR="005B5CB5" w:rsidRPr="00FD7147">
        <w:rPr>
          <w:lang w:val="en-US"/>
        </w:rPr>
        <w:t xml:space="preserve"> </w:t>
      </w:r>
      <w:r w:rsidR="007C1B9F">
        <w:rPr>
          <w:lang w:val="en-US"/>
        </w:rPr>
        <w:t>predominant</w:t>
      </w:r>
      <w:r w:rsidR="005B5CB5" w:rsidRPr="00FD7147">
        <w:rPr>
          <w:lang w:val="en-US"/>
        </w:rPr>
        <w:t xml:space="preserve"> biogeographic break</w:t>
      </w:r>
      <w:r w:rsidR="007C1B9F">
        <w:rPr>
          <w:lang w:val="en-US"/>
        </w:rPr>
        <w:t>s in this ecosystem:</w:t>
      </w:r>
      <w:r w:rsidR="005B5CB5" w:rsidRPr="00FD7147">
        <w:rPr>
          <w:lang w:val="en-US"/>
        </w:rPr>
        <w:t xml:space="preserve"> </w:t>
      </w:r>
      <w:r w:rsidR="007C1B9F" w:rsidRPr="00FD7147">
        <w:rPr>
          <w:lang w:val="en-US"/>
        </w:rPr>
        <w:t xml:space="preserve">Point Conception in southern California and Cape Mendocino in northern California </w:t>
      </w:r>
      <w:r w:rsidR="005B5CB5" w:rsidRPr="00FD7147">
        <w:rPr>
          <w:lang w:val="en-US"/>
        </w:rPr>
        <w:t xml:space="preserve">(Fig. 4). </w:t>
      </w:r>
      <w:r w:rsidR="007C1B9F">
        <w:rPr>
          <w:lang w:val="en-US"/>
        </w:rPr>
        <w:t xml:space="preserve">Furthermore, </w:t>
      </w:r>
      <w:r w:rsidR="006B7811">
        <w:rPr>
          <w:lang w:val="en-US"/>
        </w:rPr>
        <w:t>all species had at least one cluster break</w:t>
      </w:r>
      <w:r w:rsidR="005B5CB5" w:rsidRPr="00FD7147">
        <w:rPr>
          <w:lang w:val="en-US"/>
        </w:rPr>
        <w:t xml:space="preserve"> </w:t>
      </w:r>
      <w:r w:rsidR="006B7811">
        <w:rPr>
          <w:lang w:val="en-US"/>
        </w:rPr>
        <w:t>falling at latitudes between these two biogeographic boundaries and 79% of species had at least half of their cluster breaks in this area</w:t>
      </w:r>
      <w:r w:rsidR="005B5CB5" w:rsidRPr="00FD7147">
        <w:rPr>
          <w:lang w:val="en-US"/>
        </w:rPr>
        <w:t xml:space="preserve">. However, there was variability among species in the precise location of the </w:t>
      </w:r>
      <w:r w:rsidR="006B7811" w:rsidRPr="00FD7147">
        <w:rPr>
          <w:lang w:val="en-US"/>
        </w:rPr>
        <w:t>boundar</w:t>
      </w:r>
      <w:r w:rsidR="006B7811">
        <w:rPr>
          <w:lang w:val="en-US"/>
        </w:rPr>
        <w:t>ies</w:t>
      </w:r>
      <w:r w:rsidR="006B7811" w:rsidRPr="00FD7147">
        <w:rPr>
          <w:lang w:val="en-US"/>
        </w:rPr>
        <w:t xml:space="preserve"> </w:t>
      </w:r>
      <w:r w:rsidR="005B5CB5" w:rsidRPr="00FD7147">
        <w:rPr>
          <w:lang w:val="en-US"/>
        </w:rPr>
        <w:t xml:space="preserve">of the </w:t>
      </w:r>
      <w:r w:rsidR="00C25EE2" w:rsidRPr="00FD7147">
        <w:rPr>
          <w:lang w:val="en-US"/>
        </w:rPr>
        <w:t xml:space="preserve">local </w:t>
      </w:r>
      <w:r w:rsidR="005B5CB5" w:rsidRPr="00FD7147">
        <w:rPr>
          <w:lang w:val="en-US"/>
        </w:rPr>
        <w:t>trend cluster</w:t>
      </w:r>
      <w:r w:rsidR="006B7811">
        <w:rPr>
          <w:lang w:val="en-US"/>
        </w:rPr>
        <w:t>s</w:t>
      </w:r>
      <w:r w:rsidR="005B5CB5" w:rsidRPr="00FD7147">
        <w:rPr>
          <w:lang w:val="en-US"/>
        </w:rPr>
        <w:t xml:space="preserve">. </w:t>
      </w:r>
      <w:r w:rsidR="00C751D5">
        <w:rPr>
          <w:lang w:val="en-US"/>
        </w:rPr>
        <w:t xml:space="preserve">Results were similar, yet clusters were less spatially contiguous, when clustering on only the local trend without latitude (Fig. S4). </w:t>
      </w:r>
      <w:r w:rsidR="005B5CB5" w:rsidRPr="00FD7147">
        <w:rPr>
          <w:lang w:val="en-US"/>
        </w:rPr>
        <w:t>Given the general proximity between trend cluster breaks and the established biogeographic boundaries, we chose to evaluate the latitudinal center of gravity (COG) within each biogeographic region</w:t>
      </w:r>
      <w:r w:rsidR="00606D49" w:rsidRPr="00FD7147">
        <w:rPr>
          <w:lang w:val="en-US"/>
        </w:rPr>
        <w:t xml:space="preserve"> (rather than within each species-specific </w:t>
      </w:r>
      <w:r w:rsidR="00C751D5">
        <w:rPr>
          <w:lang w:val="en-US"/>
        </w:rPr>
        <w:t xml:space="preserve">local </w:t>
      </w:r>
      <w:r w:rsidR="00606D49" w:rsidRPr="00FD7147">
        <w:rPr>
          <w:lang w:val="en-US"/>
        </w:rPr>
        <w:t>trend cluster)</w:t>
      </w:r>
      <w:r w:rsidR="005B5CB5" w:rsidRPr="00FD7147">
        <w:rPr>
          <w:lang w:val="en-US"/>
        </w:rPr>
        <w:t xml:space="preserve"> to compare with the </w:t>
      </w:r>
      <w:proofErr w:type="spellStart"/>
      <w:r w:rsidR="005B5CB5" w:rsidRPr="00FD7147">
        <w:rPr>
          <w:lang w:val="en-US"/>
        </w:rPr>
        <w:t>coastwide</w:t>
      </w:r>
      <w:proofErr w:type="spellEnd"/>
      <w:r w:rsidR="005B5CB5" w:rsidRPr="00FD7147">
        <w:rPr>
          <w:lang w:val="en-US"/>
        </w:rPr>
        <w:t xml:space="preserve"> COG.</w:t>
      </w:r>
      <w:r w:rsidR="00DC32E2" w:rsidRPr="00FD7147">
        <w:rPr>
          <w:lang w:val="en-US"/>
        </w:rPr>
        <w:t xml:space="preserve"> </w:t>
      </w:r>
      <w:r w:rsidR="007E757B">
        <w:rPr>
          <w:lang w:val="en-US"/>
        </w:rPr>
        <w:t xml:space="preserve">Early exploration indicated that </w:t>
      </w:r>
      <w:r w:rsidR="00C751D5">
        <w:rPr>
          <w:lang w:val="en-US"/>
        </w:rPr>
        <w:t xml:space="preserve">results </w:t>
      </w:r>
      <w:r w:rsidR="007E757B">
        <w:rPr>
          <w:lang w:val="en-US"/>
        </w:rPr>
        <w:t xml:space="preserve">were qualitatively similar </w:t>
      </w:r>
      <w:r w:rsidR="00C751D5">
        <w:rPr>
          <w:lang w:val="en-US"/>
        </w:rPr>
        <w:t xml:space="preserve">between these </w:t>
      </w:r>
      <w:r w:rsidR="007E757B">
        <w:rPr>
          <w:lang w:val="en-US"/>
        </w:rPr>
        <w:t xml:space="preserve">two </w:t>
      </w:r>
      <w:r w:rsidR="00C751D5">
        <w:rPr>
          <w:lang w:val="en-US"/>
        </w:rPr>
        <w:t>approaches for defining the unit on which to compute COGs</w:t>
      </w:r>
      <w:r w:rsidR="007E757B">
        <w:rPr>
          <w:lang w:val="en-US"/>
        </w:rPr>
        <w:t>; however,</w:t>
      </w:r>
      <w:r w:rsidR="00C751D5">
        <w:rPr>
          <w:lang w:val="en-US"/>
        </w:rPr>
        <w:t xml:space="preserve"> </w:t>
      </w:r>
      <w:r w:rsidR="007E757B">
        <w:rPr>
          <w:lang w:val="en-US"/>
        </w:rPr>
        <w:t xml:space="preserve">we chose not to compute COGs by local trend cluster over concerns that this could </w:t>
      </w:r>
      <w:r w:rsidR="00C751D5" w:rsidRPr="00C751D5">
        <w:t>minimize and obscure distribution shifts</w:t>
      </w:r>
      <w:r w:rsidR="007E757B">
        <w:t xml:space="preserve"> (e.g.,</w:t>
      </w:r>
      <w:r w:rsidR="00C751D5" w:rsidRPr="00C751D5">
        <w:t xml:space="preserve"> if density is changing uniformly over time within a cluster, one would expect the COG of that cluster to remain relatively constant</w:t>
      </w:r>
      <w:r w:rsidR="007E757B">
        <w:t>)</w:t>
      </w:r>
      <w:r w:rsidR="00C751D5" w:rsidRPr="00C751D5">
        <w:t>.</w:t>
      </w:r>
    </w:p>
    <w:p w14:paraId="2E6C10B8" w14:textId="3D5D386F" w:rsidR="00B21799" w:rsidRPr="00FD7147" w:rsidRDefault="00B21799" w:rsidP="00D26510">
      <w:pPr>
        <w:spacing w:after="120" w:line="480" w:lineRule="auto"/>
        <w:ind w:firstLine="720"/>
        <w:rPr>
          <w:lang w:val="en-US"/>
        </w:rPr>
      </w:pPr>
      <w:r w:rsidRPr="00FD7147">
        <w:rPr>
          <w:lang w:val="en-US"/>
        </w:rPr>
        <w:t>W</w:t>
      </w:r>
      <w:r w:rsidR="002D6DFC" w:rsidRPr="00FD7147">
        <w:rPr>
          <w:lang w:val="en-US"/>
        </w:rPr>
        <w:t>e highlight</w:t>
      </w:r>
      <w:r w:rsidR="003D219B" w:rsidRPr="00FD7147">
        <w:rPr>
          <w:lang w:val="en-US"/>
        </w:rPr>
        <w:t xml:space="preserve"> </w:t>
      </w:r>
      <w:r w:rsidR="002D6DFC" w:rsidRPr="00FD7147">
        <w:rPr>
          <w:lang w:val="en-US"/>
        </w:rPr>
        <w:t xml:space="preserve">results for </w:t>
      </w:r>
      <w:r w:rsidRPr="00FD7147">
        <w:rPr>
          <w:lang w:val="en-US"/>
        </w:rPr>
        <w:t>six</w:t>
      </w:r>
      <w:r w:rsidR="003D219B" w:rsidRPr="00FD7147">
        <w:rPr>
          <w:lang w:val="en-US"/>
        </w:rPr>
        <w:t xml:space="preserve"> </w:t>
      </w:r>
      <w:proofErr w:type="spellStart"/>
      <w:r w:rsidR="0089470C" w:rsidRPr="00FD7147">
        <w:rPr>
          <w:lang w:val="en-US"/>
        </w:rPr>
        <w:t>groundfish</w:t>
      </w:r>
      <w:proofErr w:type="spellEnd"/>
      <w:r w:rsidR="0089470C" w:rsidRPr="00FD7147">
        <w:rPr>
          <w:lang w:val="en-US"/>
        </w:rPr>
        <w:t xml:space="preserve"> </w:t>
      </w:r>
      <w:r w:rsidR="003D219B" w:rsidRPr="00FD7147">
        <w:rPr>
          <w:lang w:val="en-US"/>
        </w:rPr>
        <w:t xml:space="preserve">species </w:t>
      </w:r>
      <w:r w:rsidR="0089470C" w:rsidRPr="00FD7147">
        <w:rPr>
          <w:lang w:val="en-US"/>
        </w:rPr>
        <w:t>with</w:t>
      </w:r>
      <w:r w:rsidR="003D219B" w:rsidRPr="00FD7147">
        <w:rPr>
          <w:lang w:val="en-US"/>
        </w:rPr>
        <w:t xml:space="preserve"> unique </w:t>
      </w:r>
      <w:r w:rsidR="002D6DFC" w:rsidRPr="00FD7147">
        <w:rPr>
          <w:lang w:val="en-US"/>
        </w:rPr>
        <w:t>distributional responses (</w:t>
      </w:r>
      <w:r w:rsidR="005B5CB5" w:rsidRPr="00FD7147">
        <w:rPr>
          <w:lang w:val="en-US"/>
        </w:rPr>
        <w:t>Fig. 5</w:t>
      </w:r>
      <w:r w:rsidR="00CF6BCC" w:rsidRPr="00FD7147">
        <w:rPr>
          <w:lang w:val="en-US"/>
        </w:rPr>
        <w:t>; see Fig</w:t>
      </w:r>
      <w:r w:rsidR="00815BD5" w:rsidRPr="00FD7147">
        <w:rPr>
          <w:lang w:val="en-US"/>
        </w:rPr>
        <w:t xml:space="preserve">. </w:t>
      </w:r>
      <w:r w:rsidR="00096F4A" w:rsidRPr="00FD7147">
        <w:rPr>
          <w:lang w:val="en-US"/>
        </w:rPr>
        <w:t>S</w:t>
      </w:r>
      <w:r w:rsidR="002834BD">
        <w:rPr>
          <w:lang w:val="en-US"/>
        </w:rPr>
        <w:t>5</w:t>
      </w:r>
      <w:r w:rsidR="00623C01" w:rsidRPr="00FD7147">
        <w:rPr>
          <w:lang w:val="en-US"/>
        </w:rPr>
        <w:t xml:space="preserve"> </w:t>
      </w:r>
      <w:r w:rsidR="00815BD5" w:rsidRPr="00FD7147">
        <w:rPr>
          <w:lang w:val="en-US"/>
        </w:rPr>
        <w:t xml:space="preserve">for results from </w:t>
      </w:r>
      <w:r w:rsidR="00CF6BCC" w:rsidRPr="00FD7147">
        <w:rPr>
          <w:lang w:val="en-US"/>
        </w:rPr>
        <w:t xml:space="preserve">additional species and Fig. </w:t>
      </w:r>
      <w:r w:rsidR="00096F4A" w:rsidRPr="00FD7147">
        <w:rPr>
          <w:lang w:val="en-US"/>
        </w:rPr>
        <w:t>S</w:t>
      </w:r>
      <w:r w:rsidR="002834BD">
        <w:rPr>
          <w:lang w:val="en-US"/>
        </w:rPr>
        <w:t>6</w:t>
      </w:r>
      <w:r w:rsidR="00CF6BCC" w:rsidRPr="00FD7147">
        <w:rPr>
          <w:lang w:val="en-US"/>
        </w:rPr>
        <w:t xml:space="preserve"> for predicted density distributions </w:t>
      </w:r>
      <w:r w:rsidR="00CF6BCC" w:rsidRPr="00FD7147">
        <w:rPr>
          <w:lang w:val="en-US"/>
        </w:rPr>
        <w:lastRenderedPageBreak/>
        <w:t xml:space="preserve">for </w:t>
      </w:r>
      <w:r w:rsidR="00815BD5" w:rsidRPr="00FD7147">
        <w:rPr>
          <w:lang w:val="en-US"/>
        </w:rPr>
        <w:t xml:space="preserve">all </w:t>
      </w:r>
      <w:r w:rsidR="005F2BA0" w:rsidRPr="00FD7147">
        <w:rPr>
          <w:lang w:val="en-US"/>
        </w:rPr>
        <w:t>19</w:t>
      </w:r>
      <w:r w:rsidR="00815BD5" w:rsidRPr="00FD7147">
        <w:rPr>
          <w:lang w:val="en-US"/>
        </w:rPr>
        <w:t xml:space="preserve"> species</w:t>
      </w:r>
      <w:r w:rsidR="002D6DFC" w:rsidRPr="00FD7147">
        <w:rPr>
          <w:lang w:val="en-US"/>
        </w:rPr>
        <w:t xml:space="preserve">). </w:t>
      </w:r>
      <w:r w:rsidRPr="00FD7147">
        <w:rPr>
          <w:lang w:val="en-US"/>
        </w:rPr>
        <w:t xml:space="preserve">Within each of </w:t>
      </w:r>
      <w:r w:rsidR="0089470C" w:rsidRPr="00FD7147">
        <w:rPr>
          <w:lang w:val="en-US"/>
        </w:rPr>
        <w:t xml:space="preserve">the </w:t>
      </w:r>
      <w:r w:rsidRPr="00FD7147">
        <w:rPr>
          <w:lang w:val="en-US"/>
        </w:rPr>
        <w:t>six species, there was support for 2</w:t>
      </w:r>
      <w:r w:rsidR="000A112D">
        <w:rPr>
          <w:lang w:val="en-US"/>
        </w:rPr>
        <w:t>–</w:t>
      </w:r>
      <w:r w:rsidRPr="00FD7147">
        <w:rPr>
          <w:lang w:val="en-US"/>
        </w:rPr>
        <w:t xml:space="preserve">3 </w:t>
      </w:r>
      <w:r w:rsidR="0089470C" w:rsidRPr="00FD7147">
        <w:rPr>
          <w:lang w:val="en-US"/>
        </w:rPr>
        <w:t>trend</w:t>
      </w:r>
      <w:r w:rsidR="00C41D9E" w:rsidRPr="00FD7147">
        <w:rPr>
          <w:lang w:val="en-US"/>
        </w:rPr>
        <w:t>s</w:t>
      </w:r>
      <w:r w:rsidR="0089470C" w:rsidRPr="00FD7147">
        <w:rPr>
          <w:lang w:val="en-US"/>
        </w:rPr>
        <w:t xml:space="preserve"> </w:t>
      </w:r>
      <w:r w:rsidRPr="00FD7147">
        <w:rPr>
          <w:lang w:val="en-US"/>
        </w:rPr>
        <w:t xml:space="preserve">(Fig. 5; second column). Comparison of the </w:t>
      </w:r>
      <w:r w:rsidR="00C25EE2" w:rsidRPr="00FD7147">
        <w:rPr>
          <w:lang w:val="en-US"/>
        </w:rPr>
        <w:t>local trend</w:t>
      </w:r>
      <w:r w:rsidRPr="00FD7147">
        <w:rPr>
          <w:lang w:val="en-US"/>
        </w:rPr>
        <w:t xml:space="preserve"> predictions and clusters (Fig. 5; first two columns) and the mean </w:t>
      </w:r>
      <w:r w:rsidR="00DD4113" w:rsidRPr="00FD7147">
        <w:rPr>
          <w:lang w:val="en-US"/>
        </w:rPr>
        <w:t>density</w:t>
      </w:r>
      <w:r w:rsidR="00FA378B" w:rsidRPr="00FD7147">
        <w:rPr>
          <w:lang w:val="en-US"/>
        </w:rPr>
        <w:t xml:space="preserve"> </w:t>
      </w:r>
      <w:r w:rsidRPr="00FD7147">
        <w:rPr>
          <w:lang w:val="en-US"/>
        </w:rPr>
        <w:t>from the full model (Fig. 5; third column) revealed ho</w:t>
      </w:r>
      <w:r w:rsidR="00FD7790" w:rsidRPr="00FD7147">
        <w:rPr>
          <w:lang w:val="en-US"/>
        </w:rPr>
        <w:t xml:space="preserve">w several unique patterns of </w:t>
      </w:r>
      <w:r w:rsidRPr="00FD7147">
        <w:rPr>
          <w:lang w:val="en-US"/>
        </w:rPr>
        <w:t xml:space="preserve">regional relationships can contribute to nuanced and difficult to detect broad-scale distributional changes including northward, southward, and bi-directional </w:t>
      </w:r>
      <w:r w:rsidR="001C05F4" w:rsidRPr="00FD7147">
        <w:rPr>
          <w:lang w:val="en-US"/>
        </w:rPr>
        <w:t xml:space="preserve">(convergent or divergent) density </w:t>
      </w:r>
      <w:r w:rsidRPr="00FD7147">
        <w:rPr>
          <w:lang w:val="en-US"/>
        </w:rPr>
        <w:t xml:space="preserve">shifts, in addition to localized offshore shifts. Furthermore, the interpretation of the distributional change often varied between spatial scales of </w:t>
      </w:r>
      <w:r w:rsidR="00B06BF9" w:rsidRPr="00FD7147">
        <w:rPr>
          <w:lang w:val="en-US"/>
        </w:rPr>
        <w:t xml:space="preserve">metrics. </w:t>
      </w:r>
      <w:r w:rsidR="00F664D4" w:rsidRPr="00FD7147">
        <w:rPr>
          <w:lang w:val="en-US"/>
        </w:rPr>
        <w:t>Typically, inference</w:t>
      </w:r>
      <w:r w:rsidR="00B06BF9" w:rsidRPr="00FD7147">
        <w:rPr>
          <w:lang w:val="en-US"/>
        </w:rPr>
        <w:t xml:space="preserve"> differed the most between the fine-scale </w:t>
      </w:r>
      <w:r w:rsidR="00F664D4" w:rsidRPr="00FD7147">
        <w:rPr>
          <w:lang w:val="en-US"/>
        </w:rPr>
        <w:t xml:space="preserve">map-based interpretation of the </w:t>
      </w:r>
      <w:r w:rsidR="00087449" w:rsidRPr="00FD7147">
        <w:rPr>
          <w:lang w:val="en-US"/>
        </w:rPr>
        <w:t>local trend</w:t>
      </w:r>
      <w:r w:rsidR="00F664D4" w:rsidRPr="00FD7147">
        <w:rPr>
          <w:lang w:val="en-US"/>
        </w:rPr>
        <w:t xml:space="preserve"> and the </w:t>
      </w:r>
      <w:proofErr w:type="spellStart"/>
      <w:r w:rsidR="00F664D4" w:rsidRPr="00FD7147">
        <w:rPr>
          <w:lang w:val="en-US"/>
        </w:rPr>
        <w:t>coastwide</w:t>
      </w:r>
      <w:proofErr w:type="spellEnd"/>
      <w:r w:rsidR="00F664D4" w:rsidRPr="00FD7147">
        <w:rPr>
          <w:lang w:val="en-US"/>
        </w:rPr>
        <w:t xml:space="preserve"> COG. </w:t>
      </w:r>
      <w:r w:rsidR="005C2A54" w:rsidRPr="00FD7147">
        <w:rPr>
          <w:lang w:val="en-US"/>
        </w:rPr>
        <w:t>T</w:t>
      </w:r>
      <w:r w:rsidR="006B1E39" w:rsidRPr="00FD7147">
        <w:rPr>
          <w:lang w:val="en-US"/>
        </w:rPr>
        <w:t xml:space="preserve">he map of </w:t>
      </w:r>
      <w:r w:rsidR="0089470C" w:rsidRPr="00FD7147">
        <w:rPr>
          <w:lang w:val="en-US"/>
        </w:rPr>
        <w:t xml:space="preserve">estimated </w:t>
      </w:r>
      <w:r w:rsidR="005C2A54" w:rsidRPr="00FD7147">
        <w:rPr>
          <w:lang w:val="en-US"/>
        </w:rPr>
        <w:t xml:space="preserve">mean </w:t>
      </w:r>
      <w:r w:rsidR="00DD4113" w:rsidRPr="00FD7147">
        <w:rPr>
          <w:lang w:val="en-US"/>
        </w:rPr>
        <w:t>density</w:t>
      </w:r>
      <w:r w:rsidR="0000736B" w:rsidRPr="00FD7147">
        <w:rPr>
          <w:lang w:val="en-US"/>
        </w:rPr>
        <w:t xml:space="preserve"> </w:t>
      </w:r>
      <w:r w:rsidR="005C2A54" w:rsidRPr="00FD7147">
        <w:rPr>
          <w:lang w:val="en-US"/>
        </w:rPr>
        <w:t>allows one to</w:t>
      </w:r>
      <w:r w:rsidR="00306407" w:rsidRPr="00FD7147">
        <w:rPr>
          <w:lang w:val="en-US"/>
        </w:rPr>
        <w:t xml:space="preserve"> visually weight the </w:t>
      </w:r>
      <w:r w:rsidR="00C25EE2" w:rsidRPr="00FD7147">
        <w:rPr>
          <w:lang w:val="en-US"/>
        </w:rPr>
        <w:t>local trend</w:t>
      </w:r>
      <w:r w:rsidR="006B1E39" w:rsidRPr="00FD7147">
        <w:rPr>
          <w:lang w:val="en-US"/>
        </w:rPr>
        <w:t xml:space="preserve"> map to better understand where absolute changes in </w:t>
      </w:r>
      <w:r w:rsidR="00DD4113" w:rsidRPr="00FD7147">
        <w:rPr>
          <w:lang w:val="en-US"/>
        </w:rPr>
        <w:t>density</w:t>
      </w:r>
      <w:r w:rsidR="0000736B" w:rsidRPr="00FD7147">
        <w:rPr>
          <w:lang w:val="en-US"/>
        </w:rPr>
        <w:t xml:space="preserve"> </w:t>
      </w:r>
      <w:r w:rsidR="006B1E39" w:rsidRPr="00FD7147">
        <w:rPr>
          <w:lang w:val="en-US"/>
        </w:rPr>
        <w:t>are greatest.</w:t>
      </w:r>
    </w:p>
    <w:p w14:paraId="055F0A67" w14:textId="477B94B6" w:rsidR="00386DC1" w:rsidRPr="00FD7147" w:rsidRDefault="000631C2" w:rsidP="00D26510">
      <w:pPr>
        <w:spacing w:after="120" w:line="480" w:lineRule="auto"/>
        <w:rPr>
          <w:lang w:val="en-US"/>
        </w:rPr>
      </w:pPr>
      <w:r w:rsidRPr="00FD7147">
        <w:rPr>
          <w:lang w:val="en-US"/>
        </w:rPr>
        <w:tab/>
      </w:r>
      <w:r w:rsidR="0089470C" w:rsidRPr="00FD7147">
        <w:rPr>
          <w:lang w:val="en-US"/>
        </w:rPr>
        <w:t>Examining the</w:t>
      </w:r>
      <w:r w:rsidRPr="00FD7147">
        <w:rPr>
          <w:lang w:val="en-US"/>
        </w:rPr>
        <w:t xml:space="preserve"> predictions of the </w:t>
      </w:r>
      <w:r w:rsidR="00087449" w:rsidRPr="00FD7147">
        <w:rPr>
          <w:lang w:val="en-US"/>
        </w:rPr>
        <w:t>local trend</w:t>
      </w:r>
      <w:r w:rsidRPr="00FD7147">
        <w:rPr>
          <w:lang w:val="en-US"/>
        </w:rPr>
        <w:t xml:space="preserve"> </w:t>
      </w:r>
      <w:r w:rsidR="006B1E39" w:rsidRPr="00FD7147">
        <w:rPr>
          <w:lang w:val="en-US"/>
        </w:rPr>
        <w:t xml:space="preserve">and </w:t>
      </w:r>
      <w:r w:rsidR="00DD4113" w:rsidRPr="00FD7147">
        <w:rPr>
          <w:lang w:val="en-US"/>
        </w:rPr>
        <w:t>density</w:t>
      </w:r>
      <w:r w:rsidR="0000736B" w:rsidRPr="00FD7147">
        <w:rPr>
          <w:lang w:val="en-US"/>
        </w:rPr>
        <w:t xml:space="preserve"> </w:t>
      </w:r>
      <w:r w:rsidRPr="00FD7147">
        <w:rPr>
          <w:lang w:val="en-US"/>
        </w:rPr>
        <w:t xml:space="preserve">indicated that </w:t>
      </w:r>
      <w:proofErr w:type="spellStart"/>
      <w:r w:rsidRPr="00FD7147">
        <w:rPr>
          <w:lang w:val="en-US"/>
        </w:rPr>
        <w:t>arrowtooth</w:t>
      </w:r>
      <w:proofErr w:type="spellEnd"/>
      <w:r w:rsidRPr="00FD7147">
        <w:rPr>
          <w:lang w:val="en-US"/>
        </w:rPr>
        <w:t xml:space="preserve"> flounder </w:t>
      </w:r>
      <w:r w:rsidR="00D93BDD" w:rsidRPr="00FD7147">
        <w:rPr>
          <w:lang w:val="en-US"/>
        </w:rPr>
        <w:t>(</w:t>
      </w:r>
      <w:proofErr w:type="spellStart"/>
      <w:r w:rsidR="00D93BDD" w:rsidRPr="00FD7147">
        <w:rPr>
          <w:i/>
          <w:iCs/>
          <w:lang w:val="en-US"/>
        </w:rPr>
        <w:t>Atheresthes</w:t>
      </w:r>
      <w:proofErr w:type="spellEnd"/>
      <w:r w:rsidR="00D93BDD" w:rsidRPr="00FD7147">
        <w:rPr>
          <w:i/>
          <w:iCs/>
          <w:lang w:val="en-US"/>
        </w:rPr>
        <w:t xml:space="preserve"> </w:t>
      </w:r>
      <w:proofErr w:type="spellStart"/>
      <w:r w:rsidR="00D93BDD" w:rsidRPr="00FD7147">
        <w:rPr>
          <w:i/>
          <w:iCs/>
          <w:lang w:val="en-US"/>
        </w:rPr>
        <w:t>stom</w:t>
      </w:r>
      <w:r w:rsidR="00D66A11" w:rsidRPr="00FD7147">
        <w:rPr>
          <w:i/>
          <w:iCs/>
          <w:lang w:val="en-US"/>
        </w:rPr>
        <w:t>i</w:t>
      </w:r>
      <w:r w:rsidR="00D93BDD" w:rsidRPr="00FD7147">
        <w:rPr>
          <w:i/>
          <w:iCs/>
          <w:lang w:val="en-US"/>
        </w:rPr>
        <w:t>as</w:t>
      </w:r>
      <w:proofErr w:type="spellEnd"/>
      <w:r w:rsidR="00D93BDD" w:rsidRPr="00FD7147">
        <w:rPr>
          <w:lang w:val="en-US"/>
        </w:rPr>
        <w:t xml:space="preserve">) </w:t>
      </w:r>
      <w:r w:rsidR="00A349C7" w:rsidRPr="00FD7147">
        <w:rPr>
          <w:lang w:val="en-US"/>
        </w:rPr>
        <w:t xml:space="preserve">had a southward </w:t>
      </w:r>
      <w:r w:rsidR="001C05F4" w:rsidRPr="00FD7147">
        <w:rPr>
          <w:lang w:val="en-US"/>
        </w:rPr>
        <w:t>density</w:t>
      </w:r>
      <w:r w:rsidR="00A349C7" w:rsidRPr="00FD7147">
        <w:rPr>
          <w:lang w:val="en-US"/>
        </w:rPr>
        <w:t xml:space="preserve"> shift </w:t>
      </w:r>
      <w:r w:rsidRPr="00FD7147">
        <w:rPr>
          <w:lang w:val="en-US"/>
        </w:rPr>
        <w:t xml:space="preserve">and </w:t>
      </w:r>
      <w:bookmarkStart w:id="4" w:name="_Hlk27058813"/>
      <w:proofErr w:type="spellStart"/>
      <w:r w:rsidRPr="00FD7147">
        <w:rPr>
          <w:lang w:val="en-US"/>
        </w:rPr>
        <w:t>shortspine</w:t>
      </w:r>
      <w:proofErr w:type="spellEnd"/>
      <w:r w:rsidRPr="00FD7147">
        <w:rPr>
          <w:lang w:val="en-US"/>
        </w:rPr>
        <w:t xml:space="preserve"> </w:t>
      </w:r>
      <w:proofErr w:type="spellStart"/>
      <w:r w:rsidRPr="00FD7147">
        <w:rPr>
          <w:lang w:val="en-US"/>
        </w:rPr>
        <w:t>thornyh</w:t>
      </w:r>
      <w:bookmarkEnd w:id="4"/>
      <w:r w:rsidRPr="00FD7147">
        <w:rPr>
          <w:lang w:val="en-US"/>
        </w:rPr>
        <w:t>ead</w:t>
      </w:r>
      <w:proofErr w:type="spellEnd"/>
      <w:r w:rsidRPr="00FD7147">
        <w:rPr>
          <w:lang w:val="en-US"/>
        </w:rPr>
        <w:t xml:space="preserve"> </w:t>
      </w:r>
      <w:r w:rsidR="003D16A7" w:rsidRPr="00FD7147">
        <w:rPr>
          <w:lang w:val="en-US"/>
        </w:rPr>
        <w:t>(</w:t>
      </w:r>
      <w:proofErr w:type="spellStart"/>
      <w:r w:rsidR="003D16A7" w:rsidRPr="00FD7147">
        <w:rPr>
          <w:i/>
          <w:iCs/>
          <w:lang w:val="en-US"/>
        </w:rPr>
        <w:t>Sebastolobus</w:t>
      </w:r>
      <w:proofErr w:type="spellEnd"/>
      <w:r w:rsidR="003D16A7" w:rsidRPr="00FD7147">
        <w:rPr>
          <w:i/>
          <w:iCs/>
          <w:lang w:val="en-US"/>
        </w:rPr>
        <w:t xml:space="preserve"> </w:t>
      </w:r>
      <w:proofErr w:type="spellStart"/>
      <w:r w:rsidR="003D16A7" w:rsidRPr="00FD7147">
        <w:rPr>
          <w:i/>
          <w:iCs/>
          <w:lang w:val="en-US"/>
        </w:rPr>
        <w:t>alascanus</w:t>
      </w:r>
      <w:proofErr w:type="spellEnd"/>
      <w:r w:rsidR="003D16A7" w:rsidRPr="00FD7147">
        <w:rPr>
          <w:lang w:val="en-US"/>
        </w:rPr>
        <w:t xml:space="preserve">) </w:t>
      </w:r>
      <w:r w:rsidRPr="00FD7147">
        <w:rPr>
          <w:lang w:val="en-US"/>
        </w:rPr>
        <w:t xml:space="preserve">had </w:t>
      </w:r>
      <w:r w:rsidR="00A349C7" w:rsidRPr="00FD7147">
        <w:rPr>
          <w:lang w:val="en-US"/>
        </w:rPr>
        <w:t>a northward</w:t>
      </w:r>
      <w:r w:rsidRPr="00FD7147">
        <w:rPr>
          <w:lang w:val="en-US"/>
        </w:rPr>
        <w:t xml:space="preserve"> s</w:t>
      </w:r>
      <w:r w:rsidR="00A349C7" w:rsidRPr="00FD7147">
        <w:rPr>
          <w:lang w:val="en-US"/>
        </w:rPr>
        <w:t>hift</w:t>
      </w:r>
      <w:r w:rsidRPr="00FD7147">
        <w:rPr>
          <w:lang w:val="en-US"/>
        </w:rPr>
        <w:t xml:space="preserve">, yet the COG inferences differed to some degree between species. </w:t>
      </w:r>
      <w:r w:rsidR="0089470C" w:rsidRPr="00FD7147">
        <w:rPr>
          <w:lang w:val="en-US"/>
        </w:rPr>
        <w:t>T</w:t>
      </w:r>
      <w:r w:rsidR="00BD4BEF" w:rsidRPr="00FD7147">
        <w:rPr>
          <w:lang w:val="en-US"/>
        </w:rPr>
        <w:t xml:space="preserve">he predicted </w:t>
      </w:r>
      <w:r w:rsidR="00DD4113" w:rsidRPr="00FD7147">
        <w:rPr>
          <w:lang w:val="en-US"/>
        </w:rPr>
        <w:t>density</w:t>
      </w:r>
      <w:r w:rsidR="0000736B" w:rsidRPr="00FD7147" w:rsidDel="0000736B">
        <w:rPr>
          <w:lang w:val="en-US"/>
        </w:rPr>
        <w:t xml:space="preserve"> </w:t>
      </w:r>
      <w:r w:rsidR="0089470C" w:rsidRPr="00FD7147">
        <w:rPr>
          <w:lang w:val="en-US"/>
        </w:rPr>
        <w:t xml:space="preserve">indicated that the majority of </w:t>
      </w:r>
      <w:proofErr w:type="spellStart"/>
      <w:r w:rsidR="00BD4BEF" w:rsidRPr="00FD7147">
        <w:rPr>
          <w:lang w:val="en-US"/>
        </w:rPr>
        <w:t>arrowtooth</w:t>
      </w:r>
      <w:proofErr w:type="spellEnd"/>
      <w:r w:rsidR="00BD4BEF" w:rsidRPr="00FD7147">
        <w:rPr>
          <w:lang w:val="en-US"/>
        </w:rPr>
        <w:t xml:space="preserve"> flounder </w:t>
      </w:r>
      <w:r w:rsidR="003D16A7" w:rsidRPr="00FD7147">
        <w:rPr>
          <w:lang w:val="en-US"/>
        </w:rPr>
        <w:t xml:space="preserve">(Fig. 5, first row) </w:t>
      </w:r>
      <w:r w:rsidR="0089470C" w:rsidRPr="00FD7147">
        <w:rPr>
          <w:lang w:val="en-US"/>
        </w:rPr>
        <w:t>was in the northern region</w:t>
      </w:r>
      <w:r w:rsidR="003D16A7" w:rsidRPr="00FD7147">
        <w:rPr>
          <w:lang w:val="en-US"/>
        </w:rPr>
        <w:t xml:space="preserve">, </w:t>
      </w:r>
      <w:r w:rsidR="00306407" w:rsidRPr="00FD7147">
        <w:rPr>
          <w:lang w:val="en-US"/>
        </w:rPr>
        <w:t xml:space="preserve">yet the </w:t>
      </w:r>
      <w:r w:rsidR="00C25EE2" w:rsidRPr="00FD7147">
        <w:rPr>
          <w:lang w:val="en-US"/>
        </w:rPr>
        <w:t>local trend</w:t>
      </w:r>
      <w:r w:rsidR="00BD4BEF" w:rsidRPr="00FD7147">
        <w:rPr>
          <w:lang w:val="en-US"/>
        </w:rPr>
        <w:t xml:space="preserve"> pattern indicates that their </w:t>
      </w:r>
      <w:r w:rsidR="00DD4113" w:rsidRPr="00FD7147">
        <w:rPr>
          <w:lang w:val="en-US"/>
        </w:rPr>
        <w:t>density</w:t>
      </w:r>
      <w:r w:rsidR="0000736B" w:rsidRPr="00FD7147">
        <w:rPr>
          <w:lang w:val="en-US"/>
        </w:rPr>
        <w:t xml:space="preserve"> </w:t>
      </w:r>
      <w:r w:rsidR="00BD4BEF" w:rsidRPr="00FD7147">
        <w:rPr>
          <w:lang w:val="en-US"/>
        </w:rPr>
        <w:t>is increasing at the highest rate in the central region</w:t>
      </w:r>
      <w:r w:rsidR="0089470C" w:rsidRPr="00FD7147">
        <w:rPr>
          <w:lang w:val="en-US"/>
        </w:rPr>
        <w:t xml:space="preserve">. Combined, these regional results suggest a </w:t>
      </w:r>
      <w:r w:rsidR="00BD4BEF" w:rsidRPr="00FD7147">
        <w:rPr>
          <w:lang w:val="en-US"/>
        </w:rPr>
        <w:t xml:space="preserve">southward </w:t>
      </w:r>
      <w:r w:rsidR="001C05F4" w:rsidRPr="00FD7147">
        <w:rPr>
          <w:lang w:val="en-US"/>
        </w:rPr>
        <w:t>shift</w:t>
      </w:r>
      <w:r w:rsidR="00812679" w:rsidRPr="00FD7147">
        <w:rPr>
          <w:lang w:val="en-US"/>
        </w:rPr>
        <w:t xml:space="preserve"> </w:t>
      </w:r>
      <w:r w:rsidR="001C05F4" w:rsidRPr="00FD7147">
        <w:rPr>
          <w:lang w:val="en-US"/>
        </w:rPr>
        <w:t>driven by</w:t>
      </w:r>
      <w:r w:rsidR="00812679" w:rsidRPr="00FD7147">
        <w:rPr>
          <w:lang w:val="en-US"/>
        </w:rPr>
        <w:t xml:space="preserve"> </w:t>
      </w:r>
      <w:r w:rsidR="001C05F4" w:rsidRPr="00FD7147">
        <w:rPr>
          <w:lang w:val="en-US"/>
        </w:rPr>
        <w:t>increases at the southern</w:t>
      </w:r>
      <w:r w:rsidR="00812679" w:rsidRPr="00FD7147">
        <w:rPr>
          <w:lang w:val="en-US"/>
        </w:rPr>
        <w:t xml:space="preserve"> range edge</w:t>
      </w:r>
      <w:r w:rsidR="001C05F4" w:rsidRPr="00FD7147">
        <w:rPr>
          <w:lang w:val="en-US"/>
        </w:rPr>
        <w:t>, similar to the traveling wave pattern demonstrated by many species invasions</w:t>
      </w:r>
      <w:r w:rsidR="00BD4BEF" w:rsidRPr="00FD7147">
        <w:rPr>
          <w:lang w:val="en-US"/>
        </w:rPr>
        <w:t>.</w:t>
      </w:r>
      <w:r w:rsidR="00812679" w:rsidRPr="00FD7147">
        <w:rPr>
          <w:lang w:val="en-US"/>
        </w:rPr>
        <w:t xml:space="preserve"> The </w:t>
      </w:r>
      <w:r w:rsidR="00897D80" w:rsidRPr="00FD7147">
        <w:rPr>
          <w:lang w:val="en-US"/>
        </w:rPr>
        <w:t xml:space="preserve">time series of the </w:t>
      </w:r>
      <w:r w:rsidR="00812679" w:rsidRPr="00FD7147">
        <w:rPr>
          <w:lang w:val="en-US"/>
        </w:rPr>
        <w:t>coast</w:t>
      </w:r>
      <w:r w:rsidR="00D66A11" w:rsidRPr="00FD7147">
        <w:rPr>
          <w:lang w:val="en-US"/>
        </w:rPr>
        <w:t>-</w:t>
      </w:r>
      <w:r w:rsidR="00812679" w:rsidRPr="00FD7147">
        <w:rPr>
          <w:lang w:val="en-US"/>
        </w:rPr>
        <w:t xml:space="preserve">wide </w:t>
      </w:r>
      <w:r w:rsidR="00204EAD" w:rsidRPr="00FD7147">
        <w:rPr>
          <w:lang w:val="en-US"/>
        </w:rPr>
        <w:t>COG</w:t>
      </w:r>
      <w:r w:rsidR="00812679" w:rsidRPr="00FD7147">
        <w:rPr>
          <w:lang w:val="en-US"/>
        </w:rPr>
        <w:t xml:space="preserve"> (</w:t>
      </w:r>
      <w:r w:rsidR="006B1E39" w:rsidRPr="00FD7147">
        <w:rPr>
          <w:lang w:val="en-US"/>
        </w:rPr>
        <w:t>black line</w:t>
      </w:r>
      <w:r w:rsidR="00812679" w:rsidRPr="00FD7147">
        <w:rPr>
          <w:lang w:val="en-US"/>
        </w:rPr>
        <w:t xml:space="preserve"> in last column</w:t>
      </w:r>
      <w:r w:rsidR="00897D80" w:rsidRPr="00FD7147">
        <w:rPr>
          <w:lang w:val="en-US"/>
        </w:rPr>
        <w:t xml:space="preserve"> of </w:t>
      </w:r>
      <w:r w:rsidR="005B5CB5" w:rsidRPr="00FD7147">
        <w:rPr>
          <w:lang w:val="en-US"/>
        </w:rPr>
        <w:t>Fig. 5</w:t>
      </w:r>
      <w:r w:rsidR="00812679" w:rsidRPr="00FD7147">
        <w:rPr>
          <w:lang w:val="en-US"/>
        </w:rPr>
        <w:t xml:space="preserve">) </w:t>
      </w:r>
      <w:r w:rsidR="0089470C" w:rsidRPr="00FD7147">
        <w:rPr>
          <w:lang w:val="en-US"/>
        </w:rPr>
        <w:t xml:space="preserve">is in agreement of a </w:t>
      </w:r>
      <w:r w:rsidR="00812679" w:rsidRPr="00FD7147">
        <w:rPr>
          <w:lang w:val="en-US"/>
        </w:rPr>
        <w:t xml:space="preserve">southward shift, yet the </w:t>
      </w:r>
      <w:r w:rsidR="008D10BD" w:rsidRPr="00FD7147">
        <w:rPr>
          <w:lang w:val="en-US"/>
        </w:rPr>
        <w:t>interpretation</w:t>
      </w:r>
      <w:r w:rsidR="00812679" w:rsidRPr="00FD7147">
        <w:rPr>
          <w:lang w:val="en-US"/>
        </w:rPr>
        <w:t xml:space="preserve"> is not as clear </w:t>
      </w:r>
      <w:r w:rsidR="00897D80" w:rsidRPr="00FD7147">
        <w:rPr>
          <w:lang w:val="en-US"/>
        </w:rPr>
        <w:t>because</w:t>
      </w:r>
      <w:r w:rsidR="00812679" w:rsidRPr="00FD7147">
        <w:rPr>
          <w:lang w:val="en-US"/>
        </w:rPr>
        <w:t xml:space="preserve"> the coast</w:t>
      </w:r>
      <w:r w:rsidR="00D66A11" w:rsidRPr="00FD7147">
        <w:rPr>
          <w:lang w:val="en-US"/>
        </w:rPr>
        <w:t>-</w:t>
      </w:r>
      <w:r w:rsidR="00812679" w:rsidRPr="00FD7147">
        <w:rPr>
          <w:lang w:val="en-US"/>
        </w:rPr>
        <w:t xml:space="preserve">wide pattern is heavily weighted by the high densities in the </w:t>
      </w:r>
      <w:r w:rsidR="00897D80" w:rsidRPr="00FD7147">
        <w:rPr>
          <w:lang w:val="en-US"/>
        </w:rPr>
        <w:t xml:space="preserve">far northern portion of the study area. </w:t>
      </w:r>
      <w:r w:rsidR="0089470C" w:rsidRPr="00FD7147">
        <w:rPr>
          <w:lang w:val="en-US"/>
        </w:rPr>
        <w:t>W</w:t>
      </w:r>
      <w:r w:rsidR="00897D80" w:rsidRPr="00FD7147">
        <w:rPr>
          <w:lang w:val="en-US"/>
        </w:rPr>
        <w:t>hen the COG</w:t>
      </w:r>
      <w:r w:rsidR="0089470C" w:rsidRPr="00FD7147">
        <w:rPr>
          <w:lang w:val="en-US"/>
        </w:rPr>
        <w:t xml:space="preserve"> from each biogeographic region</w:t>
      </w:r>
      <w:r w:rsidR="00897D80" w:rsidRPr="00FD7147">
        <w:rPr>
          <w:lang w:val="en-US"/>
        </w:rPr>
        <w:t xml:space="preserve"> </w:t>
      </w:r>
      <w:r w:rsidR="0089470C" w:rsidRPr="00FD7147">
        <w:rPr>
          <w:lang w:val="en-US"/>
        </w:rPr>
        <w:t>is calculated</w:t>
      </w:r>
      <w:r w:rsidR="00897D80" w:rsidRPr="00FD7147">
        <w:rPr>
          <w:lang w:val="en-US"/>
        </w:rPr>
        <w:t xml:space="preserve"> (colored lines in last column of </w:t>
      </w:r>
      <w:r w:rsidR="005B5CB5" w:rsidRPr="00FD7147">
        <w:rPr>
          <w:lang w:val="en-US"/>
        </w:rPr>
        <w:t>Fig. 5</w:t>
      </w:r>
      <w:r w:rsidR="00897D80" w:rsidRPr="00FD7147">
        <w:rPr>
          <w:lang w:val="en-US"/>
        </w:rPr>
        <w:t xml:space="preserve">), </w:t>
      </w:r>
      <w:r w:rsidR="00A349C7" w:rsidRPr="00FD7147">
        <w:rPr>
          <w:lang w:val="en-US"/>
        </w:rPr>
        <w:t>we can see that coast</w:t>
      </w:r>
      <w:r w:rsidR="00D66A11" w:rsidRPr="00FD7147">
        <w:rPr>
          <w:lang w:val="en-US"/>
        </w:rPr>
        <w:t>-</w:t>
      </w:r>
      <w:r w:rsidR="00A349C7" w:rsidRPr="00FD7147">
        <w:rPr>
          <w:lang w:val="en-US"/>
        </w:rPr>
        <w:t xml:space="preserve">wide COG has been driven further south </w:t>
      </w:r>
      <w:r w:rsidR="009367A8" w:rsidRPr="00FD7147">
        <w:rPr>
          <w:lang w:val="en-US"/>
        </w:rPr>
        <w:t xml:space="preserve">in the latter half of the time series </w:t>
      </w:r>
      <w:r w:rsidR="00A349C7" w:rsidRPr="00FD7147">
        <w:rPr>
          <w:lang w:val="en-US"/>
        </w:rPr>
        <w:t>by decreases in</w:t>
      </w:r>
      <w:r w:rsidR="00897D80" w:rsidRPr="00FD7147">
        <w:rPr>
          <w:lang w:val="en-US"/>
        </w:rPr>
        <w:t xml:space="preserve"> the </w:t>
      </w:r>
      <w:r w:rsidR="00A349C7" w:rsidRPr="00FD7147">
        <w:rPr>
          <w:lang w:val="en-US"/>
        </w:rPr>
        <w:t xml:space="preserve">COG in the central region </w:t>
      </w:r>
      <w:r w:rsidR="009367A8" w:rsidRPr="00FD7147">
        <w:rPr>
          <w:lang w:val="en-US"/>
        </w:rPr>
        <w:t xml:space="preserve">while the northern </w:t>
      </w:r>
      <w:r w:rsidR="009367A8" w:rsidRPr="00FD7147">
        <w:rPr>
          <w:lang w:val="en-US"/>
        </w:rPr>
        <w:lastRenderedPageBreak/>
        <w:t>COG had almost no trend</w:t>
      </w:r>
      <w:r w:rsidR="0089470C" w:rsidRPr="00FD7147">
        <w:rPr>
          <w:lang w:val="en-US"/>
        </w:rPr>
        <w:t>,</w:t>
      </w:r>
      <w:r w:rsidR="00897D80" w:rsidRPr="00FD7147">
        <w:rPr>
          <w:lang w:val="en-US"/>
        </w:rPr>
        <w:t xml:space="preserve"> provid</w:t>
      </w:r>
      <w:r w:rsidR="0089470C" w:rsidRPr="00FD7147">
        <w:rPr>
          <w:lang w:val="en-US"/>
        </w:rPr>
        <w:t xml:space="preserve">ing </w:t>
      </w:r>
      <w:r w:rsidR="00897D80" w:rsidRPr="00FD7147">
        <w:rPr>
          <w:lang w:val="en-US"/>
        </w:rPr>
        <w:t xml:space="preserve">additional </w:t>
      </w:r>
      <w:r w:rsidR="00A349C7" w:rsidRPr="00FD7147">
        <w:rPr>
          <w:lang w:val="en-US"/>
        </w:rPr>
        <w:t xml:space="preserve">support </w:t>
      </w:r>
      <w:r w:rsidR="00CA5103" w:rsidRPr="00FD7147">
        <w:rPr>
          <w:lang w:val="en-US"/>
        </w:rPr>
        <w:t xml:space="preserve">for </w:t>
      </w:r>
      <w:r w:rsidR="00A349C7" w:rsidRPr="00FD7147">
        <w:rPr>
          <w:lang w:val="en-US"/>
        </w:rPr>
        <w:t>the possibility</w:t>
      </w:r>
      <w:r w:rsidR="00CA5103" w:rsidRPr="00FD7147">
        <w:rPr>
          <w:lang w:val="en-US"/>
        </w:rPr>
        <w:t xml:space="preserve"> </w:t>
      </w:r>
      <w:r w:rsidR="0089470C" w:rsidRPr="00FD7147">
        <w:rPr>
          <w:lang w:val="en-US"/>
        </w:rPr>
        <w:t>that the</w:t>
      </w:r>
      <w:r w:rsidR="00897D80" w:rsidRPr="00FD7147">
        <w:rPr>
          <w:lang w:val="en-US"/>
        </w:rPr>
        <w:t xml:space="preserve"> change is due to increased </w:t>
      </w:r>
      <w:r w:rsidR="00DD4113" w:rsidRPr="00FD7147">
        <w:rPr>
          <w:lang w:val="en-US"/>
        </w:rPr>
        <w:t>density</w:t>
      </w:r>
      <w:r w:rsidR="0000736B" w:rsidRPr="00FD7147">
        <w:rPr>
          <w:lang w:val="en-US"/>
        </w:rPr>
        <w:t xml:space="preserve"> </w:t>
      </w:r>
      <w:r w:rsidR="00A349C7" w:rsidRPr="00FD7147">
        <w:rPr>
          <w:lang w:val="en-US"/>
        </w:rPr>
        <w:t xml:space="preserve">or southward shifts </w:t>
      </w:r>
      <w:r w:rsidR="00897D80" w:rsidRPr="00FD7147">
        <w:rPr>
          <w:lang w:val="en-US"/>
        </w:rPr>
        <w:t>in the central region.</w:t>
      </w:r>
      <w:r w:rsidR="004F2DA7" w:rsidRPr="00FD7147">
        <w:rPr>
          <w:lang w:val="en-US"/>
        </w:rPr>
        <w:t xml:space="preserve"> </w:t>
      </w:r>
    </w:p>
    <w:p w14:paraId="06262984" w14:textId="4BC380A4" w:rsidR="00812679" w:rsidRPr="00FD7147" w:rsidRDefault="004F2DA7" w:rsidP="00D26510">
      <w:pPr>
        <w:spacing w:after="120" w:line="480" w:lineRule="auto"/>
        <w:ind w:firstLine="720"/>
        <w:rPr>
          <w:lang w:val="en-US"/>
        </w:rPr>
      </w:pPr>
      <w:r w:rsidRPr="00FD7147">
        <w:rPr>
          <w:lang w:val="en-US"/>
        </w:rPr>
        <w:t>For other species</w:t>
      </w:r>
      <w:r w:rsidR="0089470C" w:rsidRPr="00FD7147">
        <w:rPr>
          <w:lang w:val="en-US"/>
        </w:rPr>
        <w:t xml:space="preserve"> in our analysis</w:t>
      </w:r>
      <w:r w:rsidRPr="00FD7147">
        <w:rPr>
          <w:lang w:val="en-US"/>
        </w:rPr>
        <w:t xml:space="preserve">, even the </w:t>
      </w:r>
      <w:r w:rsidR="006B1E39" w:rsidRPr="00FD7147">
        <w:rPr>
          <w:lang w:val="en-US"/>
        </w:rPr>
        <w:t>region</w:t>
      </w:r>
      <w:r w:rsidRPr="00FD7147">
        <w:rPr>
          <w:lang w:val="en-US"/>
        </w:rPr>
        <w:t>-specific COG does not accurately capture the nuanced spatial changes</w:t>
      </w:r>
      <w:r w:rsidR="00306407" w:rsidRPr="00FD7147">
        <w:rPr>
          <w:lang w:val="en-US"/>
        </w:rPr>
        <w:t xml:space="preserve"> described by the </w:t>
      </w:r>
      <w:r w:rsidR="00C25EE2" w:rsidRPr="00FD7147">
        <w:rPr>
          <w:lang w:val="en-US"/>
        </w:rPr>
        <w:t>local trend</w:t>
      </w:r>
      <w:r w:rsidR="0089470C" w:rsidRPr="00FD7147">
        <w:rPr>
          <w:lang w:val="en-US"/>
        </w:rPr>
        <w:t xml:space="preserve"> field</w:t>
      </w:r>
      <w:r w:rsidRPr="00FD7147">
        <w:rPr>
          <w:lang w:val="en-US"/>
        </w:rPr>
        <w:t xml:space="preserve">. For example, </w:t>
      </w:r>
      <w:proofErr w:type="spellStart"/>
      <w:r w:rsidRPr="00FD7147">
        <w:rPr>
          <w:lang w:val="en-US"/>
        </w:rPr>
        <w:t>shortspine</w:t>
      </w:r>
      <w:proofErr w:type="spellEnd"/>
      <w:r w:rsidRPr="00FD7147">
        <w:rPr>
          <w:lang w:val="en-US"/>
        </w:rPr>
        <w:t xml:space="preserve"> </w:t>
      </w:r>
      <w:proofErr w:type="spellStart"/>
      <w:r w:rsidRPr="00FD7147">
        <w:rPr>
          <w:lang w:val="en-US"/>
        </w:rPr>
        <w:t>thornyhead</w:t>
      </w:r>
      <w:proofErr w:type="spellEnd"/>
      <w:r w:rsidRPr="00FD7147">
        <w:rPr>
          <w:lang w:val="en-US"/>
        </w:rPr>
        <w:t xml:space="preserve"> is distributed coast</w:t>
      </w:r>
      <w:r w:rsidR="00D66A11" w:rsidRPr="00FD7147">
        <w:rPr>
          <w:lang w:val="en-US"/>
        </w:rPr>
        <w:t>-</w:t>
      </w:r>
      <w:r w:rsidRPr="00FD7147">
        <w:rPr>
          <w:lang w:val="en-US"/>
        </w:rPr>
        <w:t xml:space="preserve">wide, yet </w:t>
      </w:r>
      <w:r w:rsidR="00386DC1" w:rsidRPr="00FD7147">
        <w:rPr>
          <w:lang w:val="en-US"/>
        </w:rPr>
        <w:t xml:space="preserve">their </w:t>
      </w:r>
      <w:r w:rsidR="00DD4113" w:rsidRPr="00FD7147">
        <w:rPr>
          <w:lang w:val="en-US"/>
        </w:rPr>
        <w:t>density</w:t>
      </w:r>
      <w:r w:rsidR="0000736B" w:rsidRPr="00FD7147">
        <w:rPr>
          <w:lang w:val="en-US"/>
        </w:rPr>
        <w:t xml:space="preserve"> </w:t>
      </w:r>
      <w:r w:rsidR="00386DC1" w:rsidRPr="00FD7147">
        <w:rPr>
          <w:lang w:val="en-US"/>
        </w:rPr>
        <w:t xml:space="preserve">is </w:t>
      </w:r>
      <w:r w:rsidRPr="00FD7147">
        <w:rPr>
          <w:lang w:val="en-US"/>
        </w:rPr>
        <w:t xml:space="preserve">increasing fastest in the north-central area </w:t>
      </w:r>
      <w:r w:rsidR="00A349C7" w:rsidRPr="00FD7147">
        <w:rPr>
          <w:lang w:val="en-US"/>
        </w:rPr>
        <w:t xml:space="preserve">and decreasing in the south </w:t>
      </w:r>
      <w:r w:rsidR="007A6870" w:rsidRPr="00FD7147">
        <w:rPr>
          <w:lang w:val="en-US"/>
        </w:rPr>
        <w:t xml:space="preserve">and within some isolated patches in the far northern end of the region </w:t>
      </w:r>
      <w:r w:rsidRPr="00FD7147">
        <w:rPr>
          <w:lang w:val="en-US"/>
        </w:rPr>
        <w:t>(</w:t>
      </w:r>
      <w:r w:rsidR="005B5CB5" w:rsidRPr="00FD7147">
        <w:rPr>
          <w:lang w:val="en-US"/>
        </w:rPr>
        <w:t>Fig. 5</w:t>
      </w:r>
      <w:r w:rsidRPr="00FD7147">
        <w:rPr>
          <w:lang w:val="en-US"/>
        </w:rPr>
        <w:t>, last row</w:t>
      </w:r>
      <w:r w:rsidR="000227CF" w:rsidRPr="00FD7147">
        <w:rPr>
          <w:lang w:val="en-US"/>
        </w:rPr>
        <w:t>, left column</w:t>
      </w:r>
      <w:r w:rsidRPr="00FD7147">
        <w:rPr>
          <w:lang w:val="en-US"/>
        </w:rPr>
        <w:t>).</w:t>
      </w:r>
      <w:r w:rsidR="009D3831" w:rsidRPr="00FD7147">
        <w:rPr>
          <w:lang w:val="en-US"/>
        </w:rPr>
        <w:t xml:space="preserve"> In this case, the coast</w:t>
      </w:r>
      <w:r w:rsidR="00D66A11" w:rsidRPr="00FD7147">
        <w:rPr>
          <w:lang w:val="en-US"/>
        </w:rPr>
        <w:t>-</w:t>
      </w:r>
      <w:r w:rsidR="009D3831" w:rsidRPr="00FD7147">
        <w:rPr>
          <w:lang w:val="en-US"/>
        </w:rPr>
        <w:t xml:space="preserve">wide COG indicates a northward distribution shift, yet the </w:t>
      </w:r>
      <w:r w:rsidR="006B1E39" w:rsidRPr="00FD7147">
        <w:rPr>
          <w:lang w:val="en-US"/>
        </w:rPr>
        <w:t>region</w:t>
      </w:r>
      <w:r w:rsidR="009D3831" w:rsidRPr="00FD7147">
        <w:rPr>
          <w:lang w:val="en-US"/>
        </w:rPr>
        <w:t xml:space="preserve">-specific COG indicates </w:t>
      </w:r>
      <w:r w:rsidR="005F2BA0" w:rsidRPr="00FD7147">
        <w:rPr>
          <w:lang w:val="en-US"/>
        </w:rPr>
        <w:t>converging trends</w:t>
      </w:r>
      <w:r w:rsidR="00AD28B6" w:rsidRPr="00FD7147">
        <w:rPr>
          <w:lang w:val="en-US"/>
        </w:rPr>
        <w:t>, perhaps indicative of contraction of the core range</w:t>
      </w:r>
      <w:r w:rsidR="005F2BA0" w:rsidRPr="00FD7147">
        <w:rPr>
          <w:lang w:val="en-US"/>
        </w:rPr>
        <w:t>:</w:t>
      </w:r>
      <w:r w:rsidR="009D3831" w:rsidRPr="00FD7147">
        <w:rPr>
          <w:lang w:val="en-US"/>
        </w:rPr>
        <w:t xml:space="preserve"> slight</w:t>
      </w:r>
      <w:r w:rsidR="005F2BA0" w:rsidRPr="00FD7147">
        <w:rPr>
          <w:lang w:val="en-US"/>
        </w:rPr>
        <w:t>ly</w:t>
      </w:r>
      <w:r w:rsidR="009D3831" w:rsidRPr="00FD7147">
        <w:rPr>
          <w:lang w:val="en-US"/>
        </w:rPr>
        <w:t xml:space="preserve"> southward shifting of the northern </w:t>
      </w:r>
      <w:r w:rsidR="006B1E39" w:rsidRPr="00FD7147">
        <w:rPr>
          <w:lang w:val="en-US"/>
        </w:rPr>
        <w:t>region</w:t>
      </w:r>
      <w:r w:rsidR="005F2BA0" w:rsidRPr="00FD7147">
        <w:rPr>
          <w:lang w:val="en-US"/>
        </w:rPr>
        <w:t xml:space="preserve"> and slight northward shift </w:t>
      </w:r>
      <w:r w:rsidR="0046086A" w:rsidRPr="00FD7147">
        <w:rPr>
          <w:lang w:val="en-US"/>
        </w:rPr>
        <w:t>in</w:t>
      </w:r>
      <w:r w:rsidR="005F2BA0" w:rsidRPr="00FD7147">
        <w:rPr>
          <w:lang w:val="en-US"/>
        </w:rPr>
        <w:t xml:space="preserve"> the central </w:t>
      </w:r>
      <w:r w:rsidR="0046086A" w:rsidRPr="00FD7147">
        <w:rPr>
          <w:lang w:val="en-US"/>
        </w:rPr>
        <w:t>region</w:t>
      </w:r>
      <w:r w:rsidR="009D3831" w:rsidRPr="00FD7147">
        <w:rPr>
          <w:lang w:val="en-US"/>
        </w:rPr>
        <w:t>.</w:t>
      </w:r>
      <w:r w:rsidR="007A6870" w:rsidRPr="00FD7147">
        <w:rPr>
          <w:lang w:val="en-US"/>
        </w:rPr>
        <w:t xml:space="preserve"> Thus, the interpretation from the COGs at both scales are relatively consistent with the fine-scale interpretation of the </w:t>
      </w:r>
      <w:r w:rsidR="00087449" w:rsidRPr="00FD7147">
        <w:rPr>
          <w:lang w:val="en-US"/>
        </w:rPr>
        <w:t>local trend</w:t>
      </w:r>
      <w:r w:rsidR="007A6870" w:rsidRPr="00FD7147">
        <w:rPr>
          <w:lang w:val="en-US"/>
        </w:rPr>
        <w:t xml:space="preserve">, yet </w:t>
      </w:r>
      <w:r w:rsidR="009367A8" w:rsidRPr="00FD7147">
        <w:rPr>
          <w:lang w:val="en-US"/>
        </w:rPr>
        <w:t>the</w:t>
      </w:r>
      <w:r w:rsidR="00EA29E1" w:rsidRPr="00FD7147">
        <w:rPr>
          <w:lang w:val="en-US"/>
        </w:rPr>
        <w:t>se</w:t>
      </w:r>
      <w:r w:rsidR="009367A8" w:rsidRPr="00FD7147">
        <w:rPr>
          <w:lang w:val="en-US"/>
        </w:rPr>
        <w:t xml:space="preserve"> coarse-scale metrics</w:t>
      </w:r>
      <w:r w:rsidR="007A6870" w:rsidRPr="00FD7147">
        <w:rPr>
          <w:lang w:val="en-US"/>
        </w:rPr>
        <w:t xml:space="preserve"> </w:t>
      </w:r>
      <w:r w:rsidR="00EA29E1" w:rsidRPr="00FD7147">
        <w:rPr>
          <w:lang w:val="en-US"/>
        </w:rPr>
        <w:t xml:space="preserve">still mask underlying patterns, in this case </w:t>
      </w:r>
      <w:r w:rsidR="007A6870" w:rsidRPr="00FD7147">
        <w:rPr>
          <w:lang w:val="en-US"/>
        </w:rPr>
        <w:t>the decrease</w:t>
      </w:r>
      <w:r w:rsidR="00DD4113" w:rsidRPr="00FD7147">
        <w:rPr>
          <w:lang w:val="en-US"/>
        </w:rPr>
        <w:t>d</w:t>
      </w:r>
      <w:r w:rsidR="007A6870" w:rsidRPr="00FD7147">
        <w:rPr>
          <w:lang w:val="en-US"/>
        </w:rPr>
        <w:t xml:space="preserve"> </w:t>
      </w:r>
      <w:r w:rsidR="00DD4113" w:rsidRPr="00FD7147">
        <w:rPr>
          <w:lang w:val="en-US"/>
        </w:rPr>
        <w:t>density</w:t>
      </w:r>
      <w:r w:rsidR="0000736B" w:rsidRPr="00FD7147">
        <w:rPr>
          <w:lang w:val="en-US"/>
        </w:rPr>
        <w:t xml:space="preserve"> </w:t>
      </w:r>
      <w:r w:rsidR="007A6870" w:rsidRPr="00FD7147">
        <w:rPr>
          <w:lang w:val="en-US"/>
        </w:rPr>
        <w:t>in the southern region.</w:t>
      </w:r>
    </w:p>
    <w:p w14:paraId="5580257D" w14:textId="71F15B2E" w:rsidR="00DE015F" w:rsidRPr="00FD7147" w:rsidRDefault="008E0DB6" w:rsidP="00D26510">
      <w:pPr>
        <w:spacing w:after="120" w:line="480" w:lineRule="auto"/>
        <w:rPr>
          <w:u w:val="single"/>
          <w:lang w:val="en-US"/>
        </w:rPr>
      </w:pPr>
      <w:r w:rsidRPr="00FD7147">
        <w:rPr>
          <w:lang w:val="en-US"/>
        </w:rPr>
        <w:tab/>
        <w:t xml:space="preserve">Other species demonstrated additional patterns of changes in spatial distribution of density and </w:t>
      </w:r>
      <w:r w:rsidR="00C03EAF" w:rsidRPr="00FD7147">
        <w:rPr>
          <w:lang w:val="en-US"/>
        </w:rPr>
        <w:t xml:space="preserve">contrasting inference among metrics, including </w:t>
      </w:r>
      <w:proofErr w:type="spellStart"/>
      <w:r w:rsidR="00C03EAF" w:rsidRPr="00FD7147">
        <w:rPr>
          <w:lang w:val="en-US"/>
        </w:rPr>
        <w:t>bocaccio</w:t>
      </w:r>
      <w:proofErr w:type="spellEnd"/>
      <w:r w:rsidR="00C03EAF" w:rsidRPr="00FD7147">
        <w:rPr>
          <w:lang w:val="en-US"/>
        </w:rPr>
        <w:t xml:space="preserve"> rockfish (</w:t>
      </w:r>
      <w:r w:rsidR="00C03EAF" w:rsidRPr="00FD7147">
        <w:rPr>
          <w:i/>
          <w:lang w:val="en-US"/>
        </w:rPr>
        <w:t xml:space="preserve">Sebastes </w:t>
      </w:r>
      <w:proofErr w:type="spellStart"/>
      <w:r w:rsidR="00C03EAF" w:rsidRPr="00FD7147">
        <w:rPr>
          <w:i/>
          <w:lang w:val="en-US"/>
        </w:rPr>
        <w:t>paucispinis</w:t>
      </w:r>
      <w:proofErr w:type="spellEnd"/>
      <w:r w:rsidR="00C03EAF" w:rsidRPr="00FD7147">
        <w:rPr>
          <w:lang w:val="en-US"/>
        </w:rPr>
        <w:t>), English sole (</w:t>
      </w:r>
      <w:proofErr w:type="spellStart"/>
      <w:r w:rsidR="00C03EAF" w:rsidRPr="00FD7147">
        <w:rPr>
          <w:i/>
          <w:lang w:val="en-US"/>
        </w:rPr>
        <w:t>Parophrys</w:t>
      </w:r>
      <w:proofErr w:type="spellEnd"/>
      <w:r w:rsidR="00C03EAF" w:rsidRPr="00FD7147">
        <w:rPr>
          <w:i/>
          <w:lang w:val="en-US"/>
        </w:rPr>
        <w:t xml:space="preserve"> </w:t>
      </w:r>
      <w:proofErr w:type="spellStart"/>
      <w:r w:rsidR="00C03EAF" w:rsidRPr="00FD7147">
        <w:rPr>
          <w:i/>
          <w:lang w:val="en-US"/>
        </w:rPr>
        <w:t>vetulus</w:t>
      </w:r>
      <w:proofErr w:type="spellEnd"/>
      <w:r w:rsidR="00C03EAF" w:rsidRPr="00FD7147">
        <w:rPr>
          <w:lang w:val="en-US"/>
        </w:rPr>
        <w:t xml:space="preserve">), </w:t>
      </w:r>
      <w:proofErr w:type="spellStart"/>
      <w:r w:rsidR="00C03EAF" w:rsidRPr="00FD7147">
        <w:rPr>
          <w:lang w:val="en-US"/>
        </w:rPr>
        <w:t>petrale</w:t>
      </w:r>
      <w:proofErr w:type="spellEnd"/>
      <w:r w:rsidR="00C03EAF" w:rsidRPr="00FD7147">
        <w:rPr>
          <w:lang w:val="en-US"/>
        </w:rPr>
        <w:t xml:space="preserve"> sole (</w:t>
      </w:r>
      <w:proofErr w:type="spellStart"/>
      <w:r w:rsidR="00C03EAF" w:rsidRPr="00FD7147">
        <w:rPr>
          <w:i/>
          <w:lang w:val="en-US"/>
        </w:rPr>
        <w:t>Eopsetta</w:t>
      </w:r>
      <w:proofErr w:type="spellEnd"/>
      <w:r w:rsidR="00C03EAF" w:rsidRPr="00FD7147">
        <w:rPr>
          <w:i/>
          <w:lang w:val="en-US"/>
        </w:rPr>
        <w:t xml:space="preserve"> </w:t>
      </w:r>
      <w:proofErr w:type="spellStart"/>
      <w:r w:rsidR="00C03EAF" w:rsidRPr="00FD7147">
        <w:rPr>
          <w:i/>
          <w:lang w:val="en-US"/>
        </w:rPr>
        <w:t>jordani</w:t>
      </w:r>
      <w:proofErr w:type="spellEnd"/>
      <w:r w:rsidR="00C03EAF" w:rsidRPr="00FD7147">
        <w:rPr>
          <w:lang w:val="en-US"/>
        </w:rPr>
        <w:t>), and sablefish (</w:t>
      </w:r>
      <w:proofErr w:type="spellStart"/>
      <w:r w:rsidR="00C03EAF" w:rsidRPr="00FD7147">
        <w:rPr>
          <w:i/>
          <w:lang w:val="en-US"/>
        </w:rPr>
        <w:t>Anoplopoma</w:t>
      </w:r>
      <w:proofErr w:type="spellEnd"/>
      <w:r w:rsidR="00C03EAF" w:rsidRPr="00FD7147">
        <w:rPr>
          <w:i/>
          <w:lang w:val="en-US"/>
        </w:rPr>
        <w:t xml:space="preserve"> fimbria</w:t>
      </w:r>
      <w:r w:rsidR="00C03EAF" w:rsidRPr="00FD7147">
        <w:rPr>
          <w:lang w:val="en-US"/>
        </w:rPr>
        <w:t xml:space="preserve">). </w:t>
      </w:r>
      <w:proofErr w:type="spellStart"/>
      <w:r w:rsidR="002E67B9" w:rsidRPr="00FD7147">
        <w:rPr>
          <w:lang w:val="en-US"/>
        </w:rPr>
        <w:t>Bocaccio</w:t>
      </w:r>
      <w:proofErr w:type="spellEnd"/>
      <w:r w:rsidR="008D10BD" w:rsidRPr="00FD7147">
        <w:rPr>
          <w:lang w:val="en-US"/>
        </w:rPr>
        <w:t xml:space="preserve"> were typically more abundant in the southern and central areas yet were experiencing the fastest increases in </w:t>
      </w:r>
      <w:r w:rsidR="00DD4113" w:rsidRPr="00FD7147">
        <w:rPr>
          <w:lang w:val="en-US"/>
        </w:rPr>
        <w:t>density</w:t>
      </w:r>
      <w:r w:rsidR="0000736B" w:rsidRPr="00FD7147">
        <w:rPr>
          <w:lang w:val="en-US"/>
        </w:rPr>
        <w:t xml:space="preserve"> </w:t>
      </w:r>
      <w:r w:rsidR="008D10BD" w:rsidRPr="00FD7147">
        <w:rPr>
          <w:lang w:val="en-US"/>
        </w:rPr>
        <w:t>in the north</w:t>
      </w:r>
      <w:r w:rsidR="00FA22FD" w:rsidRPr="00FD7147">
        <w:rPr>
          <w:lang w:val="en-US"/>
        </w:rPr>
        <w:t>, indicating a northward density shift</w:t>
      </w:r>
      <w:r w:rsidR="008D10BD" w:rsidRPr="00FD7147">
        <w:rPr>
          <w:lang w:val="en-US"/>
        </w:rPr>
        <w:t xml:space="preserve">. </w:t>
      </w:r>
      <w:r w:rsidR="009A107D" w:rsidRPr="00FD7147">
        <w:rPr>
          <w:lang w:val="en-US"/>
        </w:rPr>
        <w:t>These observations contrast with those from the COG, where the coast</w:t>
      </w:r>
      <w:r w:rsidR="00CB2035" w:rsidRPr="00FD7147">
        <w:rPr>
          <w:lang w:val="en-US"/>
        </w:rPr>
        <w:t>-</w:t>
      </w:r>
      <w:r w:rsidR="009A107D" w:rsidRPr="00FD7147">
        <w:rPr>
          <w:lang w:val="en-US"/>
        </w:rPr>
        <w:t xml:space="preserve">wide COG for </w:t>
      </w:r>
      <w:proofErr w:type="spellStart"/>
      <w:r w:rsidR="009A107D" w:rsidRPr="00FD7147">
        <w:rPr>
          <w:lang w:val="en-US"/>
        </w:rPr>
        <w:t>bocaccio</w:t>
      </w:r>
      <w:proofErr w:type="spellEnd"/>
      <w:r w:rsidR="009A107D" w:rsidRPr="00FD7147">
        <w:rPr>
          <w:lang w:val="en-US"/>
        </w:rPr>
        <w:t xml:space="preserve"> </w:t>
      </w:r>
      <w:r w:rsidR="00FA22FD" w:rsidRPr="00FD7147">
        <w:rPr>
          <w:lang w:val="en-US"/>
        </w:rPr>
        <w:t>was</w:t>
      </w:r>
      <w:r w:rsidR="009A107D" w:rsidRPr="00FD7147">
        <w:rPr>
          <w:lang w:val="en-US"/>
        </w:rPr>
        <w:t xml:space="preserve"> highly variable with </w:t>
      </w:r>
      <w:r w:rsidR="00484F75" w:rsidRPr="00FD7147">
        <w:rPr>
          <w:lang w:val="en-US"/>
        </w:rPr>
        <w:t>either no trend or a very slight southward</w:t>
      </w:r>
      <w:r w:rsidR="009A107D" w:rsidRPr="00FD7147">
        <w:rPr>
          <w:lang w:val="en-US"/>
        </w:rPr>
        <w:t xml:space="preserve"> trend, </w:t>
      </w:r>
      <w:r w:rsidR="00FA22FD" w:rsidRPr="00FD7147">
        <w:rPr>
          <w:lang w:val="en-US"/>
        </w:rPr>
        <w:t>and</w:t>
      </w:r>
      <w:r w:rsidR="009A107D" w:rsidRPr="00FD7147">
        <w:rPr>
          <w:lang w:val="en-US"/>
        </w:rPr>
        <w:t xml:space="preserve"> the COG of the northern </w:t>
      </w:r>
      <w:r w:rsidR="006B1E39" w:rsidRPr="00FD7147">
        <w:rPr>
          <w:lang w:val="en-US"/>
        </w:rPr>
        <w:t>region</w:t>
      </w:r>
      <w:r w:rsidR="009A107D" w:rsidRPr="00FD7147">
        <w:rPr>
          <w:lang w:val="en-US"/>
        </w:rPr>
        <w:t xml:space="preserve"> indicates a southward shift</w:t>
      </w:r>
      <w:r w:rsidR="00484F75" w:rsidRPr="00FD7147">
        <w:rPr>
          <w:lang w:val="en-US"/>
        </w:rPr>
        <w:t xml:space="preserve"> </w:t>
      </w:r>
      <w:r w:rsidR="00FA22FD" w:rsidRPr="00FD7147">
        <w:rPr>
          <w:lang w:val="en-US"/>
        </w:rPr>
        <w:t>in</w:t>
      </w:r>
      <w:r w:rsidR="00484F75" w:rsidRPr="00FD7147">
        <w:rPr>
          <w:lang w:val="en-US"/>
        </w:rPr>
        <w:t xml:space="preserve"> some years</w:t>
      </w:r>
      <w:r w:rsidR="009A107D" w:rsidRPr="00FD7147">
        <w:rPr>
          <w:lang w:val="en-US"/>
        </w:rPr>
        <w:t>.</w:t>
      </w:r>
      <w:r w:rsidR="00DC32E2" w:rsidRPr="00FD7147">
        <w:rPr>
          <w:lang w:val="en-US"/>
        </w:rPr>
        <w:t xml:space="preserve"> </w:t>
      </w:r>
      <w:r w:rsidR="007D67D6" w:rsidRPr="00FD7147">
        <w:rPr>
          <w:lang w:val="en-US"/>
        </w:rPr>
        <w:t>Divergent</w:t>
      </w:r>
      <w:r w:rsidR="00DE015F" w:rsidRPr="00FD7147">
        <w:rPr>
          <w:lang w:val="en-US"/>
        </w:rPr>
        <w:t xml:space="preserve"> </w:t>
      </w:r>
      <w:r w:rsidR="00397D39" w:rsidRPr="00FD7147">
        <w:rPr>
          <w:lang w:val="en-US"/>
        </w:rPr>
        <w:t>density shifts were observed for English sole and</w:t>
      </w:r>
      <w:r w:rsidR="00264DBE" w:rsidRPr="00FD7147">
        <w:rPr>
          <w:lang w:val="en-US"/>
        </w:rPr>
        <w:t>,</w:t>
      </w:r>
      <w:r w:rsidR="00397D39" w:rsidRPr="00FD7147">
        <w:rPr>
          <w:lang w:val="en-US"/>
        </w:rPr>
        <w:t xml:space="preserve"> </w:t>
      </w:r>
      <w:r w:rsidR="00264DBE" w:rsidRPr="00FD7147">
        <w:rPr>
          <w:lang w:val="en-US"/>
        </w:rPr>
        <w:t xml:space="preserve">to some extent, </w:t>
      </w:r>
      <w:proofErr w:type="spellStart"/>
      <w:r w:rsidR="00397D39" w:rsidRPr="00FD7147">
        <w:rPr>
          <w:lang w:val="en-US"/>
        </w:rPr>
        <w:t>petrale</w:t>
      </w:r>
      <w:proofErr w:type="spellEnd"/>
      <w:r w:rsidR="00397D39" w:rsidRPr="00FD7147">
        <w:rPr>
          <w:lang w:val="en-US"/>
        </w:rPr>
        <w:t xml:space="preserve"> sole. English sole </w:t>
      </w:r>
      <w:r w:rsidR="00264DBE" w:rsidRPr="00FD7147">
        <w:rPr>
          <w:lang w:val="en-US"/>
        </w:rPr>
        <w:t>were</w:t>
      </w:r>
      <w:r w:rsidR="00397D39" w:rsidRPr="00FD7147">
        <w:rPr>
          <w:lang w:val="en-US"/>
        </w:rPr>
        <w:t xml:space="preserve"> typically present in relatively similar densities coast</w:t>
      </w:r>
      <w:r w:rsidR="00CB2035" w:rsidRPr="00FD7147">
        <w:rPr>
          <w:lang w:val="en-US"/>
        </w:rPr>
        <w:t>-</w:t>
      </w:r>
      <w:r w:rsidR="00397D39" w:rsidRPr="00FD7147">
        <w:rPr>
          <w:lang w:val="en-US"/>
        </w:rPr>
        <w:t xml:space="preserve">wide, yet the </w:t>
      </w:r>
      <w:r w:rsidR="00087449" w:rsidRPr="00FD7147">
        <w:rPr>
          <w:lang w:val="en-US"/>
        </w:rPr>
        <w:t>local trend</w:t>
      </w:r>
      <w:r w:rsidR="00397D39" w:rsidRPr="00FD7147">
        <w:rPr>
          <w:lang w:val="en-US"/>
        </w:rPr>
        <w:t xml:space="preserve"> indicated that densities were increasing fastest at the northern and southern ends of the region</w:t>
      </w:r>
      <w:r w:rsidR="00DE015F" w:rsidRPr="00FD7147">
        <w:rPr>
          <w:lang w:val="en-US"/>
        </w:rPr>
        <w:t xml:space="preserve">. </w:t>
      </w:r>
      <w:r w:rsidR="00C51922" w:rsidRPr="00FD7147">
        <w:rPr>
          <w:lang w:val="en-US"/>
        </w:rPr>
        <w:t>However, the coast</w:t>
      </w:r>
      <w:r w:rsidR="00CB2035" w:rsidRPr="00FD7147">
        <w:rPr>
          <w:lang w:val="en-US"/>
        </w:rPr>
        <w:t>-</w:t>
      </w:r>
      <w:r w:rsidR="00C51922" w:rsidRPr="00FD7147">
        <w:rPr>
          <w:lang w:val="en-US"/>
        </w:rPr>
        <w:t xml:space="preserve">wide COG reveals </w:t>
      </w:r>
      <w:r w:rsidR="00484F75" w:rsidRPr="00FD7147">
        <w:rPr>
          <w:lang w:val="en-US"/>
        </w:rPr>
        <w:lastRenderedPageBreak/>
        <w:t>only a slight southward shift</w:t>
      </w:r>
      <w:r w:rsidR="00C51922" w:rsidRPr="00FD7147">
        <w:rPr>
          <w:lang w:val="en-US"/>
        </w:rPr>
        <w:t xml:space="preserve">, while the </w:t>
      </w:r>
      <w:r w:rsidR="006B1E39" w:rsidRPr="00FD7147">
        <w:rPr>
          <w:lang w:val="en-US"/>
        </w:rPr>
        <w:t>region</w:t>
      </w:r>
      <w:r w:rsidR="00556DFB" w:rsidRPr="00FD7147">
        <w:rPr>
          <w:lang w:val="en-US"/>
        </w:rPr>
        <w:t>-specific COGs show</w:t>
      </w:r>
      <w:r w:rsidR="00484F75" w:rsidRPr="00FD7147">
        <w:rPr>
          <w:lang w:val="en-US"/>
        </w:rPr>
        <w:t xml:space="preserve"> only a slight northward shift in the northern region</w:t>
      </w:r>
      <w:r w:rsidR="00C51922" w:rsidRPr="00FD7147">
        <w:rPr>
          <w:lang w:val="en-US"/>
        </w:rPr>
        <w:t>.</w:t>
      </w:r>
      <w:r w:rsidR="00FF0919" w:rsidRPr="00FD7147">
        <w:rPr>
          <w:lang w:val="en-US"/>
        </w:rPr>
        <w:t xml:space="preserve"> </w:t>
      </w:r>
      <w:proofErr w:type="spellStart"/>
      <w:r w:rsidR="00FF0919" w:rsidRPr="00FD7147">
        <w:rPr>
          <w:lang w:val="en-US"/>
        </w:rPr>
        <w:t>Petrale</w:t>
      </w:r>
      <w:proofErr w:type="spellEnd"/>
      <w:r w:rsidR="00FF0919" w:rsidRPr="00FD7147">
        <w:rPr>
          <w:lang w:val="en-US"/>
        </w:rPr>
        <w:t xml:space="preserve"> sole </w:t>
      </w:r>
      <w:r w:rsidR="00306407" w:rsidRPr="00FD7147">
        <w:rPr>
          <w:lang w:val="en-US"/>
        </w:rPr>
        <w:t xml:space="preserve">had a complex </w:t>
      </w:r>
      <w:r w:rsidR="00C25EE2" w:rsidRPr="00FD7147">
        <w:rPr>
          <w:lang w:val="en-US"/>
        </w:rPr>
        <w:t>local trend</w:t>
      </w:r>
      <w:r w:rsidR="00FF0919" w:rsidRPr="00FD7147">
        <w:rPr>
          <w:lang w:val="en-US"/>
        </w:rPr>
        <w:t xml:space="preserve"> field, increasing fastest in the north with </w:t>
      </w:r>
      <w:r w:rsidR="00CC5AEB" w:rsidRPr="00FD7147">
        <w:rPr>
          <w:lang w:val="en-US"/>
        </w:rPr>
        <w:t xml:space="preserve">the exception of isolated declining patches on the inshore side. </w:t>
      </w:r>
      <w:r w:rsidR="009C031E" w:rsidRPr="00FD7147">
        <w:rPr>
          <w:lang w:val="en-US"/>
        </w:rPr>
        <w:t xml:space="preserve">These changes are </w:t>
      </w:r>
      <w:r w:rsidR="00FD7790" w:rsidRPr="00FD7147">
        <w:rPr>
          <w:lang w:val="en-US"/>
        </w:rPr>
        <w:t>somewhat consistent with the coast</w:t>
      </w:r>
      <w:r w:rsidR="00CB2035" w:rsidRPr="00FD7147">
        <w:rPr>
          <w:lang w:val="en-US"/>
        </w:rPr>
        <w:t>-</w:t>
      </w:r>
      <w:r w:rsidR="00FD7790" w:rsidRPr="00FD7147">
        <w:rPr>
          <w:lang w:val="en-US"/>
        </w:rPr>
        <w:t xml:space="preserve">wide COG indicating a slight northward trend amidst moderate </w:t>
      </w:r>
      <w:proofErr w:type="spellStart"/>
      <w:r w:rsidR="00FD7790" w:rsidRPr="00FD7147">
        <w:rPr>
          <w:lang w:val="en-US"/>
        </w:rPr>
        <w:t>interannual</w:t>
      </w:r>
      <w:proofErr w:type="spellEnd"/>
      <w:r w:rsidR="00FD7790" w:rsidRPr="00FD7147">
        <w:rPr>
          <w:lang w:val="en-US"/>
        </w:rPr>
        <w:t xml:space="preserve"> variability. However, COGs of the northern and central </w:t>
      </w:r>
      <w:r w:rsidR="00264DBE" w:rsidRPr="00FD7147">
        <w:rPr>
          <w:lang w:val="en-US"/>
        </w:rPr>
        <w:t>regions</w:t>
      </w:r>
      <w:r w:rsidR="00953EDA">
        <w:rPr>
          <w:lang w:val="en-US"/>
        </w:rPr>
        <w:t>—</w:t>
      </w:r>
      <w:r w:rsidR="007D67D6" w:rsidRPr="00FD7147">
        <w:rPr>
          <w:lang w:val="en-US"/>
        </w:rPr>
        <w:t xml:space="preserve">where </w:t>
      </w:r>
      <w:proofErr w:type="spellStart"/>
      <w:r w:rsidR="007D67D6" w:rsidRPr="00FD7147">
        <w:rPr>
          <w:lang w:val="en-US"/>
        </w:rPr>
        <w:t>petrale</w:t>
      </w:r>
      <w:proofErr w:type="spellEnd"/>
      <w:r w:rsidR="007D67D6" w:rsidRPr="00FD7147">
        <w:rPr>
          <w:lang w:val="en-US"/>
        </w:rPr>
        <w:t xml:space="preserve"> </w:t>
      </w:r>
      <w:r w:rsidR="00953EDA">
        <w:rPr>
          <w:lang w:val="en-US"/>
        </w:rPr>
        <w:t xml:space="preserve">sole </w:t>
      </w:r>
      <w:r w:rsidR="007D67D6" w:rsidRPr="00FD7147">
        <w:rPr>
          <w:lang w:val="en-US"/>
        </w:rPr>
        <w:t>are typically most prevalent</w:t>
      </w:r>
      <w:r w:rsidR="00953EDA">
        <w:rPr>
          <w:lang w:val="en-US"/>
        </w:rPr>
        <w:t>—</w:t>
      </w:r>
      <w:r w:rsidR="007D67D6" w:rsidRPr="00FD7147">
        <w:rPr>
          <w:lang w:val="en-US"/>
        </w:rPr>
        <w:t xml:space="preserve">indicated a </w:t>
      </w:r>
      <w:r w:rsidR="00264DBE" w:rsidRPr="00FD7147">
        <w:rPr>
          <w:lang w:val="en-US"/>
        </w:rPr>
        <w:t>divergent</w:t>
      </w:r>
      <w:r w:rsidR="007D67D6" w:rsidRPr="00FD7147">
        <w:rPr>
          <w:lang w:val="en-US"/>
        </w:rPr>
        <w:t xml:space="preserve"> pattern</w:t>
      </w:r>
      <w:r w:rsidR="00264DBE" w:rsidRPr="00FD7147">
        <w:rPr>
          <w:lang w:val="en-US"/>
        </w:rPr>
        <w:t>, in which densities were shifting northward in the northern region and slightly southward in the central region. Finally, n</w:t>
      </w:r>
      <w:r w:rsidR="00DE015F" w:rsidRPr="00FD7147">
        <w:rPr>
          <w:lang w:val="en-US"/>
        </w:rPr>
        <w:t xml:space="preserve">o </w:t>
      </w:r>
      <w:r w:rsidR="0001428C" w:rsidRPr="00FD7147">
        <w:rPr>
          <w:lang w:val="en-US"/>
        </w:rPr>
        <w:t>obvious directional</w:t>
      </w:r>
      <w:r w:rsidR="00674524" w:rsidRPr="00FD7147">
        <w:rPr>
          <w:lang w:val="en-US"/>
        </w:rPr>
        <w:t xml:space="preserve"> shift in density</w:t>
      </w:r>
      <w:r w:rsidR="00DE015F" w:rsidRPr="00FD7147">
        <w:rPr>
          <w:lang w:val="en-US"/>
        </w:rPr>
        <w:t xml:space="preserve"> was apparent in the </w:t>
      </w:r>
      <w:r w:rsidR="00087449" w:rsidRPr="00FD7147">
        <w:rPr>
          <w:lang w:val="en-US"/>
        </w:rPr>
        <w:t>local trend</w:t>
      </w:r>
      <w:r w:rsidR="00DE015F" w:rsidRPr="00FD7147">
        <w:rPr>
          <w:lang w:val="en-US"/>
        </w:rPr>
        <w:t xml:space="preserve"> for sablefish, yet the coast</w:t>
      </w:r>
      <w:r w:rsidR="00CB2035" w:rsidRPr="00FD7147">
        <w:rPr>
          <w:lang w:val="en-US"/>
        </w:rPr>
        <w:t>-</w:t>
      </w:r>
      <w:r w:rsidR="00DE015F" w:rsidRPr="00FD7147">
        <w:rPr>
          <w:lang w:val="en-US"/>
        </w:rPr>
        <w:t>wide COG time</w:t>
      </w:r>
      <w:r w:rsidR="00CB2035" w:rsidRPr="00FD7147">
        <w:rPr>
          <w:lang w:val="en-US"/>
        </w:rPr>
        <w:t xml:space="preserve"> </w:t>
      </w:r>
      <w:r w:rsidR="00DE015F" w:rsidRPr="00FD7147">
        <w:rPr>
          <w:lang w:val="en-US"/>
        </w:rPr>
        <w:t>series indicated that a northward shift had occurred in the most recent 5</w:t>
      </w:r>
      <w:r w:rsidR="00953EDA">
        <w:rPr>
          <w:lang w:val="en-US"/>
        </w:rPr>
        <w:t>–</w:t>
      </w:r>
      <w:r w:rsidR="00DE015F" w:rsidRPr="00FD7147">
        <w:rPr>
          <w:lang w:val="en-US"/>
        </w:rPr>
        <w:t xml:space="preserve">6 years. The </w:t>
      </w:r>
      <w:r w:rsidR="00556DFB" w:rsidRPr="00FD7147">
        <w:rPr>
          <w:lang w:val="en-US"/>
        </w:rPr>
        <w:t>region</w:t>
      </w:r>
      <w:r w:rsidR="00DE015F" w:rsidRPr="00FD7147">
        <w:rPr>
          <w:lang w:val="en-US"/>
        </w:rPr>
        <w:t xml:space="preserve">-specific COG indicates that this was driven by </w:t>
      </w:r>
      <w:r w:rsidR="00DD4113" w:rsidRPr="00FD7147">
        <w:rPr>
          <w:lang w:val="en-US"/>
        </w:rPr>
        <w:t>density</w:t>
      </w:r>
      <w:r w:rsidR="0000736B" w:rsidRPr="00FD7147">
        <w:rPr>
          <w:lang w:val="en-US"/>
        </w:rPr>
        <w:t xml:space="preserve"> </w:t>
      </w:r>
      <w:r w:rsidR="0040311A" w:rsidRPr="00FD7147">
        <w:rPr>
          <w:lang w:val="en-US"/>
        </w:rPr>
        <w:t xml:space="preserve">changes </w:t>
      </w:r>
      <w:r w:rsidR="00DE015F" w:rsidRPr="00FD7147">
        <w:rPr>
          <w:lang w:val="en-US"/>
        </w:rPr>
        <w:t xml:space="preserve">in the </w:t>
      </w:r>
      <w:r w:rsidR="0040311A" w:rsidRPr="00FD7147">
        <w:rPr>
          <w:lang w:val="en-US"/>
        </w:rPr>
        <w:t>north</w:t>
      </w:r>
      <w:r w:rsidR="00484F75" w:rsidRPr="00FD7147">
        <w:rPr>
          <w:lang w:val="en-US"/>
        </w:rPr>
        <w:t>ern and to some extent central regions</w:t>
      </w:r>
      <w:r w:rsidR="0040311A" w:rsidRPr="00FD7147">
        <w:rPr>
          <w:lang w:val="en-US"/>
        </w:rPr>
        <w:t>.</w:t>
      </w:r>
      <w:r w:rsidR="00C51922" w:rsidRPr="00FD7147">
        <w:rPr>
          <w:lang w:val="en-US"/>
        </w:rPr>
        <w:t xml:space="preserve"> Thus, depending on the evidence used, one could either conclude that there was a recent northward </w:t>
      </w:r>
      <w:r w:rsidR="00674524" w:rsidRPr="00FD7147">
        <w:rPr>
          <w:lang w:val="en-US"/>
        </w:rPr>
        <w:t>density</w:t>
      </w:r>
      <w:r w:rsidR="00C51922" w:rsidRPr="00FD7147">
        <w:rPr>
          <w:lang w:val="en-US"/>
        </w:rPr>
        <w:t xml:space="preserve"> shift, or simply an increase in productivity or aggregation near the core of the range within the north-central area. </w:t>
      </w:r>
    </w:p>
    <w:p w14:paraId="7D0BDD62" w14:textId="017910EF" w:rsidR="00B83E62" w:rsidRPr="00FD7147" w:rsidRDefault="00B83E62" w:rsidP="00D26510">
      <w:pPr>
        <w:spacing w:after="120" w:line="480" w:lineRule="auto"/>
        <w:rPr>
          <w:lang w:val="en-US"/>
        </w:rPr>
      </w:pPr>
    </w:p>
    <w:p w14:paraId="4B390697" w14:textId="77777777" w:rsidR="00B83E62" w:rsidRPr="00FD7147" w:rsidRDefault="00B83E62" w:rsidP="00D26510">
      <w:pPr>
        <w:spacing w:after="120" w:line="480" w:lineRule="auto"/>
        <w:rPr>
          <w:b/>
          <w:lang w:val="en-US"/>
        </w:rPr>
      </w:pPr>
      <w:r w:rsidRPr="00FD7147">
        <w:rPr>
          <w:b/>
          <w:lang w:val="en-US"/>
        </w:rPr>
        <w:t>Discussion</w:t>
      </w:r>
    </w:p>
    <w:p w14:paraId="7AC957B6" w14:textId="2B652DD0" w:rsidR="00DE7E57" w:rsidRDefault="006D0D73" w:rsidP="00D26510">
      <w:pPr>
        <w:spacing w:after="120" w:line="480" w:lineRule="auto"/>
        <w:rPr>
          <w:lang w:val="en-US"/>
        </w:rPr>
      </w:pPr>
      <w:r w:rsidRPr="00FD7147">
        <w:rPr>
          <w:lang w:val="en-US"/>
        </w:rPr>
        <w:t xml:space="preserve">The </w:t>
      </w:r>
      <w:r w:rsidR="002D165A" w:rsidRPr="00FD7147">
        <w:rPr>
          <w:lang w:val="en-US"/>
        </w:rPr>
        <w:t xml:space="preserve">complex </w:t>
      </w:r>
      <w:r w:rsidRPr="00FD7147">
        <w:rPr>
          <w:lang w:val="en-US"/>
        </w:rPr>
        <w:t xml:space="preserve">spatial distribution of biotic and abiotic drivers </w:t>
      </w:r>
      <w:r w:rsidR="00DE7E57" w:rsidRPr="00FD7147">
        <w:rPr>
          <w:lang w:val="en-US"/>
        </w:rPr>
        <w:t>of population productivity and habitat suitability</w:t>
      </w:r>
      <w:r w:rsidR="002D165A" w:rsidRPr="00FD7147">
        <w:rPr>
          <w:lang w:val="en-US"/>
        </w:rPr>
        <w:t xml:space="preserve"> in ecosystems</w:t>
      </w:r>
      <w:r w:rsidR="00DE7E57" w:rsidRPr="00FD7147">
        <w:rPr>
          <w:lang w:val="en-US"/>
        </w:rPr>
        <w:t xml:space="preserve"> suggest</w:t>
      </w:r>
      <w:r w:rsidR="002D165A" w:rsidRPr="00FD7147">
        <w:rPr>
          <w:lang w:val="en-US"/>
        </w:rPr>
        <w:t>s</w:t>
      </w:r>
      <w:r w:rsidR="00DE7E57" w:rsidRPr="00FD7147">
        <w:rPr>
          <w:lang w:val="en-US"/>
        </w:rPr>
        <w:t xml:space="preserve"> that fine-scale descriptors may provide a more accurate representation of changes in species distributions than global indicators calcu</w:t>
      </w:r>
      <w:r w:rsidR="00B0437D" w:rsidRPr="00FD7147">
        <w:rPr>
          <w:lang w:val="en-US"/>
        </w:rPr>
        <w:t xml:space="preserve">lated across an entire region. </w:t>
      </w:r>
      <w:r w:rsidR="00DE7E57" w:rsidRPr="00FD7147">
        <w:rPr>
          <w:lang w:val="en-US"/>
        </w:rPr>
        <w:t>Here, we introduced a new approach to modeling and summarizing spatially</w:t>
      </w:r>
      <w:r w:rsidRPr="00FD7147">
        <w:rPr>
          <w:lang w:val="en-US"/>
        </w:rPr>
        <w:t xml:space="preserve"> </w:t>
      </w:r>
      <w:r w:rsidR="00DE7E57" w:rsidRPr="00FD7147">
        <w:rPr>
          <w:lang w:val="en-US"/>
        </w:rPr>
        <w:t xml:space="preserve">referenced time series data on species </w:t>
      </w:r>
      <w:r w:rsidR="00DD4113" w:rsidRPr="00FD7147">
        <w:rPr>
          <w:lang w:val="en-US"/>
        </w:rPr>
        <w:t>population densities</w:t>
      </w:r>
      <w:r w:rsidR="00DE7E57" w:rsidRPr="00FD7147">
        <w:rPr>
          <w:lang w:val="en-US"/>
        </w:rPr>
        <w:t xml:space="preserve"> to calculate area-specific</w:t>
      </w:r>
      <w:r w:rsidR="00B0437D" w:rsidRPr="00FD7147">
        <w:rPr>
          <w:lang w:val="en-US"/>
        </w:rPr>
        <w:t xml:space="preserve"> trends in population </w:t>
      </w:r>
      <w:r w:rsidR="00DD4113" w:rsidRPr="00FD7147">
        <w:rPr>
          <w:lang w:val="en-US"/>
        </w:rPr>
        <w:t>size</w:t>
      </w:r>
      <w:r w:rsidR="00B0437D" w:rsidRPr="00FD7147">
        <w:rPr>
          <w:lang w:val="en-US"/>
        </w:rPr>
        <w:t xml:space="preserve">. </w:t>
      </w:r>
      <w:r w:rsidR="00DE7E57" w:rsidRPr="00FD7147">
        <w:rPr>
          <w:lang w:val="en-US"/>
        </w:rPr>
        <w:t xml:space="preserve">Our </w:t>
      </w:r>
      <w:r w:rsidR="002D165A" w:rsidRPr="00FD7147">
        <w:rPr>
          <w:lang w:val="en-US"/>
        </w:rPr>
        <w:t>approach</w:t>
      </w:r>
      <w:r w:rsidR="00DE7E57" w:rsidRPr="00FD7147">
        <w:rPr>
          <w:lang w:val="en-US"/>
        </w:rPr>
        <w:t xml:space="preserve"> </w:t>
      </w:r>
      <w:r w:rsidR="0089470C" w:rsidRPr="00FD7147">
        <w:rPr>
          <w:lang w:val="en-US"/>
        </w:rPr>
        <w:t xml:space="preserve">was able to </w:t>
      </w:r>
      <w:r w:rsidR="00DE7E57" w:rsidRPr="00FD7147">
        <w:rPr>
          <w:lang w:val="en-US"/>
        </w:rPr>
        <w:t xml:space="preserve">recover </w:t>
      </w:r>
      <w:r w:rsidR="00087449" w:rsidRPr="00FD7147">
        <w:rPr>
          <w:lang w:val="en-US"/>
        </w:rPr>
        <w:t>local trend</w:t>
      </w:r>
      <w:r w:rsidR="00DE7E57" w:rsidRPr="00FD7147">
        <w:rPr>
          <w:lang w:val="en-US"/>
        </w:rPr>
        <w:t xml:space="preserve">s </w:t>
      </w:r>
      <w:r w:rsidR="0089470C" w:rsidRPr="00FD7147">
        <w:rPr>
          <w:lang w:val="en-US"/>
        </w:rPr>
        <w:t xml:space="preserve">in simulated data and reveal </w:t>
      </w:r>
      <w:r w:rsidR="00DE7E57" w:rsidRPr="00FD7147">
        <w:rPr>
          <w:lang w:val="en-US"/>
        </w:rPr>
        <w:t xml:space="preserve">nuanced </w:t>
      </w:r>
      <w:r w:rsidR="00087449" w:rsidRPr="00FD7147">
        <w:rPr>
          <w:lang w:val="en-US"/>
        </w:rPr>
        <w:t>local trend</w:t>
      </w:r>
      <w:r w:rsidR="00DE7E57" w:rsidRPr="00FD7147">
        <w:rPr>
          <w:lang w:val="en-US"/>
        </w:rPr>
        <w:t xml:space="preserve">s in </w:t>
      </w:r>
      <w:r w:rsidR="0089470C" w:rsidRPr="00FD7147">
        <w:rPr>
          <w:lang w:val="en-US"/>
        </w:rPr>
        <w:t>the dynamics of 19 marine fishes off the west coast of the USA that</w:t>
      </w:r>
      <w:r w:rsidR="00DE7E57" w:rsidRPr="00FD7147">
        <w:rPr>
          <w:lang w:val="en-US"/>
        </w:rPr>
        <w:t xml:space="preserve"> often differed from </w:t>
      </w:r>
      <w:r w:rsidR="0089470C" w:rsidRPr="00FD7147">
        <w:rPr>
          <w:lang w:val="en-US"/>
        </w:rPr>
        <w:t xml:space="preserve">conventional </w:t>
      </w:r>
      <w:r w:rsidR="00DE7E57" w:rsidRPr="00FD7147">
        <w:rPr>
          <w:lang w:val="en-US"/>
        </w:rPr>
        <w:t xml:space="preserve">descriptors of </w:t>
      </w:r>
      <w:r w:rsidR="0089470C" w:rsidRPr="00FD7147">
        <w:rPr>
          <w:lang w:val="en-US"/>
        </w:rPr>
        <w:t xml:space="preserve">larger scale </w:t>
      </w:r>
      <w:r w:rsidR="00DE7E57" w:rsidRPr="00FD7147">
        <w:rPr>
          <w:lang w:val="en-US"/>
        </w:rPr>
        <w:t>distribution shifts</w:t>
      </w:r>
      <w:r w:rsidR="005B0BF6" w:rsidRPr="00FD7147">
        <w:rPr>
          <w:lang w:val="en-US"/>
        </w:rPr>
        <w:t xml:space="preserve"> </w:t>
      </w:r>
      <w:r w:rsidR="00A01347" w:rsidRPr="00A01347">
        <w:t>(</w:t>
      </w:r>
      <w:proofErr w:type="spellStart"/>
      <w:r w:rsidR="00A01347" w:rsidRPr="00A01347">
        <w:t>Woillez</w:t>
      </w:r>
      <w:proofErr w:type="spellEnd"/>
      <w:r w:rsidR="00A01347" w:rsidRPr="00A01347">
        <w:t xml:space="preserve"> et al. 2009, </w:t>
      </w:r>
      <w:r w:rsidR="00A01347" w:rsidRPr="00A01347">
        <w:lastRenderedPageBreak/>
        <w:t xml:space="preserve">Pinsky et al. 2013, </w:t>
      </w:r>
      <w:proofErr w:type="gramStart"/>
      <w:r w:rsidR="00A01347" w:rsidRPr="00A01347">
        <w:t>Thorson</w:t>
      </w:r>
      <w:proofErr w:type="gramEnd"/>
      <w:r w:rsidR="00A01347" w:rsidRPr="00A01347">
        <w:t xml:space="preserve"> et al. 2016a)</w:t>
      </w:r>
      <w:r w:rsidR="00DE7E57" w:rsidRPr="00FD7147">
        <w:rPr>
          <w:lang w:val="en-US"/>
        </w:rPr>
        <w:t>.</w:t>
      </w:r>
      <w:r w:rsidR="00B0437D" w:rsidRPr="00FD7147">
        <w:rPr>
          <w:lang w:val="en-US"/>
        </w:rPr>
        <w:t xml:space="preserve"> Furthermore, the </w:t>
      </w:r>
      <w:r w:rsidR="009C011E" w:rsidRPr="00FD7147">
        <w:rPr>
          <w:lang w:val="en-US"/>
        </w:rPr>
        <w:t xml:space="preserve">ability of our models to detect geographic </w:t>
      </w:r>
      <w:r w:rsidR="00B0437D" w:rsidRPr="00FD7147">
        <w:rPr>
          <w:lang w:val="en-US"/>
        </w:rPr>
        <w:t xml:space="preserve">boundaries between regions with different </w:t>
      </w:r>
      <w:r w:rsidR="009C011E" w:rsidRPr="00FD7147">
        <w:rPr>
          <w:lang w:val="en-US"/>
        </w:rPr>
        <w:t xml:space="preserve">trends was </w:t>
      </w:r>
      <w:r w:rsidR="00B41C58">
        <w:rPr>
          <w:lang w:val="en-US"/>
        </w:rPr>
        <w:t>supported</w:t>
      </w:r>
      <w:r w:rsidR="00B41C58" w:rsidRPr="00FD7147">
        <w:rPr>
          <w:lang w:val="en-US"/>
        </w:rPr>
        <w:t xml:space="preserve"> </w:t>
      </w:r>
      <w:r w:rsidR="009C011E" w:rsidRPr="00FD7147">
        <w:rPr>
          <w:lang w:val="en-US"/>
        </w:rPr>
        <w:t xml:space="preserve">as these boundaries were </w:t>
      </w:r>
      <w:r w:rsidR="00C311BC">
        <w:rPr>
          <w:lang w:val="en-US"/>
        </w:rPr>
        <w:t>often</w:t>
      </w:r>
      <w:r w:rsidR="00C311BC" w:rsidRPr="00FD7147">
        <w:rPr>
          <w:lang w:val="en-US"/>
        </w:rPr>
        <w:t xml:space="preserve"> </w:t>
      </w:r>
      <w:r w:rsidR="009C011E" w:rsidRPr="00FD7147">
        <w:rPr>
          <w:lang w:val="en-US"/>
        </w:rPr>
        <w:t>congruent with known biogeographic breaks</w:t>
      </w:r>
      <w:r w:rsidR="00724A51" w:rsidRPr="00FD7147">
        <w:rPr>
          <w:lang w:val="en-US"/>
        </w:rPr>
        <w:t xml:space="preserve"> (yet we acknowledge that this may be influenced by assumptions </w:t>
      </w:r>
      <w:r w:rsidR="008D2423" w:rsidRPr="00FD7147">
        <w:rPr>
          <w:lang w:val="en-US"/>
        </w:rPr>
        <w:t xml:space="preserve">affecting </w:t>
      </w:r>
      <w:r w:rsidR="00724A51" w:rsidRPr="00FD7147">
        <w:rPr>
          <w:lang w:val="en-US"/>
        </w:rPr>
        <w:t>the optimization of the number of clusters</w:t>
      </w:r>
      <w:r w:rsidR="00C311BC">
        <w:rPr>
          <w:lang w:val="en-US"/>
        </w:rPr>
        <w:t xml:space="preserve"> and other factors that require deeper investigation to strengthen this initial finding</w:t>
      </w:r>
      <w:r w:rsidR="00724A51" w:rsidRPr="00FD7147">
        <w:rPr>
          <w:lang w:val="en-US"/>
        </w:rPr>
        <w:t>)</w:t>
      </w:r>
      <w:r w:rsidR="009C011E" w:rsidRPr="00FD7147">
        <w:rPr>
          <w:lang w:val="en-US"/>
        </w:rPr>
        <w:t>.</w:t>
      </w:r>
      <w:r w:rsidR="00853945" w:rsidRPr="00FD7147">
        <w:rPr>
          <w:lang w:val="en-US"/>
        </w:rPr>
        <w:t xml:space="preserve"> Therefore, boundary detection techniques applied to a </w:t>
      </w:r>
      <w:r w:rsidR="00087449" w:rsidRPr="00FD7147">
        <w:rPr>
          <w:lang w:val="en-US"/>
        </w:rPr>
        <w:t>local trend</w:t>
      </w:r>
      <w:r w:rsidR="00853945" w:rsidRPr="00FD7147">
        <w:rPr>
          <w:lang w:val="en-US"/>
        </w:rPr>
        <w:t xml:space="preserve"> field may be valuable </w:t>
      </w:r>
      <w:r w:rsidR="0004182C" w:rsidRPr="00FD7147">
        <w:rPr>
          <w:lang w:val="en-US"/>
        </w:rPr>
        <w:t>for helping to</w:t>
      </w:r>
      <w:r w:rsidR="00853945" w:rsidRPr="00FD7147">
        <w:rPr>
          <w:lang w:val="en-US"/>
        </w:rPr>
        <w:t xml:space="preserve"> defin</w:t>
      </w:r>
      <w:r w:rsidR="0004182C" w:rsidRPr="00FD7147">
        <w:rPr>
          <w:lang w:val="en-US"/>
        </w:rPr>
        <w:t>e</w:t>
      </w:r>
      <w:r w:rsidR="00853945" w:rsidRPr="00FD7147">
        <w:rPr>
          <w:lang w:val="en-US"/>
        </w:rPr>
        <w:t xml:space="preserve"> </w:t>
      </w:r>
      <w:r w:rsidR="00946D2D" w:rsidRPr="00FD7147">
        <w:rPr>
          <w:lang w:val="en-US"/>
        </w:rPr>
        <w:t xml:space="preserve">appropriate spatial scales for summarizing </w:t>
      </w:r>
      <w:r w:rsidR="0004182C" w:rsidRPr="00FD7147">
        <w:rPr>
          <w:lang w:val="en-US"/>
        </w:rPr>
        <w:t xml:space="preserve">monitoring products </w:t>
      </w:r>
      <w:r w:rsidR="00FF2FC3">
        <w:rPr>
          <w:lang w:val="en-US"/>
        </w:rPr>
        <w:t>(</w:t>
      </w:r>
      <w:r w:rsidR="0004182C" w:rsidRPr="00FD7147">
        <w:rPr>
          <w:lang w:val="en-US"/>
        </w:rPr>
        <w:t xml:space="preserve">such as abundance </w:t>
      </w:r>
      <w:r w:rsidR="00FF2FC3">
        <w:rPr>
          <w:lang w:val="en-US"/>
        </w:rPr>
        <w:t>time series) or regulating the spatial allocation of human impacts (e.g., allowable take of animals or plants)</w:t>
      </w:r>
      <w:r w:rsidR="0004182C" w:rsidRPr="00FD7147">
        <w:rPr>
          <w:lang w:val="en-US"/>
        </w:rPr>
        <w:t>, especially in cases where little other information on spatial population and community structure is available.</w:t>
      </w:r>
      <w:r w:rsidR="002E2F19">
        <w:rPr>
          <w:lang w:val="en-US"/>
        </w:rPr>
        <w:t xml:space="preserve"> Furthermore, we note that the local trend model described here has potential for broad applications to a variety of other </w:t>
      </w:r>
      <w:r w:rsidR="0086362D">
        <w:rPr>
          <w:lang w:val="en-US"/>
        </w:rPr>
        <w:t xml:space="preserve">data types beyond population density (e.g., spatial patterns of temperature variability) and other systems </w:t>
      </w:r>
      <w:r w:rsidR="00A01347" w:rsidRPr="00A01347">
        <w:t xml:space="preserve">(as an extension of existing applications, e.g., Banerjee et al. 2008, Finley et al. 2009, Latimer et al. 2009, </w:t>
      </w:r>
      <w:proofErr w:type="spellStart"/>
      <w:r w:rsidR="00A01347" w:rsidRPr="00A01347">
        <w:t>Cressie</w:t>
      </w:r>
      <w:proofErr w:type="spellEnd"/>
      <w:r w:rsidR="00A01347" w:rsidRPr="00A01347">
        <w:t xml:space="preserve"> and </w:t>
      </w:r>
      <w:proofErr w:type="spellStart"/>
      <w:r w:rsidR="00A01347" w:rsidRPr="00A01347">
        <w:t>Wikle</w:t>
      </w:r>
      <w:proofErr w:type="spellEnd"/>
      <w:r w:rsidR="00A01347" w:rsidRPr="00A01347">
        <w:t xml:space="preserve"> 2011, Thorson et al. 2016b, Hocking et al. 2018)</w:t>
      </w:r>
      <w:r w:rsidR="0086362D">
        <w:rPr>
          <w:lang w:val="en-US"/>
        </w:rPr>
        <w:t xml:space="preserve"> </w:t>
      </w:r>
    </w:p>
    <w:p w14:paraId="1936CBAB" w14:textId="24DA4E2C" w:rsidR="00DE7E57" w:rsidRPr="00FD7147" w:rsidRDefault="0044347D" w:rsidP="00D26510">
      <w:pPr>
        <w:spacing w:after="120" w:line="480" w:lineRule="auto"/>
        <w:ind w:firstLine="720"/>
        <w:rPr>
          <w:lang w:val="en-US"/>
        </w:rPr>
      </w:pPr>
      <w:r w:rsidRPr="00FD7147">
        <w:rPr>
          <w:lang w:val="en-US"/>
        </w:rPr>
        <w:t xml:space="preserve">Our simulations and application </w:t>
      </w:r>
      <w:r w:rsidR="007C1E28" w:rsidRPr="00FD7147">
        <w:rPr>
          <w:lang w:val="en-US"/>
        </w:rPr>
        <w:t xml:space="preserve">of the </w:t>
      </w:r>
      <w:r w:rsidR="00C25EE2" w:rsidRPr="00FD7147">
        <w:rPr>
          <w:lang w:val="en-US"/>
        </w:rPr>
        <w:t>local trend</w:t>
      </w:r>
      <w:r w:rsidR="007C1E28" w:rsidRPr="00FD7147">
        <w:rPr>
          <w:lang w:val="en-US"/>
        </w:rPr>
        <w:t xml:space="preserve"> model </w:t>
      </w:r>
      <w:r w:rsidRPr="00FD7147">
        <w:rPr>
          <w:lang w:val="en-US"/>
        </w:rPr>
        <w:t xml:space="preserve">indicate that </w:t>
      </w:r>
      <w:r w:rsidR="005A4A21" w:rsidRPr="00FD7147">
        <w:rPr>
          <w:lang w:val="en-US"/>
        </w:rPr>
        <w:t>our proposed</w:t>
      </w:r>
      <w:r w:rsidR="007C1E28" w:rsidRPr="00FD7147">
        <w:rPr>
          <w:lang w:val="en-US"/>
        </w:rPr>
        <w:t xml:space="preserve"> approach can improve </w:t>
      </w:r>
      <w:r w:rsidR="005A4A21" w:rsidRPr="00FD7147">
        <w:rPr>
          <w:lang w:val="en-US"/>
        </w:rPr>
        <w:t>estimation and communication of spatially</w:t>
      </w:r>
      <w:r w:rsidR="00F20FA7">
        <w:rPr>
          <w:lang w:val="en-US"/>
        </w:rPr>
        <w:t xml:space="preserve"> </w:t>
      </w:r>
      <w:r w:rsidR="005A4A21" w:rsidRPr="00FD7147">
        <w:rPr>
          <w:lang w:val="en-US"/>
        </w:rPr>
        <w:t>varying temporal trends in population density</w:t>
      </w:r>
      <w:r w:rsidR="007C1E28" w:rsidRPr="00FD7147">
        <w:rPr>
          <w:lang w:val="en-US"/>
        </w:rPr>
        <w:t>. In particular, our a</w:t>
      </w:r>
      <w:r w:rsidR="00144B31" w:rsidRPr="00FD7147">
        <w:rPr>
          <w:lang w:val="en-US"/>
        </w:rPr>
        <w:t>p</w:t>
      </w:r>
      <w:r w:rsidRPr="00FD7147">
        <w:rPr>
          <w:lang w:val="en-US"/>
        </w:rPr>
        <w:t>plication</w:t>
      </w:r>
      <w:r w:rsidR="00144B31" w:rsidRPr="00FD7147">
        <w:rPr>
          <w:lang w:val="en-US"/>
        </w:rPr>
        <w:t xml:space="preserve"> to marine fish survey data </w:t>
      </w:r>
      <w:r w:rsidR="00A77853" w:rsidRPr="00FD7147">
        <w:rPr>
          <w:lang w:val="en-US"/>
        </w:rPr>
        <w:t>indicate</w:t>
      </w:r>
      <w:r w:rsidR="00F17B01" w:rsidRPr="00FD7147">
        <w:rPr>
          <w:lang w:val="en-US"/>
        </w:rPr>
        <w:t>d</w:t>
      </w:r>
      <w:r w:rsidR="005B0BF6" w:rsidRPr="00FD7147">
        <w:rPr>
          <w:lang w:val="en-US"/>
        </w:rPr>
        <w:t xml:space="preserve"> that </w:t>
      </w:r>
      <w:r w:rsidR="00306407" w:rsidRPr="00FD7147">
        <w:rPr>
          <w:lang w:val="en-US"/>
        </w:rPr>
        <w:t xml:space="preserve">models including a </w:t>
      </w:r>
      <w:r w:rsidR="00C25EE2" w:rsidRPr="00FD7147">
        <w:rPr>
          <w:lang w:val="en-US"/>
        </w:rPr>
        <w:t>local trend</w:t>
      </w:r>
      <w:r w:rsidR="00CB31A2" w:rsidRPr="00FD7147">
        <w:rPr>
          <w:lang w:val="en-US"/>
        </w:rPr>
        <w:t xml:space="preserve"> field were more parsimonious than th</w:t>
      </w:r>
      <w:r w:rsidRPr="00FD7147">
        <w:rPr>
          <w:lang w:val="en-US"/>
        </w:rPr>
        <w:t xml:space="preserve">ose without a </w:t>
      </w:r>
      <w:r w:rsidR="00087449" w:rsidRPr="00FD7147">
        <w:rPr>
          <w:lang w:val="en-US"/>
        </w:rPr>
        <w:t>local trend</w:t>
      </w:r>
      <w:r w:rsidRPr="00FD7147">
        <w:rPr>
          <w:lang w:val="en-US"/>
        </w:rPr>
        <w:t>. Thi</w:t>
      </w:r>
      <w:r w:rsidR="00CB31A2" w:rsidRPr="00FD7147">
        <w:rPr>
          <w:lang w:val="en-US"/>
        </w:rPr>
        <w:t>s result</w:t>
      </w:r>
      <w:r w:rsidRPr="00FD7147">
        <w:rPr>
          <w:lang w:val="en-US"/>
        </w:rPr>
        <w:t xml:space="preserve"> is</w:t>
      </w:r>
      <w:r w:rsidR="00CB31A2" w:rsidRPr="00FD7147">
        <w:rPr>
          <w:lang w:val="en-US"/>
        </w:rPr>
        <w:t xml:space="preserve"> consistent with a recent study incorporat</w:t>
      </w:r>
      <w:r w:rsidR="0089470C" w:rsidRPr="00FD7147">
        <w:rPr>
          <w:lang w:val="en-US"/>
        </w:rPr>
        <w:t>ing</w:t>
      </w:r>
      <w:r w:rsidR="00CB31A2" w:rsidRPr="00FD7147">
        <w:rPr>
          <w:lang w:val="en-US"/>
        </w:rPr>
        <w:t xml:space="preserve"> a spatially varying influence of an oceanographic index on </w:t>
      </w:r>
      <w:proofErr w:type="spellStart"/>
      <w:r w:rsidR="00CB31A2" w:rsidRPr="00FD7147">
        <w:rPr>
          <w:lang w:val="en-US"/>
        </w:rPr>
        <w:t>groundfish</w:t>
      </w:r>
      <w:proofErr w:type="spellEnd"/>
      <w:r w:rsidR="00CB31A2" w:rsidRPr="00FD7147">
        <w:rPr>
          <w:lang w:val="en-US"/>
        </w:rPr>
        <w:t xml:space="preserve"> distributions in the eastern Bering Sea </w:t>
      </w:r>
      <w:r w:rsidR="00A01347" w:rsidRPr="00A01347">
        <w:t>(Thorson 2019a)</w:t>
      </w:r>
      <w:r w:rsidR="00CB31A2" w:rsidRPr="00FD7147">
        <w:rPr>
          <w:lang w:val="en-US"/>
        </w:rPr>
        <w:t>.</w:t>
      </w:r>
      <w:r w:rsidR="003C71A3" w:rsidRPr="00FD7147">
        <w:rPr>
          <w:lang w:val="en-US"/>
        </w:rPr>
        <w:t xml:space="preserve"> Furthermore, </w:t>
      </w:r>
      <w:r w:rsidRPr="00FD7147">
        <w:rPr>
          <w:lang w:val="en-US"/>
        </w:rPr>
        <w:t xml:space="preserve">according to our simulations </w:t>
      </w:r>
      <w:r w:rsidR="003C71A3" w:rsidRPr="00FD7147">
        <w:rPr>
          <w:lang w:val="en-US"/>
        </w:rPr>
        <w:t xml:space="preserve">the estimated </w:t>
      </w:r>
      <w:r w:rsidR="00087449" w:rsidRPr="00FD7147">
        <w:rPr>
          <w:lang w:val="en-US"/>
        </w:rPr>
        <w:t>local trend</w:t>
      </w:r>
      <w:r w:rsidR="003C71A3" w:rsidRPr="00FD7147">
        <w:rPr>
          <w:lang w:val="en-US"/>
        </w:rPr>
        <w:t xml:space="preserve">s were </w:t>
      </w:r>
      <w:r w:rsidR="00A14E91" w:rsidRPr="00FD7147">
        <w:rPr>
          <w:lang w:val="en-US"/>
        </w:rPr>
        <w:t>less biased than those estimated post-hoc from predictions</w:t>
      </w:r>
      <w:r w:rsidR="00306407" w:rsidRPr="00FD7147">
        <w:rPr>
          <w:lang w:val="en-US"/>
        </w:rPr>
        <w:t xml:space="preserve"> of a model without the </w:t>
      </w:r>
      <w:r w:rsidR="00C25EE2" w:rsidRPr="00FD7147">
        <w:rPr>
          <w:lang w:val="en-US"/>
        </w:rPr>
        <w:t>local trend</w:t>
      </w:r>
      <w:r w:rsidR="00A14E91" w:rsidRPr="00FD7147">
        <w:rPr>
          <w:lang w:val="en-US"/>
        </w:rPr>
        <w:t xml:space="preserve"> field. </w:t>
      </w:r>
      <w:r w:rsidRPr="00FD7147">
        <w:rPr>
          <w:lang w:val="en-US"/>
        </w:rPr>
        <w:t>However, t</w:t>
      </w:r>
      <w:r w:rsidR="00CB31A2" w:rsidRPr="00FD7147">
        <w:rPr>
          <w:lang w:val="en-US"/>
        </w:rPr>
        <w:t xml:space="preserve">he </w:t>
      </w:r>
      <w:r w:rsidR="00C25EE2" w:rsidRPr="00FD7147">
        <w:rPr>
          <w:lang w:val="en-US"/>
        </w:rPr>
        <w:t>local trend</w:t>
      </w:r>
      <w:r w:rsidR="00306407" w:rsidRPr="00FD7147">
        <w:rPr>
          <w:lang w:val="en-US"/>
        </w:rPr>
        <w:t xml:space="preserve"> model</w:t>
      </w:r>
      <w:r w:rsidR="00CB31A2" w:rsidRPr="00FD7147">
        <w:rPr>
          <w:lang w:val="en-US"/>
        </w:rPr>
        <w:t xml:space="preserve"> is </w:t>
      </w:r>
      <w:r w:rsidR="00A77853" w:rsidRPr="00FD7147">
        <w:rPr>
          <w:lang w:val="en-US"/>
        </w:rPr>
        <w:t xml:space="preserve">somewhat sensitive to observation error and spatiotemporal variation. Such sources of </w:t>
      </w:r>
      <w:r w:rsidR="00A77853" w:rsidRPr="00FD7147">
        <w:rPr>
          <w:lang w:val="en-US"/>
        </w:rPr>
        <w:lastRenderedPageBreak/>
        <w:t xml:space="preserve">variation can obscure the </w:t>
      </w:r>
      <w:r w:rsidR="00087449" w:rsidRPr="00FD7147">
        <w:rPr>
          <w:lang w:val="en-US"/>
        </w:rPr>
        <w:t>local trend</w:t>
      </w:r>
      <w:r w:rsidR="00A77853" w:rsidRPr="00FD7147">
        <w:rPr>
          <w:lang w:val="en-US"/>
        </w:rPr>
        <w:t xml:space="preserve">, yet this is to be expected in the same way that any trend is less detectable given </w:t>
      </w:r>
      <w:r w:rsidR="00C30DD6" w:rsidRPr="00FD7147">
        <w:rPr>
          <w:lang w:val="en-US"/>
        </w:rPr>
        <w:t>noisier data</w:t>
      </w:r>
      <w:r w:rsidR="00F6236A" w:rsidRPr="00FD7147">
        <w:rPr>
          <w:lang w:val="en-US"/>
        </w:rPr>
        <w:t xml:space="preserve"> </w:t>
      </w:r>
      <w:r w:rsidR="00A01347" w:rsidRPr="00A01347">
        <w:t>(</w:t>
      </w:r>
      <w:proofErr w:type="spellStart"/>
      <w:r w:rsidR="00A01347" w:rsidRPr="00A01347">
        <w:t>Weatherhead</w:t>
      </w:r>
      <w:proofErr w:type="spellEnd"/>
      <w:r w:rsidR="00A01347" w:rsidRPr="00A01347">
        <w:t xml:space="preserve"> et al. 1998)</w:t>
      </w:r>
      <w:r w:rsidR="00A77853" w:rsidRPr="00FD7147">
        <w:rPr>
          <w:lang w:val="en-US"/>
        </w:rPr>
        <w:t xml:space="preserve">. </w:t>
      </w:r>
      <w:r w:rsidR="0004774A" w:rsidRPr="00FD7147">
        <w:rPr>
          <w:lang w:val="en-US"/>
        </w:rPr>
        <w:t>Therefore, ou</w:t>
      </w:r>
      <w:r w:rsidR="00D66CB2" w:rsidRPr="00FD7147">
        <w:rPr>
          <w:lang w:val="en-US"/>
        </w:rPr>
        <w:t xml:space="preserve">r method </w:t>
      </w:r>
      <w:r w:rsidR="0004774A" w:rsidRPr="00FD7147">
        <w:rPr>
          <w:lang w:val="en-US"/>
        </w:rPr>
        <w:t>is likely most</w:t>
      </w:r>
      <w:r w:rsidR="00D66CB2" w:rsidRPr="00FD7147">
        <w:rPr>
          <w:lang w:val="en-US"/>
        </w:rPr>
        <w:t xml:space="preserve"> skillful at detecting spatial structure in population or community dynamics from observations with precise measurement within systems with low temporal variation in spatial structure</w:t>
      </w:r>
      <w:r w:rsidR="00FF5B4D" w:rsidRPr="00FD7147">
        <w:rPr>
          <w:lang w:val="en-US"/>
        </w:rPr>
        <w:t xml:space="preserve"> (e.g., those consisting of species with </w:t>
      </w:r>
      <w:r w:rsidR="007735F2" w:rsidRPr="00FD7147">
        <w:rPr>
          <w:lang w:val="en-US"/>
        </w:rPr>
        <w:t xml:space="preserve">higher longevity, generation time, and site fidelity, </w:t>
      </w:r>
      <w:r w:rsidR="00FF5B4D" w:rsidRPr="00FD7147">
        <w:rPr>
          <w:lang w:val="en-US"/>
        </w:rPr>
        <w:t xml:space="preserve">and lower </w:t>
      </w:r>
      <w:r w:rsidR="007735F2" w:rsidRPr="00FD7147">
        <w:rPr>
          <w:lang w:val="en-US"/>
        </w:rPr>
        <w:t xml:space="preserve">rates of movement and </w:t>
      </w:r>
      <w:r w:rsidR="00FF5B4D" w:rsidRPr="00FD7147">
        <w:rPr>
          <w:lang w:val="en-US"/>
        </w:rPr>
        <w:t>variation in dispersal paths)</w:t>
      </w:r>
      <w:r w:rsidR="00D66CB2" w:rsidRPr="00FD7147">
        <w:rPr>
          <w:lang w:val="en-US"/>
        </w:rPr>
        <w:t xml:space="preserve">. </w:t>
      </w:r>
      <w:r w:rsidR="004D7818" w:rsidRPr="00FD7147">
        <w:rPr>
          <w:lang w:val="en-US"/>
        </w:rPr>
        <w:t>We expect that the predictions in our example application in this study are robust to the sensitivity of the method to spatiotemporal variation because the estimated s</w:t>
      </w:r>
      <w:r w:rsidR="00D15182" w:rsidRPr="00FD7147">
        <w:rPr>
          <w:lang w:val="en-US"/>
        </w:rPr>
        <w:t>patiotemporal variance is</w:t>
      </w:r>
      <w:r w:rsidR="004D7818" w:rsidRPr="00FD7147">
        <w:rPr>
          <w:lang w:val="en-US"/>
        </w:rPr>
        <w:t xml:space="preserve"> much lower than the spatial variance for </w:t>
      </w:r>
      <w:proofErr w:type="spellStart"/>
      <w:r w:rsidR="00D15182" w:rsidRPr="00FD7147">
        <w:rPr>
          <w:lang w:val="en-US"/>
        </w:rPr>
        <w:t>groundfish</w:t>
      </w:r>
      <w:proofErr w:type="spellEnd"/>
      <w:r w:rsidR="00D15182" w:rsidRPr="00FD7147">
        <w:rPr>
          <w:lang w:val="en-US"/>
        </w:rPr>
        <w:t xml:space="preserve"> species in this system.</w:t>
      </w:r>
      <w:r w:rsidR="004D7818" w:rsidRPr="00FD7147">
        <w:rPr>
          <w:lang w:val="en-US"/>
        </w:rPr>
        <w:t xml:space="preserve"> </w:t>
      </w:r>
      <w:r w:rsidR="00D15182" w:rsidRPr="00FD7147">
        <w:rPr>
          <w:lang w:val="en-US"/>
        </w:rPr>
        <w:t xml:space="preserve">Observation error in trawl surveys can include a wide range of values as a result of variance in sampling efficiency </w:t>
      </w:r>
      <w:r w:rsidR="00A01347" w:rsidRPr="00A01347">
        <w:t>(</w:t>
      </w:r>
      <w:proofErr w:type="spellStart"/>
      <w:r w:rsidR="00A01347" w:rsidRPr="00A01347">
        <w:t>Kotwicki</w:t>
      </w:r>
      <w:proofErr w:type="spellEnd"/>
      <w:r w:rsidR="00A01347" w:rsidRPr="00A01347">
        <w:t xml:space="preserve"> and Ono 2019)</w:t>
      </w:r>
      <w:r w:rsidR="00D15182" w:rsidRPr="00FD7147">
        <w:rPr>
          <w:lang w:val="en-US"/>
        </w:rPr>
        <w:t>, but relating such values to the observation error scale parameter evaluated in our simulations require</w:t>
      </w:r>
      <w:r w:rsidR="000C7914">
        <w:rPr>
          <w:lang w:val="en-US"/>
        </w:rPr>
        <w:t>s</w:t>
      </w:r>
      <w:r w:rsidR="00D15182" w:rsidRPr="00FD7147">
        <w:rPr>
          <w:lang w:val="en-US"/>
        </w:rPr>
        <w:t xml:space="preserve"> additional research.  </w:t>
      </w:r>
      <w:r w:rsidR="00A1580E">
        <w:rPr>
          <w:lang w:val="en-US"/>
        </w:rPr>
        <w:t>Additional</w:t>
      </w:r>
      <w:r w:rsidR="00A1580E" w:rsidRPr="00FD7147">
        <w:rPr>
          <w:lang w:val="en-US"/>
        </w:rPr>
        <w:t xml:space="preserve"> </w:t>
      </w:r>
      <w:r w:rsidR="0089470C" w:rsidRPr="00FD7147">
        <w:rPr>
          <w:lang w:val="en-US"/>
        </w:rPr>
        <w:t>ways to con</w:t>
      </w:r>
      <w:r w:rsidR="00687754" w:rsidRPr="00FD7147">
        <w:rPr>
          <w:lang w:val="en-US"/>
        </w:rPr>
        <w:t>strain the variance parameters,</w:t>
      </w:r>
      <w:r w:rsidR="0089470C" w:rsidRPr="00FD7147">
        <w:rPr>
          <w:lang w:val="en-US"/>
        </w:rPr>
        <w:t xml:space="preserve"> such as developing informative Bayesian priors from similar surveys</w:t>
      </w:r>
      <w:r w:rsidR="006454FE" w:rsidRPr="00FD7147">
        <w:rPr>
          <w:lang w:val="en-US"/>
        </w:rPr>
        <w:t xml:space="preserve"> </w:t>
      </w:r>
      <w:r w:rsidR="0004774A" w:rsidRPr="00FD7147">
        <w:rPr>
          <w:lang w:val="en-US"/>
        </w:rPr>
        <w:t>migh</w:t>
      </w:r>
      <w:r w:rsidR="009200D7" w:rsidRPr="00FD7147">
        <w:rPr>
          <w:lang w:val="en-US"/>
        </w:rPr>
        <w:t xml:space="preserve">t extend the detectability of </w:t>
      </w:r>
      <w:r w:rsidR="00087449" w:rsidRPr="00FD7147">
        <w:rPr>
          <w:lang w:val="en-US"/>
        </w:rPr>
        <w:t>local trend</w:t>
      </w:r>
      <w:r w:rsidR="009200D7" w:rsidRPr="00FD7147">
        <w:rPr>
          <w:lang w:val="en-US"/>
        </w:rPr>
        <w:t xml:space="preserve"> structure over the models used here.</w:t>
      </w:r>
    </w:p>
    <w:p w14:paraId="66301DFC" w14:textId="0E523A5E" w:rsidR="00DE7E57" w:rsidRPr="00FD7147" w:rsidRDefault="00DE7E57" w:rsidP="00D26510">
      <w:pPr>
        <w:spacing w:after="120" w:line="480" w:lineRule="auto"/>
        <w:ind w:firstLine="720"/>
        <w:rPr>
          <w:lang w:val="en-US"/>
        </w:rPr>
      </w:pPr>
      <w:r w:rsidRPr="00FD7147">
        <w:rPr>
          <w:lang w:val="en-US"/>
        </w:rPr>
        <w:t>We show</w:t>
      </w:r>
      <w:r w:rsidR="00A1701E">
        <w:rPr>
          <w:lang w:val="en-US"/>
        </w:rPr>
        <w:t>ed</w:t>
      </w:r>
      <w:r w:rsidRPr="00FD7147">
        <w:rPr>
          <w:lang w:val="en-US"/>
        </w:rPr>
        <w:t xml:space="preserve"> how inference about shifts in species</w:t>
      </w:r>
      <w:r w:rsidR="00DD4113" w:rsidRPr="00FD7147">
        <w:rPr>
          <w:lang w:val="en-US"/>
        </w:rPr>
        <w:t>’</w:t>
      </w:r>
      <w:r w:rsidRPr="00FD7147">
        <w:rPr>
          <w:lang w:val="en-US"/>
        </w:rPr>
        <w:t xml:space="preserve"> </w:t>
      </w:r>
      <w:r w:rsidR="00DD4113" w:rsidRPr="00FD7147">
        <w:rPr>
          <w:lang w:val="en-US"/>
        </w:rPr>
        <w:t>population density</w:t>
      </w:r>
      <w:r w:rsidR="0000736B" w:rsidRPr="00FD7147">
        <w:rPr>
          <w:lang w:val="en-US"/>
        </w:rPr>
        <w:t xml:space="preserve"> </w:t>
      </w:r>
      <w:r w:rsidRPr="00FD7147">
        <w:rPr>
          <w:lang w:val="en-US"/>
        </w:rPr>
        <w:t>depend on the spatial scale</w:t>
      </w:r>
      <w:r w:rsidR="00F17B01" w:rsidRPr="00FD7147">
        <w:rPr>
          <w:lang w:val="en-US"/>
        </w:rPr>
        <w:t xml:space="preserve"> at which they are summarized. </w:t>
      </w:r>
      <w:r w:rsidRPr="00FD7147">
        <w:rPr>
          <w:lang w:val="en-US"/>
        </w:rPr>
        <w:t xml:space="preserve">When we applied the </w:t>
      </w:r>
      <w:r w:rsidR="00C25EE2" w:rsidRPr="00FD7147">
        <w:rPr>
          <w:lang w:val="en-US"/>
        </w:rPr>
        <w:t>local trend</w:t>
      </w:r>
      <w:r w:rsidR="00306407" w:rsidRPr="00FD7147">
        <w:rPr>
          <w:lang w:val="en-US"/>
        </w:rPr>
        <w:t xml:space="preserve"> model</w:t>
      </w:r>
      <w:r w:rsidRPr="00FD7147">
        <w:rPr>
          <w:lang w:val="en-US"/>
        </w:rPr>
        <w:t xml:space="preserve"> to </w:t>
      </w:r>
      <w:r w:rsidR="0089470C" w:rsidRPr="00FD7147">
        <w:rPr>
          <w:lang w:val="en-US"/>
        </w:rPr>
        <w:t>marine fishes</w:t>
      </w:r>
      <w:r w:rsidRPr="00FD7147">
        <w:rPr>
          <w:lang w:val="en-US"/>
        </w:rPr>
        <w:t xml:space="preserve">, the resulting maps of the </w:t>
      </w:r>
      <w:r w:rsidR="00246F51">
        <w:rPr>
          <w:lang w:val="en-US"/>
        </w:rPr>
        <w:t>local</w:t>
      </w:r>
      <w:r w:rsidRPr="00FD7147">
        <w:rPr>
          <w:lang w:val="en-US"/>
        </w:rPr>
        <w:t xml:space="preserve"> trend and </w:t>
      </w:r>
      <w:r w:rsidR="00DD4113" w:rsidRPr="00FD7147">
        <w:rPr>
          <w:lang w:val="en-US"/>
        </w:rPr>
        <w:t>density</w:t>
      </w:r>
      <w:r w:rsidR="0000736B" w:rsidRPr="00FD7147">
        <w:rPr>
          <w:lang w:val="en-US"/>
        </w:rPr>
        <w:t xml:space="preserve"> </w:t>
      </w:r>
      <w:r w:rsidRPr="00FD7147">
        <w:rPr>
          <w:lang w:val="en-US"/>
        </w:rPr>
        <w:t xml:space="preserve">from the </w:t>
      </w:r>
      <w:r w:rsidR="0089470C" w:rsidRPr="00FD7147">
        <w:rPr>
          <w:lang w:val="en-US"/>
        </w:rPr>
        <w:t>model</w:t>
      </w:r>
      <w:r w:rsidRPr="00FD7147">
        <w:rPr>
          <w:lang w:val="en-US"/>
        </w:rPr>
        <w:t xml:space="preserve"> revealed nuanced patterns of heterogeneity and directional change in </w:t>
      </w:r>
      <w:proofErr w:type="spellStart"/>
      <w:r w:rsidRPr="00FD7147">
        <w:rPr>
          <w:lang w:val="en-US"/>
        </w:rPr>
        <w:t>groundfish</w:t>
      </w:r>
      <w:proofErr w:type="spellEnd"/>
      <w:r w:rsidRPr="00FD7147">
        <w:rPr>
          <w:lang w:val="en-US"/>
        </w:rPr>
        <w:t xml:space="preserve"> </w:t>
      </w:r>
      <w:r w:rsidR="00DD4113" w:rsidRPr="00FD7147">
        <w:rPr>
          <w:lang w:val="en-US"/>
        </w:rPr>
        <w:t>density</w:t>
      </w:r>
      <w:r w:rsidR="00F85B0D" w:rsidRPr="00FD7147">
        <w:rPr>
          <w:lang w:val="en-US"/>
        </w:rPr>
        <w:t xml:space="preserve"> </w:t>
      </w:r>
      <w:r w:rsidR="00A01347" w:rsidRPr="00A01347">
        <w:t>(COG; this study, Thorson et al. 2016a)</w:t>
      </w:r>
      <w:r w:rsidRPr="00FD7147">
        <w:rPr>
          <w:lang w:val="en-US"/>
        </w:rPr>
        <w:t xml:space="preserve">. Taking the </w:t>
      </w:r>
      <w:r w:rsidR="0000736B" w:rsidRPr="00FD7147">
        <w:rPr>
          <w:lang w:val="en-US"/>
        </w:rPr>
        <w:t xml:space="preserve">predicted </w:t>
      </w:r>
      <w:r w:rsidR="00DD4113" w:rsidRPr="00FD7147">
        <w:rPr>
          <w:lang w:val="en-US"/>
        </w:rPr>
        <w:t>density</w:t>
      </w:r>
      <w:r w:rsidR="0000736B" w:rsidRPr="00FD7147" w:rsidDel="0000736B">
        <w:rPr>
          <w:lang w:val="en-US"/>
        </w:rPr>
        <w:t xml:space="preserve"> </w:t>
      </w:r>
      <w:r w:rsidRPr="00FD7147">
        <w:rPr>
          <w:lang w:val="en-US"/>
        </w:rPr>
        <w:t xml:space="preserve">to represent the underlying spatial heterogeneity, the </w:t>
      </w:r>
      <w:r w:rsidR="00C25EE2" w:rsidRPr="00FD7147">
        <w:rPr>
          <w:lang w:val="en-US"/>
        </w:rPr>
        <w:t>local trend</w:t>
      </w:r>
      <w:r w:rsidRPr="00FD7147">
        <w:rPr>
          <w:lang w:val="en-US"/>
        </w:rPr>
        <w:t xml:space="preserve"> random field conveyed fine-scale information about potential range dynamics that </w:t>
      </w:r>
      <w:r w:rsidR="00D52ED7" w:rsidRPr="00FD7147">
        <w:rPr>
          <w:lang w:val="en-US"/>
        </w:rPr>
        <w:t>were masked when</w:t>
      </w:r>
      <w:r w:rsidRPr="00FD7147">
        <w:rPr>
          <w:lang w:val="en-US"/>
        </w:rPr>
        <w:t xml:space="preserve"> evaluating </w:t>
      </w:r>
      <w:r w:rsidR="0000736B" w:rsidRPr="00FD7147">
        <w:rPr>
          <w:lang w:val="en-US"/>
        </w:rPr>
        <w:t>coast</w:t>
      </w:r>
      <w:r w:rsidR="002374FB" w:rsidRPr="00FD7147">
        <w:rPr>
          <w:lang w:val="en-US"/>
        </w:rPr>
        <w:t>-</w:t>
      </w:r>
      <w:r w:rsidR="0000736B" w:rsidRPr="00FD7147">
        <w:rPr>
          <w:lang w:val="en-US"/>
        </w:rPr>
        <w:t xml:space="preserve">wide COG </w:t>
      </w:r>
      <w:r w:rsidRPr="00FD7147">
        <w:rPr>
          <w:lang w:val="en-US"/>
        </w:rPr>
        <w:t>time series</w:t>
      </w:r>
      <w:r w:rsidR="00467575" w:rsidRPr="00FD7147">
        <w:rPr>
          <w:lang w:val="en-US"/>
        </w:rPr>
        <w:t>. The disparity o</w:t>
      </w:r>
      <w:r w:rsidRPr="00FD7147">
        <w:rPr>
          <w:lang w:val="en-US"/>
        </w:rPr>
        <w:t xml:space="preserve">f inference was greatest in cases where </w:t>
      </w:r>
      <w:r w:rsidR="00DD4113" w:rsidRPr="00FD7147">
        <w:rPr>
          <w:lang w:val="en-US"/>
        </w:rPr>
        <w:t>density</w:t>
      </w:r>
      <w:r w:rsidR="0000736B" w:rsidRPr="00FD7147">
        <w:rPr>
          <w:lang w:val="en-US"/>
        </w:rPr>
        <w:t xml:space="preserve"> </w:t>
      </w:r>
      <w:r w:rsidRPr="00FD7147">
        <w:rPr>
          <w:lang w:val="en-US"/>
        </w:rPr>
        <w:t xml:space="preserve">was increasing fastest at opposing ends of a range, </w:t>
      </w:r>
      <w:r w:rsidR="00DD4113" w:rsidRPr="00FD7147">
        <w:rPr>
          <w:lang w:val="en-US"/>
        </w:rPr>
        <w:t>density</w:t>
      </w:r>
      <w:r w:rsidR="0000736B" w:rsidRPr="00FD7147">
        <w:rPr>
          <w:lang w:val="en-US"/>
        </w:rPr>
        <w:t xml:space="preserve"> </w:t>
      </w:r>
      <w:r w:rsidR="009059C4" w:rsidRPr="00FD7147">
        <w:rPr>
          <w:lang w:val="en-US"/>
        </w:rPr>
        <w:t>was spatially diverging</w:t>
      </w:r>
      <w:r w:rsidRPr="00FD7147">
        <w:rPr>
          <w:lang w:val="en-US"/>
        </w:rPr>
        <w:t xml:space="preserve">, or where </w:t>
      </w:r>
      <w:r w:rsidR="00DD4113" w:rsidRPr="00FD7147">
        <w:rPr>
          <w:lang w:val="en-US"/>
        </w:rPr>
        <w:t>density</w:t>
      </w:r>
      <w:r w:rsidR="0000736B" w:rsidRPr="00FD7147">
        <w:rPr>
          <w:lang w:val="en-US"/>
        </w:rPr>
        <w:t xml:space="preserve"> </w:t>
      </w:r>
      <w:r w:rsidRPr="00FD7147">
        <w:rPr>
          <w:lang w:val="en-US"/>
        </w:rPr>
        <w:t>among patches were converging toward t</w:t>
      </w:r>
      <w:r w:rsidR="00F17B01" w:rsidRPr="00FD7147">
        <w:rPr>
          <w:lang w:val="en-US"/>
        </w:rPr>
        <w:t xml:space="preserve">he center of the </w:t>
      </w:r>
      <w:r w:rsidR="00F17B01" w:rsidRPr="00FD7147">
        <w:rPr>
          <w:lang w:val="en-US"/>
        </w:rPr>
        <w:lastRenderedPageBreak/>
        <w:t xml:space="preserve">distribution. </w:t>
      </w:r>
      <w:r w:rsidRPr="00FD7147">
        <w:rPr>
          <w:lang w:val="en-US"/>
        </w:rPr>
        <w:t xml:space="preserve">Furthermore, </w:t>
      </w:r>
      <w:r w:rsidR="00CA5205" w:rsidRPr="00FD7147">
        <w:rPr>
          <w:lang w:val="en-US"/>
        </w:rPr>
        <w:t>when examining only the</w:t>
      </w:r>
      <w:r w:rsidRPr="00FD7147">
        <w:rPr>
          <w:lang w:val="en-US"/>
        </w:rPr>
        <w:t xml:space="preserve"> coast</w:t>
      </w:r>
      <w:r w:rsidR="002374FB" w:rsidRPr="00FD7147">
        <w:rPr>
          <w:lang w:val="en-US"/>
        </w:rPr>
        <w:t>-</w:t>
      </w:r>
      <w:r w:rsidRPr="00FD7147">
        <w:rPr>
          <w:lang w:val="en-US"/>
        </w:rPr>
        <w:t xml:space="preserve">wide COG, one is unable to differentiate between shifts due to an increase in density in one </w:t>
      </w:r>
      <w:r w:rsidR="00306407" w:rsidRPr="00FD7147">
        <w:rPr>
          <w:lang w:val="en-US"/>
        </w:rPr>
        <w:t>area</w:t>
      </w:r>
      <w:r w:rsidRPr="00FD7147">
        <w:rPr>
          <w:lang w:val="en-US"/>
        </w:rPr>
        <w:t xml:space="preserve"> or a decrease in </w:t>
      </w:r>
      <w:r w:rsidR="00DD4113" w:rsidRPr="00FD7147">
        <w:rPr>
          <w:lang w:val="en-US"/>
        </w:rPr>
        <w:t>density</w:t>
      </w:r>
      <w:r w:rsidR="00D000A1" w:rsidRPr="00FD7147">
        <w:rPr>
          <w:lang w:val="en-US"/>
        </w:rPr>
        <w:t xml:space="preserve"> </w:t>
      </w:r>
      <w:r w:rsidR="00A77853" w:rsidRPr="00FD7147">
        <w:rPr>
          <w:lang w:val="en-US"/>
        </w:rPr>
        <w:t xml:space="preserve">in </w:t>
      </w:r>
      <w:r w:rsidR="00306407" w:rsidRPr="00FD7147">
        <w:rPr>
          <w:lang w:val="en-US"/>
        </w:rPr>
        <w:t>another</w:t>
      </w:r>
      <w:r w:rsidR="00A77853" w:rsidRPr="00FD7147">
        <w:rPr>
          <w:lang w:val="en-US"/>
        </w:rPr>
        <w:t xml:space="preserve"> </w:t>
      </w:r>
      <w:r w:rsidR="00306407" w:rsidRPr="00FD7147">
        <w:rPr>
          <w:lang w:val="en-US"/>
        </w:rPr>
        <w:t>area</w:t>
      </w:r>
      <w:r w:rsidR="00A77853" w:rsidRPr="00FD7147">
        <w:rPr>
          <w:lang w:val="en-US"/>
        </w:rPr>
        <w:t>.</w:t>
      </w:r>
      <w:r w:rsidRPr="00FD7147">
        <w:rPr>
          <w:lang w:val="en-US"/>
        </w:rPr>
        <w:t xml:space="preserve"> </w:t>
      </w:r>
    </w:p>
    <w:p w14:paraId="6643FB62" w14:textId="228BA539" w:rsidR="00DE7E57" w:rsidRPr="00FD7147" w:rsidRDefault="00DE7E57" w:rsidP="00D26510">
      <w:pPr>
        <w:spacing w:after="120" w:line="480" w:lineRule="auto"/>
        <w:ind w:firstLine="720"/>
        <w:rPr>
          <w:lang w:val="en-US"/>
        </w:rPr>
      </w:pPr>
      <w:r w:rsidRPr="00FD7147">
        <w:rPr>
          <w:lang w:val="en-US"/>
        </w:rPr>
        <w:t xml:space="preserve">For complex ecosystems such as the US </w:t>
      </w:r>
      <w:r w:rsidR="003C4531">
        <w:rPr>
          <w:lang w:val="en-US"/>
        </w:rPr>
        <w:t>w</w:t>
      </w:r>
      <w:r w:rsidR="003C4531" w:rsidRPr="00FD7147">
        <w:rPr>
          <w:lang w:val="en-US"/>
        </w:rPr>
        <w:t xml:space="preserve">est </w:t>
      </w:r>
      <w:r w:rsidR="003C4531">
        <w:rPr>
          <w:lang w:val="en-US"/>
        </w:rPr>
        <w:t>c</w:t>
      </w:r>
      <w:r w:rsidR="003C4531" w:rsidRPr="00FD7147">
        <w:rPr>
          <w:lang w:val="en-US"/>
        </w:rPr>
        <w:t>oast</w:t>
      </w:r>
      <w:r w:rsidR="00BF069D" w:rsidRPr="00FD7147">
        <w:rPr>
          <w:lang w:val="en-US"/>
        </w:rPr>
        <w:t>,</w:t>
      </w:r>
      <w:r w:rsidR="00467575" w:rsidRPr="00FD7147">
        <w:rPr>
          <w:lang w:val="en-US"/>
        </w:rPr>
        <w:t xml:space="preserve"> and other coastal upwelling systems</w:t>
      </w:r>
      <w:r w:rsidRPr="00FD7147">
        <w:rPr>
          <w:lang w:val="en-US"/>
        </w:rPr>
        <w:t xml:space="preserve"> where physical variables like temperature do not follow a simple monotonic gradient over broad geographic scales, it may be too simplistic to expect clear coast</w:t>
      </w:r>
      <w:r w:rsidR="002374FB" w:rsidRPr="00FD7147">
        <w:rPr>
          <w:lang w:val="en-US"/>
        </w:rPr>
        <w:t>-</w:t>
      </w:r>
      <w:r w:rsidRPr="00FD7147">
        <w:rPr>
          <w:lang w:val="en-US"/>
        </w:rPr>
        <w:t>wide trends i</w:t>
      </w:r>
      <w:r w:rsidR="00F17B01" w:rsidRPr="00FD7147">
        <w:rPr>
          <w:lang w:val="en-US"/>
        </w:rPr>
        <w:t xml:space="preserve">n COG across multiple species as a result of climate change. </w:t>
      </w:r>
      <w:r w:rsidRPr="00FD7147">
        <w:rPr>
          <w:lang w:val="en-US"/>
        </w:rPr>
        <w:t xml:space="preserve">These </w:t>
      </w:r>
      <w:r w:rsidR="00806A01" w:rsidRPr="00FD7147">
        <w:rPr>
          <w:lang w:val="en-US"/>
        </w:rPr>
        <w:t>coast</w:t>
      </w:r>
      <w:r w:rsidR="002374FB" w:rsidRPr="00FD7147">
        <w:rPr>
          <w:lang w:val="en-US"/>
        </w:rPr>
        <w:t>-</w:t>
      </w:r>
      <w:r w:rsidR="00806A01" w:rsidRPr="00FD7147">
        <w:rPr>
          <w:lang w:val="en-US"/>
        </w:rPr>
        <w:t>wide</w:t>
      </w:r>
      <w:r w:rsidRPr="00FD7147">
        <w:rPr>
          <w:lang w:val="en-US"/>
        </w:rPr>
        <w:t xml:space="preserve"> patterns are observed in systems w</w:t>
      </w:r>
      <w:r w:rsidR="00F17B01" w:rsidRPr="00FD7147">
        <w:rPr>
          <w:lang w:val="en-US"/>
        </w:rPr>
        <w:t>ith broader continental shelves</w:t>
      </w:r>
      <w:r w:rsidRPr="00FD7147">
        <w:rPr>
          <w:lang w:val="en-US"/>
        </w:rPr>
        <w:t xml:space="preserve"> </w:t>
      </w:r>
      <w:r w:rsidR="00233D25" w:rsidRPr="00FD7147">
        <w:rPr>
          <w:lang w:val="en-US"/>
        </w:rPr>
        <w:t xml:space="preserve">such as </w:t>
      </w:r>
      <w:r w:rsidRPr="00FD7147">
        <w:rPr>
          <w:lang w:val="en-US"/>
        </w:rPr>
        <w:t xml:space="preserve">the northeast US </w:t>
      </w:r>
      <w:r w:rsidR="00A01347" w:rsidRPr="00A01347">
        <w:t xml:space="preserve">(Pinsky et al. 2013, </w:t>
      </w:r>
      <w:proofErr w:type="spellStart"/>
      <w:r w:rsidR="00A01347" w:rsidRPr="00A01347">
        <w:t>Kleisner</w:t>
      </w:r>
      <w:proofErr w:type="spellEnd"/>
      <w:r w:rsidR="00A01347" w:rsidRPr="00A01347">
        <w:t xml:space="preserve"> et al. 2016)</w:t>
      </w:r>
      <w:r w:rsidR="002374FB" w:rsidRPr="00FD7147">
        <w:rPr>
          <w:lang w:val="en-US"/>
        </w:rPr>
        <w:t xml:space="preserve"> where the major boundary currents are far from the coast</w:t>
      </w:r>
      <w:r w:rsidR="00806A01" w:rsidRPr="00FD7147">
        <w:rPr>
          <w:lang w:val="en-US"/>
        </w:rPr>
        <w:t xml:space="preserve">. However, </w:t>
      </w:r>
      <w:r w:rsidR="00F17B01" w:rsidRPr="00FD7147">
        <w:rPr>
          <w:lang w:val="en-US"/>
        </w:rPr>
        <w:t>along coastlines with narrower continental margins</w:t>
      </w:r>
      <w:r w:rsidR="00ED6CE3" w:rsidRPr="00FD7147">
        <w:rPr>
          <w:lang w:val="en-US"/>
        </w:rPr>
        <w:t xml:space="preserve">, such as the US </w:t>
      </w:r>
      <w:r w:rsidR="003C4531">
        <w:rPr>
          <w:lang w:val="en-US"/>
        </w:rPr>
        <w:t>w</w:t>
      </w:r>
      <w:r w:rsidR="00ED6CE3" w:rsidRPr="00FD7147">
        <w:rPr>
          <w:lang w:val="en-US"/>
        </w:rPr>
        <w:t xml:space="preserve">est </w:t>
      </w:r>
      <w:r w:rsidR="003C4531">
        <w:rPr>
          <w:lang w:val="en-US"/>
        </w:rPr>
        <w:t>c</w:t>
      </w:r>
      <w:r w:rsidR="003C4531" w:rsidRPr="00FD7147">
        <w:rPr>
          <w:lang w:val="en-US"/>
        </w:rPr>
        <w:t>oast</w:t>
      </w:r>
      <w:r w:rsidR="00F17B01" w:rsidRPr="00FD7147">
        <w:rPr>
          <w:lang w:val="en-US"/>
        </w:rPr>
        <w:t xml:space="preserve">, </w:t>
      </w:r>
      <w:r w:rsidRPr="00FD7147">
        <w:rPr>
          <w:lang w:val="en-US"/>
        </w:rPr>
        <w:t>fish may be able to find equivalent temperatures by moving much shorter distances perpendicular to the shelf break</w:t>
      </w:r>
      <w:r w:rsidR="003E59C1" w:rsidRPr="00FD7147">
        <w:rPr>
          <w:lang w:val="en-US"/>
        </w:rPr>
        <w:t xml:space="preserve"> </w:t>
      </w:r>
      <w:r w:rsidR="00A01347" w:rsidRPr="00A01347">
        <w:t>(Li et al. 2019)</w:t>
      </w:r>
      <w:r w:rsidRPr="00FD7147">
        <w:rPr>
          <w:lang w:val="en-US"/>
        </w:rPr>
        <w:t>.</w:t>
      </w:r>
      <w:r w:rsidR="00F17B01" w:rsidRPr="00FD7147">
        <w:rPr>
          <w:lang w:val="en-US"/>
        </w:rPr>
        <w:t xml:space="preserve"> </w:t>
      </w:r>
      <w:r w:rsidR="00F34C9C" w:rsidRPr="00FD7147">
        <w:rPr>
          <w:lang w:val="en-US"/>
        </w:rPr>
        <w:t xml:space="preserve">Furthermore, population and community </w:t>
      </w:r>
      <w:r w:rsidR="00BF1C22" w:rsidRPr="00FD7147">
        <w:rPr>
          <w:lang w:val="en-US"/>
        </w:rPr>
        <w:t>density distributions</w:t>
      </w:r>
      <w:r w:rsidR="00F34C9C" w:rsidRPr="00FD7147">
        <w:rPr>
          <w:lang w:val="en-US"/>
        </w:rPr>
        <w:t xml:space="preserve"> </w:t>
      </w:r>
      <w:r w:rsidR="0068598A" w:rsidRPr="00FD7147">
        <w:rPr>
          <w:lang w:val="en-US"/>
        </w:rPr>
        <w:t>are</w:t>
      </w:r>
      <w:r w:rsidR="00F34C9C" w:rsidRPr="00FD7147">
        <w:rPr>
          <w:lang w:val="en-US"/>
        </w:rPr>
        <w:t xml:space="preserve"> inherently patchy, </w:t>
      </w:r>
      <w:r w:rsidR="007735F2" w:rsidRPr="00FD7147">
        <w:rPr>
          <w:lang w:val="en-US"/>
        </w:rPr>
        <w:t xml:space="preserve">particularly for species associated with patchy reef habitats, </w:t>
      </w:r>
      <w:r w:rsidR="00F34C9C" w:rsidRPr="00FD7147">
        <w:rPr>
          <w:lang w:val="en-US"/>
        </w:rPr>
        <w:t xml:space="preserve">meaning that detecting </w:t>
      </w:r>
      <w:r w:rsidR="006966F3" w:rsidRPr="00FD7147">
        <w:rPr>
          <w:lang w:val="en-US"/>
        </w:rPr>
        <w:t xml:space="preserve">a </w:t>
      </w:r>
      <w:r w:rsidR="00F34C9C" w:rsidRPr="00FD7147">
        <w:rPr>
          <w:lang w:val="en-US"/>
        </w:rPr>
        <w:t xml:space="preserve">redistribution over time may require careful examination of the microstructure of </w:t>
      </w:r>
      <w:r w:rsidR="00BF1C22" w:rsidRPr="00FD7147">
        <w:rPr>
          <w:lang w:val="en-US"/>
        </w:rPr>
        <w:t>density</w:t>
      </w:r>
      <w:r w:rsidR="00F34C9C" w:rsidRPr="00FD7147">
        <w:rPr>
          <w:lang w:val="en-US"/>
        </w:rPr>
        <w:t xml:space="preserve"> distribution rather than a region-wide shift in mean </w:t>
      </w:r>
      <w:r w:rsidR="00BF1C22" w:rsidRPr="00FD7147">
        <w:rPr>
          <w:lang w:val="en-US"/>
        </w:rPr>
        <w:t>density</w:t>
      </w:r>
      <w:r w:rsidR="00F34C9C" w:rsidRPr="00FD7147">
        <w:rPr>
          <w:lang w:val="en-US"/>
        </w:rPr>
        <w:t xml:space="preserve"> distribution. We encourage future research on species distribution shifts that begins with more specific and nuanced hypotheses regarding the expected response</w:t>
      </w:r>
      <w:r w:rsidR="00606D49" w:rsidRPr="00FD7147">
        <w:rPr>
          <w:lang w:val="en-US"/>
        </w:rPr>
        <w:t xml:space="preserve"> at shorter </w:t>
      </w:r>
      <w:r w:rsidR="00772CAE" w:rsidRPr="00FD7147">
        <w:rPr>
          <w:lang w:val="en-US"/>
        </w:rPr>
        <w:t xml:space="preserve">and perhaps longer </w:t>
      </w:r>
      <w:r w:rsidR="00606D49" w:rsidRPr="00FD7147">
        <w:rPr>
          <w:lang w:val="en-US"/>
        </w:rPr>
        <w:t>time scales than those explored here, as spatially-explicit trends are likely to differ between intra</w:t>
      </w:r>
      <w:r w:rsidR="00826719">
        <w:rPr>
          <w:lang w:val="en-US"/>
        </w:rPr>
        <w:t>-</w:t>
      </w:r>
      <w:r w:rsidR="00606D49" w:rsidRPr="00FD7147">
        <w:rPr>
          <w:lang w:val="en-US"/>
        </w:rPr>
        <w:t>an</w:t>
      </w:r>
      <w:r w:rsidR="00853945" w:rsidRPr="00FD7147">
        <w:rPr>
          <w:lang w:val="en-US"/>
        </w:rPr>
        <w:t>n</w:t>
      </w:r>
      <w:r w:rsidR="00606D49" w:rsidRPr="00FD7147">
        <w:rPr>
          <w:lang w:val="en-US"/>
        </w:rPr>
        <w:t>ual, inter</w:t>
      </w:r>
      <w:r w:rsidR="006D1A32">
        <w:rPr>
          <w:lang w:val="en-US"/>
        </w:rPr>
        <w:t>-</w:t>
      </w:r>
      <w:r w:rsidR="00606D49" w:rsidRPr="00FD7147">
        <w:rPr>
          <w:lang w:val="en-US"/>
        </w:rPr>
        <w:t>annual</w:t>
      </w:r>
      <w:r w:rsidR="00772CAE" w:rsidRPr="00FD7147">
        <w:rPr>
          <w:lang w:val="en-US"/>
        </w:rPr>
        <w:t>, and inter</w:t>
      </w:r>
      <w:r w:rsidR="006D1A32">
        <w:rPr>
          <w:lang w:val="en-US"/>
        </w:rPr>
        <w:t>-</w:t>
      </w:r>
      <w:r w:rsidR="00772CAE" w:rsidRPr="00FD7147">
        <w:rPr>
          <w:lang w:val="en-US"/>
        </w:rPr>
        <w:t>decadal time scales</w:t>
      </w:r>
      <w:r w:rsidR="00F34C9C" w:rsidRPr="00FD7147">
        <w:rPr>
          <w:lang w:val="en-US"/>
        </w:rPr>
        <w:t xml:space="preserve">. For example, </w:t>
      </w:r>
      <w:r w:rsidR="00772CAE" w:rsidRPr="00FD7147">
        <w:rPr>
          <w:lang w:val="en-US"/>
        </w:rPr>
        <w:t xml:space="preserve">event-scale analyses of the </w:t>
      </w:r>
      <w:r w:rsidR="00087449" w:rsidRPr="00FD7147">
        <w:rPr>
          <w:lang w:val="en-US"/>
        </w:rPr>
        <w:t>local trend</w:t>
      </w:r>
      <w:r w:rsidR="00772CAE" w:rsidRPr="00FD7147">
        <w:rPr>
          <w:lang w:val="en-US"/>
        </w:rPr>
        <w:t xml:space="preserve"> could help test how different species </w:t>
      </w:r>
      <w:r w:rsidR="0064317D" w:rsidRPr="00FD7147">
        <w:rPr>
          <w:lang w:val="en-US"/>
        </w:rPr>
        <w:t>population density distributions respond as a result of movement or demography</w:t>
      </w:r>
      <w:r w:rsidR="00772CAE" w:rsidRPr="00FD7147">
        <w:rPr>
          <w:lang w:val="en-US"/>
        </w:rPr>
        <w:t xml:space="preserve"> to </w:t>
      </w:r>
      <w:r w:rsidR="0064317D" w:rsidRPr="00FD7147">
        <w:rPr>
          <w:lang w:val="en-US"/>
        </w:rPr>
        <w:t xml:space="preserve">disease outbreaks, </w:t>
      </w:r>
      <w:r w:rsidR="00853945" w:rsidRPr="00FD7147">
        <w:rPr>
          <w:lang w:val="en-US"/>
        </w:rPr>
        <w:t>intensive harvesting</w:t>
      </w:r>
      <w:r w:rsidR="0064317D" w:rsidRPr="00FD7147">
        <w:rPr>
          <w:lang w:val="en-US"/>
        </w:rPr>
        <w:t xml:space="preserve">, or </w:t>
      </w:r>
      <w:r w:rsidR="00772CAE" w:rsidRPr="00FD7147">
        <w:rPr>
          <w:lang w:val="en-US"/>
        </w:rPr>
        <w:t xml:space="preserve">extreme climate events such as </w:t>
      </w:r>
      <w:r w:rsidR="002374FB" w:rsidRPr="00FD7147">
        <w:rPr>
          <w:lang w:val="en-US"/>
        </w:rPr>
        <w:t xml:space="preserve">marine </w:t>
      </w:r>
      <w:r w:rsidR="00772CAE" w:rsidRPr="00FD7147">
        <w:rPr>
          <w:lang w:val="en-US"/>
        </w:rPr>
        <w:t>heat waves. I</w:t>
      </w:r>
      <w:r w:rsidR="00183F4B" w:rsidRPr="00FD7147">
        <w:rPr>
          <w:lang w:val="en-US"/>
        </w:rPr>
        <w:t xml:space="preserve">f climate change causes a global intensification of upwelling </w:t>
      </w:r>
      <w:r w:rsidR="00772CAE" w:rsidRPr="00FD7147">
        <w:rPr>
          <w:lang w:val="en-US"/>
        </w:rPr>
        <w:t xml:space="preserve">over longer time scales </w:t>
      </w:r>
      <w:r w:rsidR="00183F4B" w:rsidRPr="00FD7147">
        <w:rPr>
          <w:lang w:val="en-US"/>
        </w:rPr>
        <w:t xml:space="preserve">as some researchers predict </w:t>
      </w:r>
      <w:r w:rsidR="00A01347" w:rsidRPr="00A01347">
        <w:t>(</w:t>
      </w:r>
      <w:proofErr w:type="spellStart"/>
      <w:r w:rsidR="00A01347" w:rsidRPr="00A01347">
        <w:t>Bakun</w:t>
      </w:r>
      <w:proofErr w:type="spellEnd"/>
      <w:r w:rsidR="00A01347" w:rsidRPr="00A01347">
        <w:t xml:space="preserve"> et al. 2010)</w:t>
      </w:r>
      <w:r w:rsidR="00183F4B" w:rsidRPr="00FD7147">
        <w:rPr>
          <w:lang w:val="en-US"/>
        </w:rPr>
        <w:t xml:space="preserve">, one could hypothesize that </w:t>
      </w:r>
      <w:r w:rsidR="00BF1C22" w:rsidRPr="00FD7147">
        <w:rPr>
          <w:lang w:val="en-US"/>
        </w:rPr>
        <w:t>density</w:t>
      </w:r>
      <w:r w:rsidR="00183F4B" w:rsidRPr="00FD7147">
        <w:rPr>
          <w:lang w:val="en-US"/>
        </w:rPr>
        <w:t xml:space="preserve"> distributions will become patchier over </w:t>
      </w:r>
      <w:r w:rsidR="00183F4B" w:rsidRPr="00FD7147">
        <w:rPr>
          <w:lang w:val="en-US"/>
        </w:rPr>
        <w:lastRenderedPageBreak/>
        <w:t>time in response to increasing contrast in local physical conditions</w:t>
      </w:r>
      <w:r w:rsidR="007F5D41" w:rsidRPr="00FD7147">
        <w:rPr>
          <w:lang w:val="en-US"/>
        </w:rPr>
        <w:t>, or that distributions will shift deeper as larvae are transported further offshore before settling</w:t>
      </w:r>
      <w:r w:rsidR="00183F4B" w:rsidRPr="00FD7147">
        <w:rPr>
          <w:lang w:val="en-US"/>
        </w:rPr>
        <w:t>.</w:t>
      </w:r>
    </w:p>
    <w:p w14:paraId="0FBE97BC" w14:textId="77FBB837" w:rsidR="00B06BF9" w:rsidRPr="00FD7147" w:rsidRDefault="00B06BF9" w:rsidP="00D26510">
      <w:pPr>
        <w:spacing w:after="120" w:line="480" w:lineRule="auto"/>
        <w:ind w:firstLine="720"/>
        <w:rPr>
          <w:lang w:val="en-US"/>
        </w:rPr>
      </w:pPr>
      <w:r w:rsidRPr="00FD7147">
        <w:rPr>
          <w:lang w:val="en-US"/>
        </w:rPr>
        <w:t xml:space="preserve">The future of </w:t>
      </w:r>
      <w:r w:rsidR="00A556E5" w:rsidRPr="00FD7147">
        <w:rPr>
          <w:lang w:val="en-US"/>
        </w:rPr>
        <w:t xml:space="preserve">environmental conservation and </w:t>
      </w:r>
      <w:r w:rsidR="003E59C1" w:rsidRPr="00FD7147">
        <w:rPr>
          <w:lang w:val="en-US"/>
        </w:rPr>
        <w:t>natural resource</w:t>
      </w:r>
      <w:r w:rsidRPr="00FD7147">
        <w:rPr>
          <w:lang w:val="en-US"/>
        </w:rPr>
        <w:t xml:space="preserve"> management relies on greater incorporation of spatial information into models </w:t>
      </w:r>
      <w:r w:rsidR="00A923A2" w:rsidRPr="00FD7147">
        <w:rPr>
          <w:lang w:val="en-US"/>
        </w:rPr>
        <w:t>that inform such policies and into the decision-making process</w:t>
      </w:r>
      <w:r w:rsidR="00BE2A3C" w:rsidRPr="00FD7147">
        <w:rPr>
          <w:lang w:val="en-US"/>
        </w:rPr>
        <w:t xml:space="preserve"> itself</w:t>
      </w:r>
      <w:r w:rsidR="00A923A2" w:rsidRPr="00FD7147">
        <w:rPr>
          <w:lang w:val="en-US"/>
        </w:rPr>
        <w:t xml:space="preserve"> </w:t>
      </w:r>
      <w:r w:rsidR="00A01347" w:rsidRPr="00A01347">
        <w:t xml:space="preserve">(Berger et al. 2017, </w:t>
      </w:r>
      <w:proofErr w:type="spellStart"/>
      <w:r w:rsidR="00A01347" w:rsidRPr="00A01347">
        <w:t>Lowerre</w:t>
      </w:r>
      <w:proofErr w:type="spellEnd"/>
      <w:r w:rsidR="00A01347" w:rsidRPr="00A01347">
        <w:t>-Barbieri et al. 2019)</w:t>
      </w:r>
      <w:r w:rsidRPr="00FD7147">
        <w:rPr>
          <w:lang w:val="en-US"/>
        </w:rPr>
        <w:t xml:space="preserve">. By defining the geography of population trends and the breaks between clusters of locations with similar trends, our modeling framework provides a data-driven method to objectively define the spatial scale and boundaries for summarizing monitoring data and structuring these inputs to resource management models. This is an important advancement over non-spatial resource assessments or the reliance on the use of jurisdictional boundaries to structure </w:t>
      </w:r>
      <w:r w:rsidR="00453C4E" w:rsidRPr="00FD7147">
        <w:rPr>
          <w:lang w:val="en-US"/>
        </w:rPr>
        <w:t xml:space="preserve">resource </w:t>
      </w:r>
      <w:r w:rsidRPr="00FD7147">
        <w:rPr>
          <w:lang w:val="en-US"/>
        </w:rPr>
        <w:t xml:space="preserve">assessments. Our vision is that these and subsequent methods for boundary detection will aid the development of spatial </w:t>
      </w:r>
      <w:r w:rsidR="003E59C1" w:rsidRPr="00FD7147">
        <w:rPr>
          <w:lang w:val="en-US"/>
        </w:rPr>
        <w:t>resource</w:t>
      </w:r>
      <w:r w:rsidRPr="00FD7147">
        <w:rPr>
          <w:lang w:val="en-US"/>
        </w:rPr>
        <w:t xml:space="preserve"> assessment models and stimulate further applications of such approaches to more disparate management solutions such</w:t>
      </w:r>
      <w:r w:rsidR="00562052" w:rsidRPr="00FD7147">
        <w:rPr>
          <w:lang w:val="en-US"/>
        </w:rPr>
        <w:t xml:space="preserve"> as invasive species management</w:t>
      </w:r>
      <w:r w:rsidR="00EC4CAF" w:rsidRPr="00FD7147">
        <w:rPr>
          <w:lang w:val="en-US"/>
        </w:rPr>
        <w:t>.</w:t>
      </w:r>
      <w:r w:rsidR="00A923A2" w:rsidRPr="00FD7147">
        <w:rPr>
          <w:lang w:val="en-US"/>
        </w:rPr>
        <w:t xml:space="preserve"> </w:t>
      </w:r>
      <w:r w:rsidR="00BE2A3C" w:rsidRPr="00FD7147">
        <w:rPr>
          <w:lang w:val="en-US"/>
        </w:rPr>
        <w:t>Furthermore, extensions of the methods presented here may lead to the</w:t>
      </w:r>
      <w:r w:rsidR="00A10B2F" w:rsidRPr="00FD7147">
        <w:rPr>
          <w:lang w:val="en-US"/>
        </w:rPr>
        <w:t xml:space="preserve"> creation and</w:t>
      </w:r>
      <w:r w:rsidR="00BE2A3C" w:rsidRPr="00FD7147">
        <w:rPr>
          <w:lang w:val="en-US"/>
        </w:rPr>
        <w:t xml:space="preserve"> </w:t>
      </w:r>
      <w:r w:rsidR="00A10B2F" w:rsidRPr="00FD7147">
        <w:rPr>
          <w:lang w:val="en-US"/>
        </w:rPr>
        <w:t xml:space="preserve">improvement </w:t>
      </w:r>
      <w:r w:rsidR="00BE2A3C" w:rsidRPr="00FD7147">
        <w:rPr>
          <w:lang w:val="en-US"/>
        </w:rPr>
        <w:t xml:space="preserve">of </w:t>
      </w:r>
      <w:r w:rsidR="005C6710" w:rsidRPr="00FD7147">
        <w:rPr>
          <w:lang w:val="en-US"/>
        </w:rPr>
        <w:t xml:space="preserve">spatial </w:t>
      </w:r>
      <w:r w:rsidR="00BE2A3C" w:rsidRPr="00FD7147">
        <w:rPr>
          <w:lang w:val="en-US"/>
        </w:rPr>
        <w:t xml:space="preserve">indicators for monitoring </w:t>
      </w:r>
      <w:r w:rsidR="00A10B2F" w:rsidRPr="00FD7147">
        <w:rPr>
          <w:lang w:val="en-US"/>
        </w:rPr>
        <w:t xml:space="preserve">factors affecting </w:t>
      </w:r>
      <w:r w:rsidR="00BE2A3C" w:rsidRPr="00FD7147">
        <w:rPr>
          <w:lang w:val="en-US"/>
        </w:rPr>
        <w:t xml:space="preserve">emergent </w:t>
      </w:r>
      <w:r w:rsidR="00A10B2F" w:rsidRPr="00FD7147">
        <w:rPr>
          <w:lang w:val="en-US"/>
        </w:rPr>
        <w:t xml:space="preserve">ecological </w:t>
      </w:r>
      <w:r w:rsidR="004666F2" w:rsidRPr="00FD7147">
        <w:rPr>
          <w:lang w:val="en-US"/>
        </w:rPr>
        <w:t>properties</w:t>
      </w:r>
      <w:r w:rsidR="00A10B2F" w:rsidRPr="00FD7147">
        <w:rPr>
          <w:lang w:val="en-US"/>
        </w:rPr>
        <w:t xml:space="preserve"> </w:t>
      </w:r>
      <w:r w:rsidR="00A01347" w:rsidRPr="00A01347">
        <w:t>(e.g., Barnett et al. 2019 and references therein)</w:t>
      </w:r>
      <w:r w:rsidR="00A10B2F" w:rsidRPr="00FD7147">
        <w:rPr>
          <w:lang w:val="en-US"/>
        </w:rPr>
        <w:t xml:space="preserve">. </w:t>
      </w:r>
      <w:r w:rsidR="006E0890" w:rsidRPr="00FD7147">
        <w:rPr>
          <w:lang w:val="en-US"/>
        </w:rPr>
        <w:t>N</w:t>
      </w:r>
      <w:r w:rsidR="00A10B2F" w:rsidRPr="00FD7147">
        <w:rPr>
          <w:lang w:val="en-US"/>
        </w:rPr>
        <w:t xml:space="preserve">ovel indicators of ecological stability </w:t>
      </w:r>
      <w:r w:rsidR="00B03809" w:rsidRPr="00FD7147">
        <w:rPr>
          <w:lang w:val="en-US"/>
        </w:rPr>
        <w:t>could arise from metrics of the spatial structure of</w:t>
      </w:r>
      <w:r w:rsidR="006E0890" w:rsidRPr="00FD7147">
        <w:rPr>
          <w:lang w:val="en-US"/>
        </w:rPr>
        <w:t xml:space="preserve"> temporal trends or oscillations in population density</w:t>
      </w:r>
      <w:r w:rsidR="00B03809" w:rsidRPr="00FD7147">
        <w:rPr>
          <w:lang w:val="en-US"/>
        </w:rPr>
        <w:t xml:space="preserve"> </w:t>
      </w:r>
      <w:r w:rsidR="00A01347" w:rsidRPr="00A01347">
        <w:t>(</w:t>
      </w:r>
      <w:proofErr w:type="spellStart"/>
      <w:r w:rsidR="00A01347" w:rsidRPr="00A01347">
        <w:t>Kéfi</w:t>
      </w:r>
      <w:proofErr w:type="spellEnd"/>
      <w:r w:rsidR="00A01347" w:rsidRPr="00A01347">
        <w:t xml:space="preserve"> et al. 2014, Walter et al. 2017)</w:t>
      </w:r>
      <w:r w:rsidR="00B03809" w:rsidRPr="00FD7147">
        <w:rPr>
          <w:lang w:val="en-US"/>
        </w:rPr>
        <w:t xml:space="preserve">, </w:t>
      </w:r>
      <w:r w:rsidR="005C6710" w:rsidRPr="00FD7147">
        <w:rPr>
          <w:lang w:val="en-US"/>
        </w:rPr>
        <w:t xml:space="preserve">by drawing on the evidence </w:t>
      </w:r>
      <w:r w:rsidR="00A10B2F" w:rsidRPr="00FD7147">
        <w:rPr>
          <w:lang w:val="en-US"/>
        </w:rPr>
        <w:t>that spatial heterogeneity can increase population and community stability by disrupting synchrony across space or among species</w:t>
      </w:r>
      <w:r w:rsidR="00B03809" w:rsidRPr="00FD7147">
        <w:rPr>
          <w:lang w:val="en-US"/>
        </w:rPr>
        <w:t xml:space="preserve"> </w:t>
      </w:r>
      <w:r w:rsidR="00A01347" w:rsidRPr="00A01347">
        <w:t>(</w:t>
      </w:r>
      <w:proofErr w:type="spellStart"/>
      <w:r w:rsidR="00A01347" w:rsidRPr="00A01347">
        <w:t>Huffaker</w:t>
      </w:r>
      <w:proofErr w:type="spellEnd"/>
      <w:r w:rsidR="00A01347" w:rsidRPr="00A01347">
        <w:t xml:space="preserve"> 1958, </w:t>
      </w:r>
      <w:proofErr w:type="spellStart"/>
      <w:r w:rsidR="00A01347" w:rsidRPr="00A01347">
        <w:t>Tilman</w:t>
      </w:r>
      <w:proofErr w:type="spellEnd"/>
      <w:r w:rsidR="00A01347" w:rsidRPr="00A01347">
        <w:t xml:space="preserve"> and </w:t>
      </w:r>
      <w:proofErr w:type="spellStart"/>
      <w:r w:rsidR="00A01347" w:rsidRPr="00A01347">
        <w:t>Kareiva</w:t>
      </w:r>
      <w:proofErr w:type="spellEnd"/>
      <w:r w:rsidR="00A01347" w:rsidRPr="00A01347">
        <w:t xml:space="preserve"> 1997, </w:t>
      </w:r>
      <w:proofErr w:type="spellStart"/>
      <w:r w:rsidR="00A01347" w:rsidRPr="00A01347">
        <w:t>Hassell</w:t>
      </w:r>
      <w:proofErr w:type="spellEnd"/>
      <w:r w:rsidR="00A01347" w:rsidRPr="00A01347">
        <w:t xml:space="preserve"> 2000)</w:t>
      </w:r>
      <w:r w:rsidR="00D26510" w:rsidRPr="00FD7147">
        <w:rPr>
          <w:lang w:val="en-US"/>
        </w:rPr>
        <w:t>.</w:t>
      </w:r>
      <w:r w:rsidRPr="00FD7147">
        <w:rPr>
          <w:lang w:val="en-US"/>
        </w:rPr>
        <w:br w:type="page"/>
      </w:r>
    </w:p>
    <w:p w14:paraId="0037C55A" w14:textId="1033481D" w:rsidR="00D10A48" w:rsidRPr="00C2183A" w:rsidRDefault="00D10A48" w:rsidP="00D26510">
      <w:pPr>
        <w:spacing w:after="160" w:line="480" w:lineRule="auto"/>
        <w:rPr>
          <w:b/>
          <w:lang w:val="en-US"/>
        </w:rPr>
      </w:pPr>
      <w:r w:rsidRPr="00C2183A">
        <w:rPr>
          <w:b/>
          <w:lang w:val="en-US"/>
        </w:rPr>
        <w:lastRenderedPageBreak/>
        <w:t>Figure Captions</w:t>
      </w:r>
    </w:p>
    <w:p w14:paraId="35472989" w14:textId="79AFAB6B" w:rsidR="0051393F" w:rsidRPr="00C2183A" w:rsidRDefault="0051393F" w:rsidP="00C2183A">
      <w:pPr>
        <w:spacing w:line="480" w:lineRule="auto"/>
        <w:rPr>
          <w:lang w:val="en-US"/>
        </w:rPr>
      </w:pPr>
      <w:r w:rsidRPr="00C2183A">
        <w:rPr>
          <w:lang w:val="en-US"/>
        </w:rPr>
        <w:t xml:space="preserve">Figure 1. Visualization of </w:t>
      </w:r>
      <w:r w:rsidR="00B8005E" w:rsidRPr="00C2183A">
        <w:rPr>
          <w:lang w:val="en-US"/>
        </w:rPr>
        <w:t>how</w:t>
      </w:r>
      <w:r w:rsidR="009F2CD3" w:rsidRPr="00C2183A">
        <w:rPr>
          <w:lang w:val="en-US"/>
        </w:rPr>
        <w:t xml:space="preserve"> the spatial distribution of population density changes over time when</w:t>
      </w:r>
      <w:r w:rsidR="00B8005E" w:rsidRPr="00C2183A">
        <w:rPr>
          <w:lang w:val="en-US"/>
        </w:rPr>
        <w:t xml:space="preserve"> </w:t>
      </w:r>
      <w:r w:rsidR="009F2CD3" w:rsidRPr="00C2183A">
        <w:rPr>
          <w:lang w:val="en-US"/>
        </w:rPr>
        <w:t>the temporal response differs among locations. P</w:t>
      </w:r>
      <w:r w:rsidR="00B8005E" w:rsidRPr="00C2183A">
        <w:rPr>
          <w:lang w:val="en-US"/>
        </w:rPr>
        <w:t xml:space="preserve">redictions </w:t>
      </w:r>
      <w:r w:rsidR="009F2CD3" w:rsidRPr="00C2183A">
        <w:rPr>
          <w:lang w:val="en-US"/>
        </w:rPr>
        <w:t xml:space="preserve">are shown </w:t>
      </w:r>
      <w:r w:rsidR="00B8005E" w:rsidRPr="00C2183A">
        <w:rPr>
          <w:lang w:val="en-US"/>
        </w:rPr>
        <w:t xml:space="preserve">from the spatial and temporal random effects </w:t>
      </w:r>
      <w:r w:rsidRPr="00C2183A">
        <w:rPr>
          <w:lang w:val="en-US"/>
        </w:rPr>
        <w:t xml:space="preserve">of a GLMM with </w:t>
      </w:r>
      <w:r w:rsidR="00B25A3D" w:rsidRPr="00C2183A">
        <w:rPr>
          <w:lang w:val="en-US"/>
        </w:rPr>
        <w:t xml:space="preserve">(top row) </w:t>
      </w:r>
      <w:r w:rsidRPr="00C2183A">
        <w:rPr>
          <w:lang w:val="en-US"/>
        </w:rPr>
        <w:t xml:space="preserve">and without </w:t>
      </w:r>
      <w:r w:rsidR="00B25A3D" w:rsidRPr="00C2183A">
        <w:rPr>
          <w:lang w:val="en-US"/>
        </w:rPr>
        <w:t xml:space="preserve">(bottom row) </w:t>
      </w:r>
      <w:r w:rsidRPr="00C2183A">
        <w:rPr>
          <w:lang w:val="en-US"/>
        </w:rPr>
        <w:t xml:space="preserve">a </w:t>
      </w:r>
      <w:r w:rsidR="00DA0EBF" w:rsidRPr="00C2183A">
        <w:rPr>
          <w:lang w:val="en-US"/>
        </w:rPr>
        <w:t xml:space="preserve">spatially varying temporal trend (i.e., </w:t>
      </w:r>
      <w:r w:rsidR="00087449" w:rsidRPr="00C2183A">
        <w:rPr>
          <w:lang w:val="en-US"/>
        </w:rPr>
        <w:t>local trend</w:t>
      </w:r>
      <w:r w:rsidR="00DA0EBF" w:rsidRPr="00C2183A">
        <w:rPr>
          <w:lang w:val="en-US"/>
        </w:rPr>
        <w:t>)</w:t>
      </w:r>
      <w:r w:rsidR="00B25A3D" w:rsidRPr="00C2183A">
        <w:rPr>
          <w:lang w:val="en-US"/>
        </w:rPr>
        <w:t xml:space="preserve">. </w:t>
      </w:r>
      <w:r w:rsidR="00DA0EBF" w:rsidRPr="00C2183A">
        <w:rPr>
          <w:lang w:val="en-US"/>
        </w:rPr>
        <w:t xml:space="preserve">Each </w:t>
      </w:r>
      <w:r w:rsidR="008A1E11" w:rsidRPr="00C2183A">
        <w:rPr>
          <w:lang w:val="en-US"/>
        </w:rPr>
        <w:t>panel show</w:t>
      </w:r>
      <w:r w:rsidR="00DA0EBF" w:rsidRPr="00C2183A">
        <w:rPr>
          <w:lang w:val="en-US"/>
        </w:rPr>
        <w:t>s a</w:t>
      </w:r>
      <w:r w:rsidR="008A1E11" w:rsidRPr="00C2183A">
        <w:rPr>
          <w:lang w:val="en-US"/>
        </w:rPr>
        <w:t xml:space="preserve"> </w:t>
      </w:r>
      <w:r w:rsidRPr="00C2183A">
        <w:rPr>
          <w:lang w:val="en-US"/>
        </w:rPr>
        <w:t xml:space="preserve">field </w:t>
      </w:r>
      <w:r w:rsidR="008A1E11" w:rsidRPr="00C2183A">
        <w:rPr>
          <w:lang w:val="en-US"/>
        </w:rPr>
        <w:t xml:space="preserve">representing </w:t>
      </w:r>
      <w:r w:rsidR="00DA0EBF" w:rsidRPr="00C2183A">
        <w:rPr>
          <w:lang w:val="en-US"/>
        </w:rPr>
        <w:t xml:space="preserve">the spatial </w:t>
      </w:r>
      <w:r w:rsidR="008A1E11" w:rsidRPr="00C2183A">
        <w:rPr>
          <w:lang w:val="en-US"/>
        </w:rPr>
        <w:t xml:space="preserve">variation in </w:t>
      </w:r>
      <w:r w:rsidR="00DC79BC" w:rsidRPr="00C2183A">
        <w:rPr>
          <w:lang w:val="en-US"/>
        </w:rPr>
        <w:t xml:space="preserve">population </w:t>
      </w:r>
      <w:r w:rsidR="00DD4113" w:rsidRPr="00C2183A">
        <w:rPr>
          <w:lang w:val="en-US"/>
        </w:rPr>
        <w:t>density</w:t>
      </w:r>
      <w:r w:rsidR="00DA0EBF" w:rsidRPr="00C2183A">
        <w:rPr>
          <w:lang w:val="en-US"/>
        </w:rPr>
        <w:t xml:space="preserve">, </w:t>
      </w:r>
      <w:r w:rsidR="00B8005E" w:rsidRPr="00C2183A">
        <w:rPr>
          <w:lang w:val="en-US"/>
        </w:rPr>
        <w:t>and the columns show how these patterns change over time (e.g., five years).</w:t>
      </w:r>
      <w:r w:rsidR="00B8005E" w:rsidRPr="00C2183A" w:rsidDel="001111A4">
        <w:rPr>
          <w:lang w:val="en-US"/>
        </w:rPr>
        <w:t xml:space="preserve"> </w:t>
      </w:r>
      <w:r w:rsidR="00B25A3D" w:rsidRPr="00C2183A">
        <w:rPr>
          <w:lang w:val="en-US"/>
        </w:rPr>
        <w:t xml:space="preserve">When a </w:t>
      </w:r>
      <w:r w:rsidR="001111A4" w:rsidRPr="00C2183A">
        <w:rPr>
          <w:lang w:val="en-US"/>
        </w:rPr>
        <w:t>spatially varying temporal trend</w:t>
      </w:r>
      <w:r w:rsidR="00B8005E" w:rsidRPr="00C2183A">
        <w:rPr>
          <w:lang w:val="en-US"/>
        </w:rPr>
        <w:t xml:space="preserve"> </w:t>
      </w:r>
      <w:r w:rsidR="00B25A3D" w:rsidRPr="00C2183A">
        <w:rPr>
          <w:lang w:val="en-US"/>
        </w:rPr>
        <w:t>is present, some regions develop systematically higher</w:t>
      </w:r>
      <w:r w:rsidR="00DC79BC" w:rsidRPr="00C2183A">
        <w:rPr>
          <w:lang w:val="en-US"/>
        </w:rPr>
        <w:t xml:space="preserve"> (red)</w:t>
      </w:r>
      <w:r w:rsidR="00B25A3D" w:rsidRPr="00C2183A">
        <w:rPr>
          <w:lang w:val="en-US"/>
        </w:rPr>
        <w:t xml:space="preserve"> or lower </w:t>
      </w:r>
      <w:r w:rsidR="00DC79BC" w:rsidRPr="00C2183A">
        <w:rPr>
          <w:lang w:val="en-US"/>
        </w:rPr>
        <w:t xml:space="preserve">(blue) </w:t>
      </w:r>
      <w:r w:rsidR="00DD4113" w:rsidRPr="00C2183A">
        <w:rPr>
          <w:lang w:val="en-US"/>
        </w:rPr>
        <w:t>density</w:t>
      </w:r>
      <w:r w:rsidR="00D000A1" w:rsidRPr="00C2183A">
        <w:rPr>
          <w:lang w:val="en-US"/>
        </w:rPr>
        <w:t xml:space="preserve"> </w:t>
      </w:r>
      <w:r w:rsidR="00B25A3D" w:rsidRPr="00C2183A">
        <w:rPr>
          <w:lang w:val="en-US"/>
        </w:rPr>
        <w:t xml:space="preserve">over time. </w:t>
      </w:r>
      <w:r w:rsidR="00B8005E" w:rsidRPr="00C2183A">
        <w:rPr>
          <w:lang w:val="en-US"/>
        </w:rPr>
        <w:t>In con</w:t>
      </w:r>
      <w:r w:rsidR="001111A4" w:rsidRPr="00C2183A">
        <w:rPr>
          <w:lang w:val="en-US"/>
        </w:rPr>
        <w:t>trast, w</w:t>
      </w:r>
      <w:r w:rsidR="00B25A3D" w:rsidRPr="00C2183A">
        <w:rPr>
          <w:lang w:val="en-US"/>
        </w:rPr>
        <w:t xml:space="preserve">hen a </w:t>
      </w:r>
      <w:r w:rsidR="001111A4" w:rsidRPr="00C2183A">
        <w:rPr>
          <w:lang w:val="en-US"/>
        </w:rPr>
        <w:t>spatially varying temporal trend</w:t>
      </w:r>
      <w:r w:rsidR="00B8005E" w:rsidRPr="00C2183A">
        <w:rPr>
          <w:lang w:val="en-US"/>
        </w:rPr>
        <w:t xml:space="preserve"> </w:t>
      </w:r>
      <w:r w:rsidR="00B25A3D" w:rsidRPr="00C2183A">
        <w:rPr>
          <w:lang w:val="en-US"/>
        </w:rPr>
        <w:t xml:space="preserve">is absent, </w:t>
      </w:r>
      <w:r w:rsidR="006113B7" w:rsidRPr="00C2183A">
        <w:rPr>
          <w:lang w:val="en-US"/>
        </w:rPr>
        <w:t>spatial deviations from year</w:t>
      </w:r>
      <w:r w:rsidR="002374FB" w:rsidRPr="00C2183A">
        <w:rPr>
          <w:lang w:val="en-US"/>
        </w:rPr>
        <w:t>-</w:t>
      </w:r>
      <w:r w:rsidR="006113B7" w:rsidRPr="00C2183A">
        <w:rPr>
          <w:lang w:val="en-US"/>
        </w:rPr>
        <w:t>to</w:t>
      </w:r>
      <w:r w:rsidR="002374FB" w:rsidRPr="00C2183A">
        <w:rPr>
          <w:lang w:val="en-US"/>
        </w:rPr>
        <w:t>-</w:t>
      </w:r>
      <w:r w:rsidR="006113B7" w:rsidRPr="00C2183A">
        <w:rPr>
          <w:lang w:val="en-US"/>
        </w:rPr>
        <w:t>year are independent</w:t>
      </w:r>
      <w:r w:rsidR="008A1E11" w:rsidRPr="00C2183A">
        <w:rPr>
          <w:lang w:val="en-US"/>
        </w:rPr>
        <w:t xml:space="preserve">. For this example, we have omitted all other sources of </w:t>
      </w:r>
      <w:r w:rsidR="006A5CB7" w:rsidRPr="00C2183A">
        <w:rPr>
          <w:lang w:val="en-US"/>
        </w:rPr>
        <w:t>variability</w:t>
      </w:r>
      <w:r w:rsidR="008A1E11" w:rsidRPr="00C2183A">
        <w:rPr>
          <w:lang w:val="en-US"/>
        </w:rPr>
        <w:t xml:space="preserve"> and error for simplicity.</w:t>
      </w:r>
    </w:p>
    <w:p w14:paraId="7F635BF5" w14:textId="77777777" w:rsidR="00D10A48" w:rsidRPr="00C2183A" w:rsidRDefault="00D10A48" w:rsidP="00C2183A">
      <w:pPr>
        <w:spacing w:line="480" w:lineRule="auto"/>
        <w:rPr>
          <w:lang w:val="en-US"/>
        </w:rPr>
      </w:pPr>
    </w:p>
    <w:p w14:paraId="50D64EAC" w14:textId="19061D1C" w:rsidR="00D10A48" w:rsidRPr="00C2183A" w:rsidRDefault="00A939E4" w:rsidP="00C2183A">
      <w:pPr>
        <w:spacing w:line="480" w:lineRule="auto"/>
        <w:rPr>
          <w:lang w:val="en-US"/>
        </w:rPr>
      </w:pPr>
      <w:r w:rsidRPr="00C2183A">
        <w:rPr>
          <w:lang w:val="en-US"/>
        </w:rPr>
        <w:t xml:space="preserve">Figure </w:t>
      </w:r>
      <w:r w:rsidR="005437A8" w:rsidRPr="00C2183A">
        <w:rPr>
          <w:lang w:val="en-US"/>
        </w:rPr>
        <w:t>2</w:t>
      </w:r>
      <w:r w:rsidRPr="00C2183A">
        <w:rPr>
          <w:lang w:val="en-US"/>
        </w:rPr>
        <w:t xml:space="preserve">. Map of the </w:t>
      </w:r>
      <w:r w:rsidR="0037103B" w:rsidRPr="00C2183A">
        <w:rPr>
          <w:lang w:val="en-US"/>
        </w:rPr>
        <w:t xml:space="preserve">bathymetry within the </w:t>
      </w:r>
      <w:r w:rsidR="0049381F" w:rsidRPr="00C2183A">
        <w:rPr>
          <w:lang w:val="en-US"/>
        </w:rPr>
        <w:t xml:space="preserve">US </w:t>
      </w:r>
      <w:r w:rsidR="003C4531">
        <w:rPr>
          <w:lang w:val="en-US"/>
        </w:rPr>
        <w:t>w</w:t>
      </w:r>
      <w:r w:rsidR="003C4531" w:rsidRPr="00C2183A">
        <w:rPr>
          <w:lang w:val="en-US"/>
        </w:rPr>
        <w:t xml:space="preserve">est </w:t>
      </w:r>
      <w:r w:rsidR="003C4531">
        <w:rPr>
          <w:lang w:val="en-US"/>
        </w:rPr>
        <w:t>c</w:t>
      </w:r>
      <w:r w:rsidR="003C4531" w:rsidRPr="00C2183A">
        <w:rPr>
          <w:lang w:val="en-US"/>
        </w:rPr>
        <w:t xml:space="preserve">oast </w:t>
      </w:r>
      <w:proofErr w:type="spellStart"/>
      <w:r w:rsidR="0049381F" w:rsidRPr="00C2183A">
        <w:rPr>
          <w:lang w:val="en-US"/>
        </w:rPr>
        <w:t>groundfish</w:t>
      </w:r>
      <w:proofErr w:type="spellEnd"/>
      <w:r w:rsidR="0049381F" w:rsidRPr="00C2183A">
        <w:rPr>
          <w:lang w:val="en-US"/>
        </w:rPr>
        <w:t xml:space="preserve"> bottom trawl survey </w:t>
      </w:r>
      <w:r w:rsidR="0037103B" w:rsidRPr="00C2183A">
        <w:rPr>
          <w:lang w:val="en-US"/>
        </w:rPr>
        <w:t xml:space="preserve">footprint. </w:t>
      </w:r>
      <w:r w:rsidRPr="00C2183A">
        <w:rPr>
          <w:lang w:val="en-US"/>
        </w:rPr>
        <w:t xml:space="preserve">Cape Mendocino and Point Conception are labeled to represent the latitudinal boundaries between known </w:t>
      </w:r>
      <w:r w:rsidR="003E04B4" w:rsidRPr="00C2183A">
        <w:rPr>
          <w:lang w:val="en-US"/>
        </w:rPr>
        <w:t>pre</w:t>
      </w:r>
      <w:r w:rsidR="0032387B" w:rsidRPr="00C2183A">
        <w:rPr>
          <w:lang w:val="en-US"/>
        </w:rPr>
        <w:t xml:space="preserve">dominant </w:t>
      </w:r>
      <w:r w:rsidRPr="00C2183A">
        <w:rPr>
          <w:lang w:val="en-US"/>
        </w:rPr>
        <w:t>biogeographic regions</w:t>
      </w:r>
      <w:r w:rsidR="0032387B" w:rsidRPr="00C2183A">
        <w:rPr>
          <w:lang w:val="en-US"/>
        </w:rPr>
        <w:t xml:space="preserve"> (</w:t>
      </w:r>
      <w:r w:rsidR="003E04B4" w:rsidRPr="00C2183A">
        <w:rPr>
          <w:lang w:val="en-US"/>
        </w:rPr>
        <w:t xml:space="preserve">N.B. there is also more limited evidence for additional or alternative biogeographic breaks, e.g., </w:t>
      </w:r>
      <w:r w:rsidR="0032387B" w:rsidRPr="00C2183A">
        <w:rPr>
          <w:lang w:val="en-US"/>
        </w:rPr>
        <w:t>Cape Blanco</w:t>
      </w:r>
      <w:r w:rsidR="003E04B4" w:rsidRPr="00C2183A">
        <w:rPr>
          <w:lang w:val="en-US"/>
        </w:rPr>
        <w:t>, the westernmost point</w:t>
      </w:r>
      <w:r w:rsidR="0032387B" w:rsidRPr="00C2183A">
        <w:rPr>
          <w:lang w:val="en-US"/>
        </w:rPr>
        <w:t xml:space="preserve"> in Oregon)</w:t>
      </w:r>
      <w:r w:rsidRPr="00C2183A">
        <w:rPr>
          <w:lang w:val="en-US"/>
        </w:rPr>
        <w:t xml:space="preserve">. </w:t>
      </w:r>
    </w:p>
    <w:p w14:paraId="0AA39DC8" w14:textId="0892A913" w:rsidR="005437A8" w:rsidRPr="00C2183A" w:rsidRDefault="005437A8" w:rsidP="00C2183A">
      <w:pPr>
        <w:spacing w:line="480" w:lineRule="auto"/>
        <w:rPr>
          <w:lang w:val="en-US"/>
        </w:rPr>
      </w:pPr>
    </w:p>
    <w:p w14:paraId="01EDE1FD" w14:textId="60840852" w:rsidR="00D10A48" w:rsidRPr="00C2183A" w:rsidRDefault="005437A8">
      <w:pPr>
        <w:spacing w:line="480" w:lineRule="auto"/>
        <w:rPr>
          <w:rFonts w:eastAsiaTheme="minorEastAsia"/>
          <w:lang w:val="en-US"/>
        </w:rPr>
      </w:pPr>
      <w:r w:rsidRPr="00C2183A">
        <w:rPr>
          <w:lang w:val="en-US"/>
        </w:rPr>
        <w:t>Figure 3</w:t>
      </w:r>
      <w:r w:rsidR="0051393F" w:rsidRPr="00C2183A">
        <w:rPr>
          <w:lang w:val="en-US"/>
        </w:rPr>
        <w:t xml:space="preserve">. </w:t>
      </w:r>
      <w:r w:rsidR="00E6142A" w:rsidRPr="00C2183A">
        <w:rPr>
          <w:lang w:val="en-US"/>
        </w:rPr>
        <w:t xml:space="preserve">Simulation testing the effects of </w:t>
      </w:r>
      <w:r w:rsidR="00D42716" w:rsidRPr="00C2183A">
        <w:rPr>
          <w:lang w:val="en-US"/>
        </w:rPr>
        <w:t xml:space="preserve">observation error and </w:t>
      </w:r>
      <w:r w:rsidR="0051393F" w:rsidRPr="00C2183A">
        <w:rPr>
          <w:lang w:val="en-US"/>
        </w:rPr>
        <w:t xml:space="preserve">spatiotemporal variation on the ability to recover the </w:t>
      </w:r>
      <w:r w:rsidR="00087449" w:rsidRPr="00C2183A">
        <w:rPr>
          <w:lang w:val="en-US"/>
        </w:rPr>
        <w:t>local trend</w:t>
      </w:r>
      <w:r w:rsidR="0051393F" w:rsidRPr="00C2183A">
        <w:rPr>
          <w:lang w:val="en-US"/>
        </w:rPr>
        <w:t xml:space="preserve">. </w:t>
      </w:r>
      <w:r w:rsidR="00E53D46" w:rsidRPr="00C2183A">
        <w:rPr>
          <w:rFonts w:eastAsiaTheme="minorEastAsia"/>
          <w:lang w:val="en-US"/>
        </w:rPr>
        <w:t xml:space="preserve">The symbols </w:t>
      </w:r>
      <m:oMath>
        <m:r>
          <w:rPr>
            <w:rFonts w:ascii="Cambria Math" w:hAnsi="Cambria Math"/>
            <w:lang w:val="en-US"/>
          </w:rPr>
          <m:t>θ</m:t>
        </m:r>
      </m:oMath>
      <w:r w:rsidR="00E53D46" w:rsidRPr="00C2183A">
        <w:rPr>
          <w:rFonts w:eastAsiaTheme="minorEastAsia"/>
          <w:lang w:val="en-US"/>
        </w:rPr>
        <w:t xml:space="preserve"> and </w:t>
      </w:r>
      <m:oMath>
        <m:acc>
          <m:accPr>
            <m:ctrlPr>
              <w:rPr>
                <w:rFonts w:ascii="Cambria Math" w:eastAsiaTheme="minorEastAsia" w:hAnsi="Cambria Math"/>
                <w:i/>
                <w:lang w:val="en-US"/>
              </w:rPr>
            </m:ctrlPr>
          </m:accPr>
          <m:e>
            <m:r>
              <w:rPr>
                <w:rFonts w:ascii="Cambria Math" w:eastAsiaTheme="minorEastAsia" w:hAnsi="Cambria Math"/>
                <w:lang w:val="en-US"/>
              </w:rPr>
              <m:t>θ</m:t>
            </m:r>
            <m:ctrlPr>
              <w:rPr>
                <w:rFonts w:ascii="Cambria Math" w:hAnsi="Cambria Math"/>
                <w:i/>
                <w:lang w:val="en-US"/>
              </w:rPr>
            </m:ctrlPr>
          </m:e>
        </m:acc>
      </m:oMath>
      <w:r w:rsidR="00E53D46" w:rsidRPr="00C2183A">
        <w:rPr>
          <w:rFonts w:eastAsiaTheme="minorEastAsia"/>
          <w:lang w:val="en-US"/>
        </w:rPr>
        <w:t xml:space="preserve"> refer to the </w:t>
      </w:r>
      <w:r w:rsidR="002C355F" w:rsidRPr="00C2183A">
        <w:rPr>
          <w:rFonts w:eastAsiaTheme="minorEastAsia"/>
          <w:lang w:val="en-US"/>
        </w:rPr>
        <w:t xml:space="preserve">local </w:t>
      </w:r>
      <w:r w:rsidR="00E53D46" w:rsidRPr="00C2183A">
        <w:rPr>
          <w:rFonts w:eastAsiaTheme="minorEastAsia"/>
          <w:lang w:val="en-US"/>
        </w:rPr>
        <w:t>trend random effect values</w:t>
      </w:r>
      <w:r w:rsidR="00B610B9" w:rsidRPr="00C2183A">
        <w:rPr>
          <w:rFonts w:eastAsiaTheme="minorEastAsia"/>
          <w:lang w:val="en-US"/>
        </w:rPr>
        <w:t xml:space="preserve"> at each location</w:t>
      </w:r>
      <w:r w:rsidR="00E53D46" w:rsidRPr="00C2183A">
        <w:rPr>
          <w:rFonts w:eastAsiaTheme="minorEastAsia"/>
          <w:b/>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ζ</m:t>
            </m:r>
          </m:e>
          <m:sub>
            <m:r>
              <w:rPr>
                <w:rFonts w:ascii="Cambria Math" w:eastAsiaTheme="minorEastAsia" w:hAnsi="Cambria Math"/>
                <w:lang w:val="en-US"/>
              </w:rPr>
              <m:t>s</m:t>
            </m:r>
          </m:sub>
        </m:sSub>
      </m:oMath>
      <w:r w:rsidR="00E53D46" w:rsidRPr="00C2183A">
        <w:rPr>
          <w:rFonts w:eastAsiaTheme="minorEastAsia"/>
          <w:lang w:val="en-US"/>
        </w:rPr>
        <w:t xml:space="preserve"> and their estimate, respectively. </w:t>
      </w:r>
      <w:r w:rsidR="00B610B9" w:rsidRPr="00C2183A">
        <w:rPr>
          <w:lang w:val="en-US"/>
        </w:rPr>
        <w:t xml:space="preserve">Each violin represents the distribution of location by location comparisons from 100 simulations and the dots represent the median value. </w:t>
      </w:r>
      <w:r w:rsidR="00E6142A" w:rsidRPr="00C2183A">
        <w:rPr>
          <w:lang w:val="en-US"/>
        </w:rPr>
        <w:t>In all cases, t</w:t>
      </w:r>
      <w:r w:rsidR="00D42716" w:rsidRPr="00C2183A">
        <w:rPr>
          <w:lang w:val="en-US"/>
        </w:rPr>
        <w:t xml:space="preserve">he standard deviation of the </w:t>
      </w:r>
      <w:r w:rsidR="00E6142A" w:rsidRPr="00C2183A">
        <w:rPr>
          <w:lang w:val="en-US"/>
        </w:rPr>
        <w:t>non-varying parameter</w:t>
      </w:r>
      <w:r w:rsidR="00D42716" w:rsidRPr="00C2183A">
        <w:rPr>
          <w:lang w:val="en-US"/>
        </w:rPr>
        <w:t xml:space="preserve"> is held at 0.01</w:t>
      </w:r>
      <w:r w:rsidR="00E53D46" w:rsidRPr="00C2183A">
        <w:rPr>
          <w:lang w:val="en-US"/>
        </w:rPr>
        <w:t xml:space="preserve">, while </w:t>
      </w:r>
      <m:oMath>
        <m:r>
          <w:rPr>
            <w:rFonts w:ascii="Cambria Math" w:hAnsi="Cambria Math"/>
            <w:lang w:val="en-US"/>
          </w:rPr>
          <m:t>σ</m:t>
        </m:r>
      </m:oMath>
      <w:r w:rsidR="00E53D46" w:rsidRPr="00C2183A">
        <w:rPr>
          <w:lang w:val="en-US"/>
        </w:rPr>
        <w:t xml:space="preserve"> </w:t>
      </w:r>
      <w:r w:rsidR="00E53D46" w:rsidRPr="00C2183A">
        <w:rPr>
          <w:lang w:val="en-US"/>
        </w:rPr>
        <w:lastRenderedPageBreak/>
        <w:t xml:space="preserve">varies </w:t>
      </w:r>
      <w:proofErr w:type="gramStart"/>
      <w:r w:rsidR="00E53D46" w:rsidRPr="00C2183A">
        <w:rPr>
          <w:lang w:val="en-US"/>
        </w:rPr>
        <w:t xml:space="preserve">along </w:t>
      </w:r>
      <w:proofErr w:type="gramEnd"/>
      <m:oMath>
        <m:r>
          <w:rPr>
            <w:rFonts w:ascii="Cambria Math" w:hAnsi="Cambria Math"/>
            <w:lang w:val="en-US"/>
          </w:rPr>
          <m:t>{0.01, 0.25, 0.5, 0.75}</m:t>
        </m:r>
      </m:oMath>
      <w:r w:rsidR="00E53D46" w:rsidRPr="00C2183A">
        <w:rPr>
          <w:lang w:val="en-US"/>
        </w:rPr>
        <w:t>.</w:t>
      </w:r>
      <w:r w:rsidR="00E6142A" w:rsidRPr="00C2183A">
        <w:rPr>
          <w:lang w:val="en-US"/>
        </w:rPr>
        <w:t xml:space="preserve"> </w:t>
      </w:r>
      <w:r w:rsidR="0005686A" w:rsidRPr="00C2183A">
        <w:rPr>
          <w:rFonts w:eastAsiaTheme="minorEastAsia"/>
          <w:lang w:val="en-US"/>
        </w:rPr>
        <w:t xml:space="preserve">Note that these results were also computed for </w:t>
      </w:r>
      <m:oMath>
        <m:r>
          <w:rPr>
            <w:rFonts w:ascii="Cambria Math" w:hAnsi="Cambria Math"/>
            <w:lang w:val="en-US"/>
          </w:rPr>
          <m:t>σ=1</m:t>
        </m:r>
      </m:oMath>
      <w:r w:rsidR="0005686A" w:rsidRPr="00C2183A">
        <w:rPr>
          <w:rFonts w:eastAsiaTheme="minorEastAsia"/>
          <w:lang w:val="en-US"/>
        </w:rPr>
        <w:t xml:space="preserve"> (see Table S1), yet are omitted here </w:t>
      </w:r>
      <w:r w:rsidR="00316227" w:rsidRPr="00C2183A">
        <w:rPr>
          <w:rFonts w:eastAsiaTheme="minorEastAsia"/>
          <w:lang w:val="en-US"/>
        </w:rPr>
        <w:t>as the</w:t>
      </w:r>
      <w:r w:rsidR="00D53306" w:rsidRPr="00C2183A">
        <w:rPr>
          <w:rFonts w:eastAsiaTheme="minorEastAsia"/>
          <w:lang w:val="en-US"/>
        </w:rPr>
        <w:t>y</w:t>
      </w:r>
      <w:r w:rsidR="00316227" w:rsidRPr="00C2183A">
        <w:rPr>
          <w:rFonts w:eastAsiaTheme="minorEastAsia"/>
          <w:lang w:val="en-US"/>
        </w:rPr>
        <w:t xml:space="preserve"> were very similar to results </w:t>
      </w:r>
      <w:proofErr w:type="gramStart"/>
      <w:r w:rsidR="00316227" w:rsidRPr="00C2183A">
        <w:rPr>
          <w:rFonts w:eastAsiaTheme="minorEastAsia"/>
          <w:lang w:val="en-US"/>
        </w:rPr>
        <w:t>from</w:t>
      </w:r>
      <w:r w:rsidR="007F6FF2" w:rsidRPr="00C2183A">
        <w:rPr>
          <w:rFonts w:eastAsiaTheme="minorEastAsia"/>
          <w:lang w:val="en-US"/>
        </w:rPr>
        <w:t xml:space="preserve"> </w:t>
      </w:r>
      <w:proofErr w:type="gramEnd"/>
      <m:oMath>
        <m:r>
          <w:rPr>
            <w:rFonts w:ascii="Cambria Math" w:hAnsi="Cambria Math"/>
            <w:lang w:val="en-US"/>
          </w:rPr>
          <m:t>σ=0.75</m:t>
        </m:r>
      </m:oMath>
      <w:r w:rsidR="00316227" w:rsidRPr="00C2183A">
        <w:rPr>
          <w:rFonts w:eastAsiaTheme="minorEastAsia"/>
          <w:lang w:val="en-US"/>
        </w:rPr>
        <w:t>.</w:t>
      </w:r>
      <w:r w:rsidR="00E53D46" w:rsidRPr="00C2183A">
        <w:rPr>
          <w:rFonts w:eastAsiaTheme="minorEastAsia"/>
          <w:lang w:val="en-US"/>
        </w:rPr>
        <w:t xml:space="preserve"> </w:t>
      </w:r>
    </w:p>
    <w:p w14:paraId="78E113B0" w14:textId="7D93DD91" w:rsidR="00811176" w:rsidRPr="00C2183A" w:rsidRDefault="00811176">
      <w:pPr>
        <w:spacing w:line="480" w:lineRule="auto"/>
        <w:rPr>
          <w:lang w:val="en-US"/>
        </w:rPr>
      </w:pPr>
    </w:p>
    <w:p w14:paraId="54D05E67" w14:textId="67E20390" w:rsidR="00D10A48" w:rsidRPr="00C2183A" w:rsidRDefault="00811176">
      <w:pPr>
        <w:spacing w:line="480" w:lineRule="auto"/>
        <w:rPr>
          <w:lang w:val="en-US"/>
        </w:rPr>
      </w:pPr>
      <w:r w:rsidRPr="00C2183A">
        <w:rPr>
          <w:lang w:val="en-US"/>
        </w:rPr>
        <w:t xml:space="preserve">Figure </w:t>
      </w:r>
      <w:r w:rsidR="005B5CB5" w:rsidRPr="00C2183A">
        <w:rPr>
          <w:lang w:val="en-US"/>
        </w:rPr>
        <w:t>4</w:t>
      </w:r>
      <w:r w:rsidRPr="00C2183A">
        <w:rPr>
          <w:lang w:val="en-US"/>
        </w:rPr>
        <w:t xml:space="preserve">. </w:t>
      </w:r>
      <w:r w:rsidR="002F0878" w:rsidRPr="00C2183A">
        <w:rPr>
          <w:lang w:val="en-US"/>
        </w:rPr>
        <w:t>Strip</w:t>
      </w:r>
      <w:r w:rsidR="0092666E" w:rsidRPr="00C2183A">
        <w:rPr>
          <w:lang w:val="en-US"/>
        </w:rPr>
        <w:t xml:space="preserve"> </w:t>
      </w:r>
      <w:r w:rsidR="002F0878" w:rsidRPr="00C2183A">
        <w:rPr>
          <w:lang w:val="en-US"/>
        </w:rPr>
        <w:t xml:space="preserve">plot showing each unique cluster of latitude and </w:t>
      </w:r>
      <w:r w:rsidR="00087449" w:rsidRPr="00C2183A">
        <w:rPr>
          <w:lang w:val="en-US"/>
        </w:rPr>
        <w:t>local trend</w:t>
      </w:r>
      <w:r w:rsidR="00843324" w:rsidRPr="00C2183A">
        <w:rPr>
          <w:lang w:val="en-US"/>
        </w:rPr>
        <w:t xml:space="preserve"> (slope</w:t>
      </w:r>
      <w:r w:rsidR="00B15C88" w:rsidRPr="00C2183A">
        <w:rPr>
          <w:lang w:val="en-US"/>
        </w:rPr>
        <w:t xml:space="preserve"> over time</w:t>
      </w:r>
      <w:r w:rsidR="00843324" w:rsidRPr="00C2183A">
        <w:rPr>
          <w:lang w:val="en-US"/>
        </w:rPr>
        <w:t xml:space="preserve">) </w:t>
      </w:r>
      <w:r w:rsidR="002F0878" w:rsidRPr="00C2183A">
        <w:rPr>
          <w:lang w:val="en-US"/>
        </w:rPr>
        <w:t>by species. Each set of points associated with a given cluster are represented by a different column and colored by their deviation from the mean coast</w:t>
      </w:r>
      <w:r w:rsidR="0049381F" w:rsidRPr="00C2183A">
        <w:rPr>
          <w:lang w:val="en-US"/>
        </w:rPr>
        <w:t>-</w:t>
      </w:r>
      <w:r w:rsidR="002F0878" w:rsidRPr="00C2183A">
        <w:rPr>
          <w:lang w:val="en-US"/>
        </w:rPr>
        <w:t>wide trend for a given species. Grey points represent clusters from which the trend was within 0.01 of the mean coast</w:t>
      </w:r>
      <w:r w:rsidR="0049381F" w:rsidRPr="00C2183A">
        <w:rPr>
          <w:lang w:val="en-US"/>
        </w:rPr>
        <w:t>-</w:t>
      </w:r>
      <w:r w:rsidR="002F0878" w:rsidRPr="00C2183A">
        <w:rPr>
          <w:lang w:val="en-US"/>
        </w:rPr>
        <w:t xml:space="preserve">wide trend. Horizontal </w:t>
      </w:r>
      <w:r w:rsidR="0053211D">
        <w:rPr>
          <w:lang w:val="en-US"/>
        </w:rPr>
        <w:t xml:space="preserve">black </w:t>
      </w:r>
      <w:r w:rsidR="002F0878" w:rsidRPr="00C2183A">
        <w:rPr>
          <w:lang w:val="en-US"/>
        </w:rPr>
        <w:t>lines represent approximate positions of known biogeographic breaks: Cape Mendocino, California</w:t>
      </w:r>
      <w:r w:rsidR="00A82880" w:rsidRPr="00C2183A">
        <w:rPr>
          <w:lang w:val="en-US"/>
        </w:rPr>
        <w:t>,</w:t>
      </w:r>
      <w:r w:rsidR="002F0878" w:rsidRPr="00C2183A">
        <w:rPr>
          <w:lang w:val="en-US"/>
        </w:rPr>
        <w:t xml:space="preserve"> in the north; Point Conception, California</w:t>
      </w:r>
      <w:r w:rsidR="00A82880" w:rsidRPr="00C2183A">
        <w:rPr>
          <w:lang w:val="en-US"/>
        </w:rPr>
        <w:t>,</w:t>
      </w:r>
      <w:r w:rsidR="002F0878" w:rsidRPr="00C2183A">
        <w:rPr>
          <w:lang w:val="en-US"/>
        </w:rPr>
        <w:t xml:space="preserve"> in the south.</w:t>
      </w:r>
      <w:r w:rsidR="0053211D">
        <w:rPr>
          <w:lang w:val="en-US"/>
        </w:rPr>
        <w:t xml:space="preserve"> Horizontal gray shading represents a buffer of 100km around each biogeographic boundary, which provide a benchmark for the proximity statistics described in the main text.</w:t>
      </w:r>
    </w:p>
    <w:p w14:paraId="4E1CB6FD" w14:textId="4168033B" w:rsidR="0002735B" w:rsidRPr="00C2183A" w:rsidRDefault="0002735B" w:rsidP="00C2183A">
      <w:pPr>
        <w:spacing w:line="480" w:lineRule="auto"/>
        <w:rPr>
          <w:vertAlign w:val="subscript"/>
          <w:lang w:val="en-US"/>
        </w:rPr>
      </w:pPr>
    </w:p>
    <w:p w14:paraId="445EDE7B" w14:textId="293E4EA1" w:rsidR="00F62588" w:rsidRPr="00C2183A" w:rsidRDefault="005B5CB5" w:rsidP="00C2183A">
      <w:pPr>
        <w:spacing w:line="480" w:lineRule="auto"/>
        <w:rPr>
          <w:vertAlign w:val="subscript"/>
          <w:lang w:val="en-US"/>
        </w:rPr>
      </w:pPr>
      <w:r w:rsidRPr="00C2183A">
        <w:rPr>
          <w:lang w:val="en-US"/>
        </w:rPr>
        <w:t xml:space="preserve">Figure 5. Spatial and temporal patterns of predicted </w:t>
      </w:r>
      <w:r w:rsidR="00DD4113" w:rsidRPr="00C2183A">
        <w:rPr>
          <w:lang w:val="en-US"/>
        </w:rPr>
        <w:t>density</w:t>
      </w:r>
      <w:r w:rsidR="00D000A1" w:rsidRPr="00C2183A">
        <w:rPr>
          <w:lang w:val="en-US"/>
        </w:rPr>
        <w:t xml:space="preserve"> </w:t>
      </w:r>
      <w:r w:rsidRPr="00C2183A">
        <w:rPr>
          <w:lang w:val="en-US"/>
        </w:rPr>
        <w:t>for selected species</w:t>
      </w:r>
      <w:r w:rsidR="00F27A6B">
        <w:rPr>
          <w:lang w:val="en-US"/>
        </w:rPr>
        <w:t xml:space="preserve"> along the US west coast</w:t>
      </w:r>
      <w:r w:rsidRPr="00C2183A">
        <w:rPr>
          <w:lang w:val="en-US"/>
        </w:rPr>
        <w:t>.</w:t>
      </w:r>
      <w:r w:rsidR="00DC32E2" w:rsidRPr="00C2183A">
        <w:rPr>
          <w:lang w:val="en-US"/>
        </w:rPr>
        <w:t xml:space="preserve"> </w:t>
      </w:r>
      <w:r w:rsidR="00EA1271">
        <w:rPr>
          <w:lang w:val="en-US"/>
        </w:rPr>
        <w:t xml:space="preserve">Panels depict model outputs within the study area (shown in further detail in Figure 2), where the </w:t>
      </w:r>
      <w:r w:rsidR="007A5F9F">
        <w:rPr>
          <w:lang w:val="en-US"/>
        </w:rPr>
        <w:t xml:space="preserve">thin </w:t>
      </w:r>
      <w:r w:rsidR="00EA1271">
        <w:rPr>
          <w:lang w:val="en-US"/>
        </w:rPr>
        <w:t xml:space="preserve">black </w:t>
      </w:r>
      <w:r w:rsidR="007A5F9F">
        <w:rPr>
          <w:lang w:val="en-US"/>
        </w:rPr>
        <w:t>polygon</w:t>
      </w:r>
      <w:r w:rsidR="00EA1271">
        <w:rPr>
          <w:lang w:val="en-US"/>
        </w:rPr>
        <w:t xml:space="preserve"> in maps </w:t>
      </w:r>
      <w:r w:rsidR="007A5F9F">
        <w:rPr>
          <w:lang w:val="en-US"/>
        </w:rPr>
        <w:t>is</w:t>
      </w:r>
      <w:r w:rsidR="00EA1271">
        <w:rPr>
          <w:lang w:val="en-US"/>
        </w:rPr>
        <w:t xml:space="preserve"> the land boundary of the US west coast. </w:t>
      </w:r>
      <w:r w:rsidRPr="00C2183A">
        <w:rPr>
          <w:lang w:val="en-US"/>
        </w:rPr>
        <w:t xml:space="preserve">The first column shows maps of the predicted </w:t>
      </w:r>
      <w:r w:rsidR="00087449" w:rsidRPr="00C2183A">
        <w:rPr>
          <w:lang w:val="en-US"/>
        </w:rPr>
        <w:t>local trend</w:t>
      </w:r>
      <w:r w:rsidRPr="00C2183A">
        <w:rPr>
          <w:lang w:val="en-US"/>
        </w:rPr>
        <w:t xml:space="preserve"> (slope of log </w:t>
      </w:r>
      <w:r w:rsidR="00DD4113" w:rsidRPr="00C2183A">
        <w:rPr>
          <w:lang w:val="en-US"/>
        </w:rPr>
        <w:t>density</w:t>
      </w:r>
      <w:r w:rsidRPr="00C2183A">
        <w:rPr>
          <w:lang w:val="en-US"/>
        </w:rPr>
        <w:t xml:space="preserve"> across years).</w:t>
      </w:r>
      <w:r w:rsidR="00DC32E2" w:rsidRPr="00C2183A">
        <w:rPr>
          <w:lang w:val="en-US"/>
        </w:rPr>
        <w:t xml:space="preserve"> </w:t>
      </w:r>
      <w:r w:rsidRPr="00C2183A">
        <w:rPr>
          <w:lang w:val="en-US"/>
        </w:rPr>
        <w:t xml:space="preserve">The second shows how each spatial location groups with a unique cluster of latitude and </w:t>
      </w:r>
      <w:r w:rsidR="00087449" w:rsidRPr="00C2183A">
        <w:rPr>
          <w:lang w:val="en-US"/>
        </w:rPr>
        <w:t>local trend</w:t>
      </w:r>
      <w:r w:rsidR="00C961FE">
        <w:rPr>
          <w:lang w:val="en-US"/>
        </w:rPr>
        <w:t>, where each color represents a cluster</w:t>
      </w:r>
      <w:r w:rsidR="00562BD4">
        <w:rPr>
          <w:lang w:val="en-US"/>
        </w:rPr>
        <w:t>. The first panel also shows how the latitudinal boundaries of established biogeographic breaks</w:t>
      </w:r>
      <w:r w:rsidR="007A5F9F">
        <w:rPr>
          <w:lang w:val="en-US"/>
        </w:rPr>
        <w:t xml:space="preserve"> (thick black horizontal lines)</w:t>
      </w:r>
      <w:r w:rsidR="00562BD4">
        <w:rPr>
          <w:lang w:val="en-US"/>
        </w:rPr>
        <w:t xml:space="preserve"> separate the study area into three regions: North of </w:t>
      </w:r>
      <w:r w:rsidR="00562BD4" w:rsidRPr="00C2183A">
        <w:rPr>
          <w:lang w:val="en-US"/>
        </w:rPr>
        <w:t>Cape Mendocino, California</w:t>
      </w:r>
      <w:r w:rsidR="00562BD4">
        <w:rPr>
          <w:lang w:val="en-US"/>
        </w:rPr>
        <w:t>;</w:t>
      </w:r>
      <w:r w:rsidR="00562BD4" w:rsidRPr="00C2183A">
        <w:rPr>
          <w:lang w:val="en-US"/>
        </w:rPr>
        <w:t xml:space="preserve"> </w:t>
      </w:r>
      <w:r w:rsidR="00562BD4">
        <w:rPr>
          <w:lang w:val="en-US"/>
        </w:rPr>
        <w:t>South of</w:t>
      </w:r>
      <w:r w:rsidR="00562BD4" w:rsidRPr="00C2183A">
        <w:rPr>
          <w:lang w:val="en-US"/>
        </w:rPr>
        <w:t xml:space="preserve"> Point Conception, California</w:t>
      </w:r>
      <w:r w:rsidR="00562BD4">
        <w:rPr>
          <w:lang w:val="en-US"/>
        </w:rPr>
        <w:t>; and between these two landmarks (central)</w:t>
      </w:r>
      <w:r w:rsidRPr="00C2183A">
        <w:rPr>
          <w:lang w:val="en-US"/>
        </w:rPr>
        <w:t xml:space="preserve">. </w:t>
      </w:r>
      <w:r w:rsidR="00B25A3D" w:rsidRPr="00C2183A">
        <w:rPr>
          <w:lang w:val="en-US"/>
        </w:rPr>
        <w:t xml:space="preserve">The third column represents </w:t>
      </w:r>
      <w:r w:rsidR="00B15C88" w:rsidRPr="00C2183A">
        <w:rPr>
          <w:lang w:val="en-US"/>
        </w:rPr>
        <w:t xml:space="preserve">the mean density </w:t>
      </w:r>
      <w:proofErr w:type="spellStart"/>
      <w:r w:rsidR="00B15C88" w:rsidRPr="00C2183A">
        <w:rPr>
          <w:lang w:val="en-US"/>
        </w:rPr>
        <w:t>over all</w:t>
      </w:r>
      <w:proofErr w:type="spellEnd"/>
      <w:r w:rsidR="00B15C88" w:rsidRPr="00C2183A">
        <w:rPr>
          <w:lang w:val="en-US"/>
        </w:rPr>
        <w:t xml:space="preserve"> years</w:t>
      </w:r>
      <w:r w:rsidR="00CF6BCC" w:rsidRPr="00C2183A">
        <w:rPr>
          <w:lang w:val="en-US"/>
        </w:rPr>
        <w:t xml:space="preserve"> (in units of kg km</w:t>
      </w:r>
      <w:r w:rsidR="00CF6BCC" w:rsidRPr="00C2183A">
        <w:rPr>
          <w:vertAlign w:val="superscript"/>
          <w:lang w:val="en-US"/>
        </w:rPr>
        <w:t>-2</w:t>
      </w:r>
      <w:r w:rsidR="00CF6BCC" w:rsidRPr="00C2183A">
        <w:rPr>
          <w:lang w:val="en-US"/>
        </w:rPr>
        <w:t xml:space="preserve"> on a log scale)</w:t>
      </w:r>
      <w:r w:rsidR="00B15C88" w:rsidRPr="00C2183A">
        <w:rPr>
          <w:lang w:val="en-US"/>
        </w:rPr>
        <w:t xml:space="preserve">. </w:t>
      </w:r>
      <w:r w:rsidRPr="00C2183A">
        <w:rPr>
          <w:lang w:val="en-US"/>
        </w:rPr>
        <w:t xml:space="preserve">The fourth column shows the time series of the center of gravity (COG), or </w:t>
      </w:r>
      <w:r w:rsidR="00D000A1" w:rsidRPr="00C2183A">
        <w:rPr>
          <w:lang w:val="en-US"/>
        </w:rPr>
        <w:t xml:space="preserve">latitude weighted by </w:t>
      </w:r>
      <w:r w:rsidR="00DD4113" w:rsidRPr="00C2183A">
        <w:rPr>
          <w:lang w:val="en-US"/>
        </w:rPr>
        <w:t>density</w:t>
      </w:r>
      <w:r w:rsidR="00B25A3D" w:rsidRPr="00C2183A">
        <w:rPr>
          <w:lang w:val="en-US"/>
        </w:rPr>
        <w:t>,</w:t>
      </w:r>
      <w:r w:rsidRPr="00C2183A">
        <w:rPr>
          <w:lang w:val="en-US"/>
        </w:rPr>
        <w:t xml:space="preserve"> with 95% confidence intervals. The black line </w:t>
      </w:r>
      <w:r w:rsidRPr="00C2183A">
        <w:rPr>
          <w:lang w:val="en-US"/>
        </w:rPr>
        <w:lastRenderedPageBreak/>
        <w:t xml:space="preserve">with grey interval represents the COG calculated </w:t>
      </w:r>
      <w:r w:rsidR="00DD4113" w:rsidRPr="00C2183A">
        <w:rPr>
          <w:lang w:val="en-US"/>
        </w:rPr>
        <w:t>from</w:t>
      </w:r>
      <w:r w:rsidRPr="00C2183A">
        <w:rPr>
          <w:lang w:val="en-US"/>
        </w:rPr>
        <w:t xml:space="preserve"> predicted </w:t>
      </w:r>
      <w:r w:rsidR="00DD4113" w:rsidRPr="00C2183A">
        <w:rPr>
          <w:lang w:val="en-US"/>
        </w:rPr>
        <w:t>densities coast</w:t>
      </w:r>
      <w:r w:rsidR="00CC1162" w:rsidRPr="00C2183A">
        <w:rPr>
          <w:lang w:val="en-US"/>
        </w:rPr>
        <w:t>-</w:t>
      </w:r>
      <w:r w:rsidR="00DD4113" w:rsidRPr="00C2183A">
        <w:rPr>
          <w:lang w:val="en-US"/>
        </w:rPr>
        <w:t>wide</w:t>
      </w:r>
      <w:r w:rsidRPr="00C2183A">
        <w:rPr>
          <w:lang w:val="en-US"/>
        </w:rPr>
        <w:t xml:space="preserve">, whereas the colored lines </w:t>
      </w:r>
      <w:r w:rsidR="00B25A3D" w:rsidRPr="00C2183A">
        <w:rPr>
          <w:lang w:val="en-US"/>
        </w:rPr>
        <w:t xml:space="preserve">represent </w:t>
      </w:r>
      <w:r w:rsidRPr="00C2183A">
        <w:rPr>
          <w:lang w:val="en-US"/>
        </w:rPr>
        <w:t>the COGs for each unique biogeographic region. Line color represents the proportion of a species</w:t>
      </w:r>
      <w:r w:rsidR="00D000A1" w:rsidRPr="00C2183A">
        <w:rPr>
          <w:lang w:val="en-US"/>
        </w:rPr>
        <w:t>’</w:t>
      </w:r>
      <w:r w:rsidRPr="00C2183A">
        <w:rPr>
          <w:lang w:val="en-US"/>
        </w:rPr>
        <w:t xml:space="preserve"> </w:t>
      </w:r>
      <w:r w:rsidR="00DD4113" w:rsidRPr="00C2183A">
        <w:rPr>
          <w:lang w:val="en-US"/>
        </w:rPr>
        <w:t>relative biomass</w:t>
      </w:r>
      <w:r w:rsidRPr="00C2183A">
        <w:rPr>
          <w:lang w:val="en-US"/>
        </w:rPr>
        <w:t xml:space="preserve"> in a given region.</w:t>
      </w:r>
      <w:r w:rsidR="00F62588" w:rsidRPr="00C2183A">
        <w:rPr>
          <w:lang w:val="en-US"/>
        </w:rPr>
        <w:br w:type="page"/>
      </w:r>
    </w:p>
    <w:p w14:paraId="2376B485" w14:textId="700CCB8A" w:rsidR="00E81ACF" w:rsidRPr="006D07CD" w:rsidRDefault="006D07CD" w:rsidP="00D26510">
      <w:pPr>
        <w:spacing w:after="160" w:line="480" w:lineRule="auto"/>
        <w:rPr>
          <w:b/>
          <w:lang w:val="en-US"/>
        </w:rPr>
      </w:pPr>
      <w:r w:rsidRPr="006D07CD">
        <w:rPr>
          <w:b/>
          <w:lang w:val="en-US"/>
        </w:rPr>
        <w:lastRenderedPageBreak/>
        <w:t>References</w:t>
      </w:r>
    </w:p>
    <w:p w14:paraId="7E40C54F" w14:textId="4375116E" w:rsidR="00A01347" w:rsidRPr="00F84642" w:rsidRDefault="00A01347" w:rsidP="006D07CD">
      <w:pPr>
        <w:pStyle w:val="Bibliography"/>
        <w:spacing w:after="0" w:line="480" w:lineRule="auto"/>
        <w:rPr>
          <w:rFonts w:ascii="Times New Roman" w:hAnsi="Times New Roman" w:cs="Times New Roman"/>
        </w:rPr>
      </w:pPr>
      <w:proofErr w:type="spellStart"/>
      <w:r w:rsidRPr="00F84642">
        <w:rPr>
          <w:rFonts w:ascii="Times New Roman" w:hAnsi="Times New Roman" w:cs="Times New Roman"/>
        </w:rPr>
        <w:t>Akaike</w:t>
      </w:r>
      <w:proofErr w:type="spellEnd"/>
      <w:r w:rsidRPr="00F84642">
        <w:rPr>
          <w:rFonts w:ascii="Times New Roman" w:hAnsi="Times New Roman" w:cs="Times New Roman"/>
        </w:rPr>
        <w:t xml:space="preserve">, H. 1973. Information theory and an extension of the maximum likelihood principle. - 2nd Int. </w:t>
      </w:r>
      <w:proofErr w:type="spellStart"/>
      <w:r w:rsidRPr="00F84642">
        <w:rPr>
          <w:rFonts w:ascii="Times New Roman" w:hAnsi="Times New Roman" w:cs="Times New Roman"/>
        </w:rPr>
        <w:t>Symp</w:t>
      </w:r>
      <w:proofErr w:type="spellEnd"/>
      <w:r w:rsidRPr="00F84642">
        <w:rPr>
          <w:rFonts w:ascii="Times New Roman" w:hAnsi="Times New Roman" w:cs="Times New Roman"/>
        </w:rPr>
        <w:t>. Inf. Theory</w:t>
      </w:r>
      <w:r w:rsidR="00B11D06">
        <w:rPr>
          <w:rFonts w:ascii="Times New Roman" w:hAnsi="Times New Roman" w:cs="Times New Roman"/>
        </w:rPr>
        <w:t>,</w:t>
      </w:r>
      <w:r w:rsidR="00F84642" w:rsidRPr="00F84642">
        <w:rPr>
          <w:rFonts w:ascii="Times New Roman" w:hAnsi="Times New Roman" w:cs="Times New Roman"/>
        </w:rPr>
        <w:t xml:space="preserve"> </w:t>
      </w:r>
      <w:r w:rsidR="00F84642" w:rsidRPr="00F84642">
        <w:rPr>
          <w:rFonts w:ascii="Times New Roman" w:hAnsi="Times New Roman" w:cs="Times New Roman"/>
          <w:lang w:val="en-CA"/>
        </w:rPr>
        <w:t>pp. 267–281.</w:t>
      </w:r>
    </w:p>
    <w:p w14:paraId="15DE6FEC" w14:textId="77777777" w:rsidR="00A01347" w:rsidRPr="00F84642" w:rsidRDefault="00A01347" w:rsidP="006D07CD">
      <w:pPr>
        <w:pStyle w:val="Bibliography"/>
        <w:spacing w:after="0" w:line="480" w:lineRule="auto"/>
        <w:rPr>
          <w:rFonts w:ascii="Times New Roman" w:hAnsi="Times New Roman" w:cs="Times New Roman"/>
        </w:rPr>
      </w:pPr>
      <w:r w:rsidRPr="00F84642">
        <w:rPr>
          <w:rFonts w:ascii="Times New Roman" w:hAnsi="Times New Roman" w:cs="Times New Roman"/>
        </w:rPr>
        <w:t>Anderson, S. C. and Ward, E. J. 2019. Black swans in space: modeling spatiotemporal processes with extremes. - Ecology 100: e02403.</w:t>
      </w:r>
    </w:p>
    <w:p w14:paraId="2B6432B8" w14:textId="0169B250" w:rsidR="00F84642" w:rsidRDefault="00A01347" w:rsidP="006D07CD">
      <w:pPr>
        <w:pStyle w:val="Bibliography"/>
        <w:spacing w:after="0" w:line="480" w:lineRule="auto"/>
        <w:rPr>
          <w:rFonts w:ascii="Times New Roman" w:hAnsi="Times New Roman" w:cs="Times New Roman"/>
        </w:rPr>
      </w:pPr>
      <w:r w:rsidRPr="00F84642">
        <w:rPr>
          <w:rFonts w:ascii="Times New Roman" w:hAnsi="Times New Roman" w:cs="Times New Roman"/>
        </w:rPr>
        <w:t xml:space="preserve">Anderson, S. C. et al. 2019. A reproducible data synopsis for over 100 species of British Columbia </w:t>
      </w:r>
      <w:proofErr w:type="spellStart"/>
      <w:r w:rsidRPr="00F84642">
        <w:rPr>
          <w:rFonts w:ascii="Times New Roman" w:hAnsi="Times New Roman" w:cs="Times New Roman"/>
        </w:rPr>
        <w:t>groundfish</w:t>
      </w:r>
      <w:proofErr w:type="spellEnd"/>
      <w:r w:rsidRPr="00F84642">
        <w:rPr>
          <w:rFonts w:ascii="Times New Roman" w:hAnsi="Times New Roman" w:cs="Times New Roman"/>
        </w:rPr>
        <w:t xml:space="preserve">. - DFO Can </w:t>
      </w:r>
      <w:proofErr w:type="spellStart"/>
      <w:r w:rsidRPr="00F84642">
        <w:rPr>
          <w:rFonts w:ascii="Times New Roman" w:hAnsi="Times New Roman" w:cs="Times New Roman"/>
        </w:rPr>
        <w:t>Sci</w:t>
      </w:r>
      <w:proofErr w:type="spellEnd"/>
      <w:r w:rsidRPr="00F84642">
        <w:rPr>
          <w:rFonts w:ascii="Times New Roman" w:hAnsi="Times New Roman" w:cs="Times New Roman"/>
        </w:rPr>
        <w:t xml:space="preserve"> </w:t>
      </w:r>
      <w:proofErr w:type="spellStart"/>
      <w:r w:rsidRPr="00F84642">
        <w:rPr>
          <w:rFonts w:ascii="Times New Roman" w:hAnsi="Times New Roman" w:cs="Times New Roman"/>
        </w:rPr>
        <w:t>Advis</w:t>
      </w:r>
      <w:proofErr w:type="spellEnd"/>
      <w:r w:rsidRPr="00F84642">
        <w:rPr>
          <w:rFonts w:ascii="Times New Roman" w:hAnsi="Times New Roman" w:cs="Times New Roman"/>
        </w:rPr>
        <w:t xml:space="preserve"> Sec Res Doc </w:t>
      </w:r>
      <w:r w:rsidR="00F84642" w:rsidRPr="00F84642">
        <w:rPr>
          <w:rFonts w:ascii="Times New Roman" w:hAnsi="Times New Roman" w:cs="Times New Roman"/>
        </w:rPr>
        <w:t xml:space="preserve">2019/041 </w:t>
      </w:r>
      <w:hyperlink r:id="rId10" w:history="1">
        <w:r w:rsidR="00F84642" w:rsidRPr="001C7566">
          <w:rPr>
            <w:rStyle w:val="Hyperlink"/>
            <w:rFonts w:ascii="Times New Roman" w:hAnsi="Times New Roman" w:cs="Times New Roman"/>
          </w:rPr>
          <w:t>http://www.dfo-mpo.gc.ca/csas-sccs/Publications/ResDocs-DocRech/2019/2019_041-eng.html</w:t>
        </w:r>
      </w:hyperlink>
    </w:p>
    <w:p w14:paraId="53F6AE49" w14:textId="7EFFA790" w:rsidR="00A01347" w:rsidRPr="00F84642" w:rsidRDefault="00A01347" w:rsidP="006D07CD">
      <w:pPr>
        <w:pStyle w:val="Bibliography"/>
        <w:spacing w:after="0" w:line="480" w:lineRule="auto"/>
        <w:rPr>
          <w:rFonts w:ascii="Times New Roman" w:hAnsi="Times New Roman" w:cs="Times New Roman"/>
        </w:rPr>
      </w:pPr>
      <w:r w:rsidRPr="00F84642">
        <w:rPr>
          <w:rFonts w:ascii="Times New Roman" w:hAnsi="Times New Roman" w:cs="Times New Roman"/>
        </w:rPr>
        <w:t xml:space="preserve">Anderson, S. C. et al. 2020. </w:t>
      </w:r>
      <w:proofErr w:type="spellStart"/>
      <w:proofErr w:type="gramStart"/>
      <w:r w:rsidRPr="00F84642">
        <w:rPr>
          <w:rFonts w:ascii="Times New Roman" w:hAnsi="Times New Roman" w:cs="Times New Roman"/>
        </w:rPr>
        <w:t>sdmTMB</w:t>
      </w:r>
      <w:proofErr w:type="spellEnd"/>
      <w:proofErr w:type="gramEnd"/>
      <w:r w:rsidRPr="00F84642">
        <w:rPr>
          <w:rFonts w:ascii="Times New Roman" w:hAnsi="Times New Roman" w:cs="Times New Roman"/>
        </w:rPr>
        <w:t>: Spatiotemporal Species Distribution GLMMs with `TMB’.</w:t>
      </w:r>
      <w:r w:rsidR="00F84642" w:rsidRPr="00F84642">
        <w:rPr>
          <w:rFonts w:ascii="Times New Roman" w:hAnsi="Times New Roman" w:cs="Times New Roman"/>
        </w:rPr>
        <w:t xml:space="preserve"> </w:t>
      </w:r>
      <w:r w:rsidR="00F84642" w:rsidRPr="00571F83">
        <w:rPr>
          <w:rFonts w:ascii="Times New Roman" w:hAnsi="Times New Roman" w:cs="Times New Roman"/>
        </w:rPr>
        <w:t>https://github.com/seananderson/sdmTMB</w:t>
      </w:r>
    </w:p>
    <w:p w14:paraId="39891497" w14:textId="77777777" w:rsidR="00A01347" w:rsidRPr="00F84642" w:rsidRDefault="00A01347" w:rsidP="006D07CD">
      <w:pPr>
        <w:pStyle w:val="Bibliography"/>
        <w:spacing w:after="0" w:line="480" w:lineRule="auto"/>
        <w:rPr>
          <w:rFonts w:ascii="Times New Roman" w:hAnsi="Times New Roman" w:cs="Times New Roman"/>
        </w:rPr>
      </w:pPr>
      <w:r w:rsidRPr="00F84642">
        <w:rPr>
          <w:rFonts w:ascii="Times New Roman" w:hAnsi="Times New Roman" w:cs="Times New Roman"/>
        </w:rPr>
        <w:t>Auger-</w:t>
      </w:r>
      <w:proofErr w:type="spellStart"/>
      <w:r w:rsidRPr="00F84642">
        <w:rPr>
          <w:rFonts w:ascii="Times New Roman" w:hAnsi="Times New Roman" w:cs="Times New Roman"/>
        </w:rPr>
        <w:t>Méthé</w:t>
      </w:r>
      <w:proofErr w:type="spellEnd"/>
      <w:r w:rsidRPr="00F84642">
        <w:rPr>
          <w:rFonts w:ascii="Times New Roman" w:hAnsi="Times New Roman" w:cs="Times New Roman"/>
        </w:rPr>
        <w:t>, M. et al. 2016. State-space models’ dirty little secrets: even simple linear Gaussian models can have estimation problems. - Sci. Rep. 6: 26677.</w:t>
      </w:r>
    </w:p>
    <w:p w14:paraId="5AE7B82D" w14:textId="77777777" w:rsidR="00A01347" w:rsidRPr="00F84642" w:rsidRDefault="00A01347" w:rsidP="006D07CD">
      <w:pPr>
        <w:pStyle w:val="Bibliography"/>
        <w:spacing w:after="0" w:line="480" w:lineRule="auto"/>
        <w:rPr>
          <w:rFonts w:ascii="Times New Roman" w:hAnsi="Times New Roman" w:cs="Times New Roman"/>
        </w:rPr>
      </w:pPr>
      <w:proofErr w:type="spellStart"/>
      <w:r w:rsidRPr="00F84642">
        <w:rPr>
          <w:rFonts w:ascii="Times New Roman" w:hAnsi="Times New Roman" w:cs="Times New Roman"/>
        </w:rPr>
        <w:t>Bakun</w:t>
      </w:r>
      <w:proofErr w:type="spellEnd"/>
      <w:r w:rsidRPr="00F84642">
        <w:rPr>
          <w:rFonts w:ascii="Times New Roman" w:hAnsi="Times New Roman" w:cs="Times New Roman"/>
        </w:rPr>
        <w:t>, A. et al. 2010. Greenhouse gas, upwelling-favorable winds, and the future of coastal ocean upwelling ecosystems. - Glob. Change Biol. 16: 1213–1228.</w:t>
      </w:r>
    </w:p>
    <w:p w14:paraId="06916F97" w14:textId="77777777" w:rsidR="00A01347" w:rsidRPr="00F84642" w:rsidRDefault="00A01347" w:rsidP="006D07CD">
      <w:pPr>
        <w:pStyle w:val="Bibliography"/>
        <w:spacing w:after="0" w:line="480" w:lineRule="auto"/>
        <w:rPr>
          <w:rFonts w:ascii="Times New Roman" w:hAnsi="Times New Roman" w:cs="Times New Roman"/>
        </w:rPr>
      </w:pPr>
      <w:r w:rsidRPr="00F84642">
        <w:rPr>
          <w:rFonts w:ascii="Times New Roman" w:hAnsi="Times New Roman" w:cs="Times New Roman"/>
        </w:rPr>
        <w:t xml:space="preserve">Banerjee, S. et al. 2008. Gaussian predictive process models for large spatial data sets. - J. R. Stat. Soc. Ser. B Stat. </w:t>
      </w:r>
      <w:proofErr w:type="spellStart"/>
      <w:r w:rsidRPr="00F84642">
        <w:rPr>
          <w:rFonts w:ascii="Times New Roman" w:hAnsi="Times New Roman" w:cs="Times New Roman"/>
        </w:rPr>
        <w:t>Methodol</w:t>
      </w:r>
      <w:proofErr w:type="spellEnd"/>
      <w:r w:rsidRPr="00F84642">
        <w:rPr>
          <w:rFonts w:ascii="Times New Roman" w:hAnsi="Times New Roman" w:cs="Times New Roman"/>
        </w:rPr>
        <w:t>. 70: 825–848.</w:t>
      </w:r>
    </w:p>
    <w:p w14:paraId="1472B426" w14:textId="77777777" w:rsidR="00A01347" w:rsidRPr="00F84642" w:rsidRDefault="00A01347" w:rsidP="006D07CD">
      <w:pPr>
        <w:pStyle w:val="Bibliography"/>
        <w:spacing w:after="0" w:line="480" w:lineRule="auto"/>
        <w:rPr>
          <w:rFonts w:ascii="Times New Roman" w:hAnsi="Times New Roman" w:cs="Times New Roman"/>
        </w:rPr>
      </w:pPr>
      <w:r w:rsidRPr="00F84642">
        <w:rPr>
          <w:rFonts w:ascii="Times New Roman" w:hAnsi="Times New Roman" w:cs="Times New Roman"/>
        </w:rPr>
        <w:t>Barnett, L. A. K. et al. 2019. Dynamic spatial heterogeneity reveals interdependence of marine faunal density and fishery removals. - Ecol. Indic. 107: 105585.</w:t>
      </w:r>
    </w:p>
    <w:p w14:paraId="0F75C370" w14:textId="77777777" w:rsidR="00A01347" w:rsidRPr="00F84642" w:rsidRDefault="00A01347" w:rsidP="006D07CD">
      <w:pPr>
        <w:pStyle w:val="Bibliography"/>
        <w:spacing w:after="0" w:line="480" w:lineRule="auto"/>
        <w:rPr>
          <w:rFonts w:ascii="Times New Roman" w:hAnsi="Times New Roman" w:cs="Times New Roman"/>
        </w:rPr>
      </w:pPr>
      <w:r w:rsidRPr="00F84642">
        <w:rPr>
          <w:rFonts w:ascii="Times New Roman" w:hAnsi="Times New Roman" w:cs="Times New Roman"/>
        </w:rPr>
        <w:t xml:space="preserve">Berger, A. M. et al. 2017. Space oddity: The mission for spatial integration. - Can. J. Fish. </w:t>
      </w:r>
      <w:proofErr w:type="spellStart"/>
      <w:r w:rsidRPr="00F84642">
        <w:rPr>
          <w:rFonts w:ascii="Times New Roman" w:hAnsi="Times New Roman" w:cs="Times New Roman"/>
        </w:rPr>
        <w:t>Aquat</w:t>
      </w:r>
      <w:proofErr w:type="spellEnd"/>
      <w:r w:rsidRPr="00F84642">
        <w:rPr>
          <w:rFonts w:ascii="Times New Roman" w:hAnsi="Times New Roman" w:cs="Times New Roman"/>
        </w:rPr>
        <w:t>. Sci. 74: 1698–1716.</w:t>
      </w:r>
    </w:p>
    <w:p w14:paraId="33D76AEB" w14:textId="6DDC0E35" w:rsidR="00A01347" w:rsidRPr="00F84642" w:rsidRDefault="00A01347" w:rsidP="006D07CD">
      <w:pPr>
        <w:pStyle w:val="Bibliography"/>
        <w:spacing w:after="0" w:line="480" w:lineRule="auto"/>
        <w:rPr>
          <w:rFonts w:ascii="Times New Roman" w:hAnsi="Times New Roman" w:cs="Times New Roman"/>
        </w:rPr>
      </w:pPr>
      <w:r w:rsidRPr="00F84642">
        <w:rPr>
          <w:rFonts w:ascii="Times New Roman" w:hAnsi="Times New Roman" w:cs="Times New Roman"/>
        </w:rPr>
        <w:t xml:space="preserve">Chen, J. et al. 2004. </w:t>
      </w:r>
      <w:r w:rsidR="0026495A" w:rsidRPr="0026495A">
        <w:rPr>
          <w:rFonts w:ascii="Times New Roman" w:hAnsi="Times New Roman" w:cs="Times New Roman"/>
          <w:lang w:val="en-CA"/>
        </w:rPr>
        <w:t>Estimation of fish abundance indices based on scientific research trawl surveys</w:t>
      </w:r>
      <w:r w:rsidRPr="00F84642">
        <w:rPr>
          <w:rFonts w:ascii="Times New Roman" w:hAnsi="Times New Roman" w:cs="Times New Roman"/>
        </w:rPr>
        <w:t>. - Biometrics 60: 116–123.</w:t>
      </w:r>
    </w:p>
    <w:p w14:paraId="6A2D7AEE" w14:textId="77777777" w:rsidR="00A01347" w:rsidRPr="00F84642" w:rsidRDefault="00A01347" w:rsidP="006D07CD">
      <w:pPr>
        <w:pStyle w:val="Bibliography"/>
        <w:spacing w:after="0" w:line="480" w:lineRule="auto"/>
        <w:rPr>
          <w:rFonts w:ascii="Times New Roman" w:hAnsi="Times New Roman" w:cs="Times New Roman"/>
        </w:rPr>
      </w:pPr>
      <w:r w:rsidRPr="00F84642">
        <w:rPr>
          <w:rFonts w:ascii="Times New Roman" w:hAnsi="Times New Roman" w:cs="Times New Roman"/>
        </w:rPr>
        <w:lastRenderedPageBreak/>
        <w:t>Connor, T. et al. 2019. Interactive spatial scale effects on species distribution modeling: The case of the giant panda. - Sci. Rep. 9: 14563.</w:t>
      </w:r>
    </w:p>
    <w:p w14:paraId="6DD1FA30" w14:textId="77777777" w:rsidR="00A01347" w:rsidRPr="00F84642" w:rsidRDefault="00A01347" w:rsidP="006D07CD">
      <w:pPr>
        <w:pStyle w:val="Bibliography"/>
        <w:spacing w:after="0" w:line="480" w:lineRule="auto"/>
        <w:rPr>
          <w:rFonts w:ascii="Times New Roman" w:hAnsi="Times New Roman" w:cs="Times New Roman"/>
        </w:rPr>
      </w:pPr>
      <w:proofErr w:type="spellStart"/>
      <w:r w:rsidRPr="00F84642">
        <w:rPr>
          <w:rFonts w:ascii="Times New Roman" w:hAnsi="Times New Roman" w:cs="Times New Roman"/>
        </w:rPr>
        <w:t>Cressie</w:t>
      </w:r>
      <w:proofErr w:type="spellEnd"/>
      <w:r w:rsidRPr="00F84642">
        <w:rPr>
          <w:rFonts w:ascii="Times New Roman" w:hAnsi="Times New Roman" w:cs="Times New Roman"/>
        </w:rPr>
        <w:t xml:space="preserve">, N. and </w:t>
      </w:r>
      <w:proofErr w:type="spellStart"/>
      <w:r w:rsidRPr="00F84642">
        <w:rPr>
          <w:rFonts w:ascii="Times New Roman" w:hAnsi="Times New Roman" w:cs="Times New Roman"/>
        </w:rPr>
        <w:t>Wikle</w:t>
      </w:r>
      <w:proofErr w:type="spellEnd"/>
      <w:r w:rsidRPr="00F84642">
        <w:rPr>
          <w:rFonts w:ascii="Times New Roman" w:hAnsi="Times New Roman" w:cs="Times New Roman"/>
        </w:rPr>
        <w:t xml:space="preserve">, C. K. 2011. Statistics for </w:t>
      </w:r>
      <w:proofErr w:type="spellStart"/>
      <w:r w:rsidRPr="00F84642">
        <w:rPr>
          <w:rFonts w:ascii="Times New Roman" w:hAnsi="Times New Roman" w:cs="Times New Roman"/>
        </w:rPr>
        <w:t>spatio</w:t>
      </w:r>
      <w:proofErr w:type="spellEnd"/>
      <w:r w:rsidRPr="00F84642">
        <w:rPr>
          <w:rFonts w:ascii="Times New Roman" w:hAnsi="Times New Roman" w:cs="Times New Roman"/>
        </w:rPr>
        <w:t>-temporal data. - John Wiley &amp; Sons.</w:t>
      </w:r>
    </w:p>
    <w:p w14:paraId="2B77FBB3" w14:textId="77777777" w:rsidR="00A01347" w:rsidRPr="00F84642" w:rsidRDefault="00A01347" w:rsidP="006D07CD">
      <w:pPr>
        <w:pStyle w:val="Bibliography"/>
        <w:spacing w:after="0" w:line="480" w:lineRule="auto"/>
        <w:rPr>
          <w:rFonts w:ascii="Times New Roman" w:hAnsi="Times New Roman" w:cs="Times New Roman"/>
        </w:rPr>
      </w:pPr>
      <w:r w:rsidRPr="00F84642">
        <w:rPr>
          <w:rFonts w:ascii="Times New Roman" w:hAnsi="Times New Roman" w:cs="Times New Roman"/>
        </w:rPr>
        <w:t xml:space="preserve">Dunn, P. K. and Smyth, G. K. 2005. Series evaluation of Tweedie exponential dispersion model densities. - Stat. </w:t>
      </w:r>
      <w:proofErr w:type="spellStart"/>
      <w:r w:rsidRPr="00F84642">
        <w:rPr>
          <w:rFonts w:ascii="Times New Roman" w:hAnsi="Times New Roman" w:cs="Times New Roman"/>
        </w:rPr>
        <w:t>Comput</w:t>
      </w:r>
      <w:proofErr w:type="spellEnd"/>
      <w:r w:rsidRPr="00F84642">
        <w:rPr>
          <w:rFonts w:ascii="Times New Roman" w:hAnsi="Times New Roman" w:cs="Times New Roman"/>
        </w:rPr>
        <w:t>. 15: 267–280.</w:t>
      </w:r>
    </w:p>
    <w:p w14:paraId="34FFCA09" w14:textId="77777777" w:rsidR="00A01347" w:rsidRPr="00F84642" w:rsidRDefault="00A01347" w:rsidP="006D07CD">
      <w:pPr>
        <w:pStyle w:val="Bibliography"/>
        <w:spacing w:after="0" w:line="480" w:lineRule="auto"/>
        <w:rPr>
          <w:rFonts w:ascii="Times New Roman" w:hAnsi="Times New Roman" w:cs="Times New Roman"/>
        </w:rPr>
      </w:pPr>
      <w:proofErr w:type="spellStart"/>
      <w:r w:rsidRPr="00F84642">
        <w:rPr>
          <w:rFonts w:ascii="Times New Roman" w:hAnsi="Times New Roman" w:cs="Times New Roman"/>
        </w:rPr>
        <w:t>Efford</w:t>
      </w:r>
      <w:proofErr w:type="spellEnd"/>
      <w:r w:rsidRPr="00F84642">
        <w:rPr>
          <w:rFonts w:ascii="Times New Roman" w:hAnsi="Times New Roman" w:cs="Times New Roman"/>
        </w:rPr>
        <w:t xml:space="preserve">, M. 2004. Density estimation in live-trapping studies. - </w:t>
      </w:r>
      <w:proofErr w:type="spellStart"/>
      <w:r w:rsidRPr="00F84642">
        <w:rPr>
          <w:rFonts w:ascii="Times New Roman" w:hAnsi="Times New Roman" w:cs="Times New Roman"/>
        </w:rPr>
        <w:t>Oikos</w:t>
      </w:r>
      <w:proofErr w:type="spellEnd"/>
      <w:r w:rsidRPr="00F84642">
        <w:rPr>
          <w:rFonts w:ascii="Times New Roman" w:hAnsi="Times New Roman" w:cs="Times New Roman"/>
        </w:rPr>
        <w:t xml:space="preserve"> 106: 598–610.</w:t>
      </w:r>
    </w:p>
    <w:p w14:paraId="53F68419" w14:textId="77777777" w:rsidR="00A01347" w:rsidRPr="00F84642" w:rsidRDefault="00A01347" w:rsidP="006D07CD">
      <w:pPr>
        <w:pStyle w:val="Bibliography"/>
        <w:spacing w:after="0" w:line="480" w:lineRule="auto"/>
        <w:rPr>
          <w:rFonts w:ascii="Times New Roman" w:hAnsi="Times New Roman" w:cs="Times New Roman"/>
        </w:rPr>
      </w:pPr>
      <w:proofErr w:type="spellStart"/>
      <w:r w:rsidRPr="00F84642">
        <w:rPr>
          <w:rFonts w:ascii="Times New Roman" w:hAnsi="Times New Roman" w:cs="Times New Roman"/>
        </w:rPr>
        <w:t>Efford</w:t>
      </w:r>
      <w:proofErr w:type="spellEnd"/>
      <w:r w:rsidRPr="00F84642">
        <w:rPr>
          <w:rFonts w:ascii="Times New Roman" w:hAnsi="Times New Roman" w:cs="Times New Roman"/>
        </w:rPr>
        <w:t>, M. G. 2011. Estimation of population density by spatially explicit capture–recapture analysis of data from area searches. - Ecology 92: 2202–2207.</w:t>
      </w:r>
    </w:p>
    <w:p w14:paraId="3336A234" w14:textId="77777777" w:rsidR="00A01347" w:rsidRPr="00F84642" w:rsidRDefault="00A01347" w:rsidP="006D07CD">
      <w:pPr>
        <w:pStyle w:val="Bibliography"/>
        <w:spacing w:after="0" w:line="480" w:lineRule="auto"/>
        <w:rPr>
          <w:rFonts w:ascii="Times New Roman" w:hAnsi="Times New Roman" w:cs="Times New Roman"/>
        </w:rPr>
      </w:pPr>
      <w:proofErr w:type="spellStart"/>
      <w:r w:rsidRPr="00F84642">
        <w:rPr>
          <w:rFonts w:ascii="Times New Roman" w:hAnsi="Times New Roman" w:cs="Times New Roman"/>
        </w:rPr>
        <w:t>Elith</w:t>
      </w:r>
      <w:proofErr w:type="spellEnd"/>
      <w:r w:rsidRPr="00F84642">
        <w:rPr>
          <w:rFonts w:ascii="Times New Roman" w:hAnsi="Times New Roman" w:cs="Times New Roman"/>
        </w:rPr>
        <w:t xml:space="preserve">, J. and </w:t>
      </w:r>
      <w:proofErr w:type="spellStart"/>
      <w:r w:rsidRPr="00F84642">
        <w:rPr>
          <w:rFonts w:ascii="Times New Roman" w:hAnsi="Times New Roman" w:cs="Times New Roman"/>
        </w:rPr>
        <w:t>Leathwick</w:t>
      </w:r>
      <w:proofErr w:type="spellEnd"/>
      <w:r w:rsidRPr="00F84642">
        <w:rPr>
          <w:rFonts w:ascii="Times New Roman" w:hAnsi="Times New Roman" w:cs="Times New Roman"/>
        </w:rPr>
        <w:t xml:space="preserve">, J. R. 2009. Species distribution models: Ecological explanation and prediction across space and time. - </w:t>
      </w:r>
      <w:proofErr w:type="spellStart"/>
      <w:r w:rsidRPr="00F84642">
        <w:rPr>
          <w:rFonts w:ascii="Times New Roman" w:hAnsi="Times New Roman" w:cs="Times New Roman"/>
        </w:rPr>
        <w:t>Annu</w:t>
      </w:r>
      <w:proofErr w:type="spellEnd"/>
      <w:r w:rsidRPr="00F84642">
        <w:rPr>
          <w:rFonts w:ascii="Times New Roman" w:hAnsi="Times New Roman" w:cs="Times New Roman"/>
        </w:rPr>
        <w:t xml:space="preserve">. Rev. Ecol. </w:t>
      </w:r>
      <w:proofErr w:type="spellStart"/>
      <w:r w:rsidRPr="00F84642">
        <w:rPr>
          <w:rFonts w:ascii="Times New Roman" w:hAnsi="Times New Roman" w:cs="Times New Roman"/>
        </w:rPr>
        <w:t>Evol</w:t>
      </w:r>
      <w:proofErr w:type="spellEnd"/>
      <w:r w:rsidRPr="00F84642">
        <w:rPr>
          <w:rFonts w:ascii="Times New Roman" w:hAnsi="Times New Roman" w:cs="Times New Roman"/>
        </w:rPr>
        <w:t>. Syst. 40: 677–697.</w:t>
      </w:r>
    </w:p>
    <w:p w14:paraId="51F966AD" w14:textId="77777777" w:rsidR="00A01347" w:rsidRPr="00F84642" w:rsidRDefault="00A01347" w:rsidP="006D07CD">
      <w:pPr>
        <w:pStyle w:val="Bibliography"/>
        <w:spacing w:after="0" w:line="480" w:lineRule="auto"/>
        <w:rPr>
          <w:rFonts w:ascii="Times New Roman" w:hAnsi="Times New Roman" w:cs="Times New Roman"/>
        </w:rPr>
      </w:pPr>
      <w:proofErr w:type="spellStart"/>
      <w:r w:rsidRPr="00F84642">
        <w:rPr>
          <w:rFonts w:ascii="Times New Roman" w:hAnsi="Times New Roman" w:cs="Times New Roman"/>
        </w:rPr>
        <w:t>Elith</w:t>
      </w:r>
      <w:proofErr w:type="spellEnd"/>
      <w:r w:rsidRPr="00F84642">
        <w:rPr>
          <w:rFonts w:ascii="Times New Roman" w:hAnsi="Times New Roman" w:cs="Times New Roman"/>
        </w:rPr>
        <w:t xml:space="preserve">, J. et al. 2010. The art of modelling range-shifting species. - Methods Ecol. </w:t>
      </w:r>
      <w:proofErr w:type="spellStart"/>
      <w:r w:rsidRPr="00F84642">
        <w:rPr>
          <w:rFonts w:ascii="Times New Roman" w:hAnsi="Times New Roman" w:cs="Times New Roman"/>
        </w:rPr>
        <w:t>Evol</w:t>
      </w:r>
      <w:proofErr w:type="spellEnd"/>
      <w:r w:rsidRPr="00F84642">
        <w:rPr>
          <w:rFonts w:ascii="Times New Roman" w:hAnsi="Times New Roman" w:cs="Times New Roman"/>
        </w:rPr>
        <w:t>. 1: 330–342.</w:t>
      </w:r>
    </w:p>
    <w:p w14:paraId="67E4E71E" w14:textId="1ECC1139" w:rsidR="00A01347" w:rsidRPr="00F84642" w:rsidRDefault="00A01347" w:rsidP="006D07CD">
      <w:pPr>
        <w:pStyle w:val="Bibliography"/>
        <w:spacing w:after="0" w:line="480" w:lineRule="auto"/>
        <w:rPr>
          <w:rFonts w:ascii="Times New Roman" w:hAnsi="Times New Roman" w:cs="Times New Roman"/>
        </w:rPr>
      </w:pPr>
      <w:r w:rsidRPr="00F84642">
        <w:rPr>
          <w:rFonts w:ascii="Times New Roman" w:hAnsi="Times New Roman" w:cs="Times New Roman"/>
        </w:rPr>
        <w:t xml:space="preserve">Finley, A. O. et al. 2009. Improving the </w:t>
      </w:r>
      <w:r w:rsidR="0026495A">
        <w:rPr>
          <w:rFonts w:ascii="Times New Roman" w:hAnsi="Times New Roman" w:cs="Times New Roman"/>
        </w:rPr>
        <w:t>p</w:t>
      </w:r>
      <w:r w:rsidRPr="00F84642">
        <w:rPr>
          <w:rFonts w:ascii="Times New Roman" w:hAnsi="Times New Roman" w:cs="Times New Roman"/>
        </w:rPr>
        <w:t xml:space="preserve">erformance of </w:t>
      </w:r>
      <w:r w:rsidR="0026495A">
        <w:rPr>
          <w:rFonts w:ascii="Times New Roman" w:hAnsi="Times New Roman" w:cs="Times New Roman"/>
        </w:rPr>
        <w:t>p</w:t>
      </w:r>
      <w:r w:rsidRPr="00F84642">
        <w:rPr>
          <w:rFonts w:ascii="Times New Roman" w:hAnsi="Times New Roman" w:cs="Times New Roman"/>
        </w:rPr>
        <w:t xml:space="preserve">redictive </w:t>
      </w:r>
      <w:r w:rsidR="0026495A">
        <w:rPr>
          <w:rFonts w:ascii="Times New Roman" w:hAnsi="Times New Roman" w:cs="Times New Roman"/>
        </w:rPr>
        <w:t>p</w:t>
      </w:r>
      <w:r w:rsidRPr="00F84642">
        <w:rPr>
          <w:rFonts w:ascii="Times New Roman" w:hAnsi="Times New Roman" w:cs="Times New Roman"/>
        </w:rPr>
        <w:t xml:space="preserve">rocess </w:t>
      </w:r>
      <w:r w:rsidR="0026495A">
        <w:rPr>
          <w:rFonts w:ascii="Times New Roman" w:hAnsi="Times New Roman" w:cs="Times New Roman"/>
        </w:rPr>
        <w:t>m</w:t>
      </w:r>
      <w:r w:rsidRPr="00F84642">
        <w:rPr>
          <w:rFonts w:ascii="Times New Roman" w:hAnsi="Times New Roman" w:cs="Times New Roman"/>
        </w:rPr>
        <w:t xml:space="preserve">odeling for </w:t>
      </w:r>
      <w:r w:rsidR="0026495A">
        <w:rPr>
          <w:rFonts w:ascii="Times New Roman" w:hAnsi="Times New Roman" w:cs="Times New Roman"/>
        </w:rPr>
        <w:t>l</w:t>
      </w:r>
      <w:r w:rsidRPr="00F84642">
        <w:rPr>
          <w:rFonts w:ascii="Times New Roman" w:hAnsi="Times New Roman" w:cs="Times New Roman"/>
        </w:rPr>
        <w:t xml:space="preserve">arge </w:t>
      </w:r>
      <w:r w:rsidR="0026495A">
        <w:rPr>
          <w:rFonts w:ascii="Times New Roman" w:hAnsi="Times New Roman" w:cs="Times New Roman"/>
        </w:rPr>
        <w:t>d</w:t>
      </w:r>
      <w:r w:rsidRPr="00F84642">
        <w:rPr>
          <w:rFonts w:ascii="Times New Roman" w:hAnsi="Times New Roman" w:cs="Times New Roman"/>
        </w:rPr>
        <w:t xml:space="preserve">atasets. - </w:t>
      </w:r>
      <w:proofErr w:type="spellStart"/>
      <w:r w:rsidRPr="00F84642">
        <w:rPr>
          <w:rFonts w:ascii="Times New Roman" w:hAnsi="Times New Roman" w:cs="Times New Roman"/>
        </w:rPr>
        <w:t>Comput</w:t>
      </w:r>
      <w:proofErr w:type="spellEnd"/>
      <w:r w:rsidRPr="00F84642">
        <w:rPr>
          <w:rFonts w:ascii="Times New Roman" w:hAnsi="Times New Roman" w:cs="Times New Roman"/>
        </w:rPr>
        <w:t xml:space="preserve"> Stat Data Anal 53: 2873–2884.</w:t>
      </w:r>
    </w:p>
    <w:p w14:paraId="538355CB" w14:textId="1565845E" w:rsidR="00A01347" w:rsidRPr="00F84642" w:rsidRDefault="00A01347" w:rsidP="006D07CD">
      <w:pPr>
        <w:pStyle w:val="Bibliography"/>
        <w:spacing w:after="0" w:line="480" w:lineRule="auto"/>
        <w:rPr>
          <w:rFonts w:ascii="Times New Roman" w:hAnsi="Times New Roman" w:cs="Times New Roman"/>
        </w:rPr>
      </w:pPr>
      <w:r w:rsidRPr="00F84642">
        <w:rPr>
          <w:rFonts w:ascii="Times New Roman" w:hAnsi="Times New Roman" w:cs="Times New Roman"/>
        </w:rPr>
        <w:t>Harvey, C. et al. 2018. Ecosystem Status Report of the California Current for 2018: A Summary of Ecosystem Indicators Compiled by the California Current Integrated Ecosystem Assessment Team CCIEA.</w:t>
      </w:r>
      <w:r w:rsidR="00B11D06" w:rsidRPr="00B11D06">
        <w:t xml:space="preserve"> </w:t>
      </w:r>
      <w:r w:rsidR="00B11D06" w:rsidRPr="00B11D06">
        <w:rPr>
          <w:rFonts w:ascii="Times New Roman" w:hAnsi="Times New Roman" w:cs="Times New Roman"/>
        </w:rPr>
        <w:t>NOAA Tech</w:t>
      </w:r>
      <w:r w:rsidR="00B11D06">
        <w:rPr>
          <w:rFonts w:ascii="Times New Roman" w:hAnsi="Times New Roman" w:cs="Times New Roman"/>
        </w:rPr>
        <w:t>.</w:t>
      </w:r>
      <w:r w:rsidR="00B11D06" w:rsidRPr="00B11D06">
        <w:rPr>
          <w:rFonts w:ascii="Times New Roman" w:hAnsi="Times New Roman" w:cs="Times New Roman"/>
        </w:rPr>
        <w:t xml:space="preserve"> Memo</w:t>
      </w:r>
      <w:r w:rsidR="00B11D06">
        <w:rPr>
          <w:rFonts w:ascii="Times New Roman" w:hAnsi="Times New Roman" w:cs="Times New Roman"/>
        </w:rPr>
        <w:t xml:space="preserve">. </w:t>
      </w:r>
      <w:r w:rsidR="00B11D06" w:rsidRPr="00B11D06">
        <w:rPr>
          <w:rFonts w:ascii="Times New Roman" w:hAnsi="Times New Roman" w:cs="Times New Roman"/>
        </w:rPr>
        <w:t>NMFS-NWFSC-149</w:t>
      </w:r>
      <w:r w:rsidR="00B11D06">
        <w:rPr>
          <w:rFonts w:ascii="Times New Roman" w:hAnsi="Times New Roman" w:cs="Times New Roman"/>
        </w:rPr>
        <w:t>.</w:t>
      </w:r>
    </w:p>
    <w:p w14:paraId="707F3C29" w14:textId="77777777" w:rsidR="00A01347" w:rsidRPr="00F84642" w:rsidRDefault="00A01347" w:rsidP="006D07CD">
      <w:pPr>
        <w:pStyle w:val="Bibliography"/>
        <w:spacing w:after="0" w:line="480" w:lineRule="auto"/>
        <w:rPr>
          <w:rFonts w:ascii="Times New Roman" w:hAnsi="Times New Roman" w:cs="Times New Roman"/>
        </w:rPr>
      </w:pPr>
      <w:proofErr w:type="spellStart"/>
      <w:r w:rsidRPr="00F84642">
        <w:rPr>
          <w:rFonts w:ascii="Times New Roman" w:hAnsi="Times New Roman" w:cs="Times New Roman"/>
        </w:rPr>
        <w:t>Hassell</w:t>
      </w:r>
      <w:proofErr w:type="spellEnd"/>
      <w:r w:rsidRPr="00F84642">
        <w:rPr>
          <w:rFonts w:ascii="Times New Roman" w:hAnsi="Times New Roman" w:cs="Times New Roman"/>
        </w:rPr>
        <w:t>, M. 2000. The spatial and temporal dynamics of host-parasitoid interactions. - Oxford University Press.</w:t>
      </w:r>
    </w:p>
    <w:p w14:paraId="5C33F4EB" w14:textId="5E58C5AD" w:rsidR="00A01347" w:rsidRPr="00F84642" w:rsidRDefault="00A01347" w:rsidP="006D07CD">
      <w:pPr>
        <w:pStyle w:val="Bibliography"/>
        <w:spacing w:after="0" w:line="480" w:lineRule="auto"/>
        <w:rPr>
          <w:rFonts w:ascii="Times New Roman" w:hAnsi="Times New Roman" w:cs="Times New Roman"/>
        </w:rPr>
      </w:pPr>
      <w:proofErr w:type="spellStart"/>
      <w:r w:rsidRPr="00F84642">
        <w:rPr>
          <w:rFonts w:ascii="Times New Roman" w:hAnsi="Times New Roman" w:cs="Times New Roman"/>
        </w:rPr>
        <w:t>Hennig</w:t>
      </w:r>
      <w:proofErr w:type="spellEnd"/>
      <w:r w:rsidRPr="00F84642">
        <w:rPr>
          <w:rFonts w:ascii="Times New Roman" w:hAnsi="Times New Roman" w:cs="Times New Roman"/>
        </w:rPr>
        <w:t xml:space="preserve">, C. 2019. </w:t>
      </w:r>
      <w:proofErr w:type="spellStart"/>
      <w:proofErr w:type="gramStart"/>
      <w:r w:rsidRPr="00F84642">
        <w:rPr>
          <w:rFonts w:ascii="Times New Roman" w:hAnsi="Times New Roman" w:cs="Times New Roman"/>
        </w:rPr>
        <w:t>fpc</w:t>
      </w:r>
      <w:proofErr w:type="spellEnd"/>
      <w:proofErr w:type="gramEnd"/>
      <w:r w:rsidRPr="00F84642">
        <w:rPr>
          <w:rFonts w:ascii="Times New Roman" w:hAnsi="Times New Roman" w:cs="Times New Roman"/>
        </w:rPr>
        <w:t>: Flexible Procedures for Clustering.</w:t>
      </w:r>
      <w:r w:rsidR="00B11D06" w:rsidRPr="00B11D06">
        <w:t xml:space="preserve"> </w:t>
      </w:r>
      <w:r w:rsidR="00B11D06" w:rsidRPr="00B11D06">
        <w:rPr>
          <w:rFonts w:ascii="Times New Roman" w:hAnsi="Times New Roman" w:cs="Times New Roman"/>
        </w:rPr>
        <w:t>R package version 2.2-1</w:t>
      </w:r>
      <w:r w:rsidR="00B11D06">
        <w:rPr>
          <w:rFonts w:ascii="Times New Roman" w:hAnsi="Times New Roman" w:cs="Times New Roman"/>
        </w:rPr>
        <w:t xml:space="preserve">. </w:t>
      </w:r>
      <w:r w:rsidR="00B11D06" w:rsidRPr="00B11D06">
        <w:rPr>
          <w:rFonts w:ascii="Times New Roman" w:hAnsi="Times New Roman" w:cs="Times New Roman"/>
        </w:rPr>
        <w:t>https://CRAN.R-project.org/package=fpc</w:t>
      </w:r>
    </w:p>
    <w:p w14:paraId="5047B74F" w14:textId="55959ED2" w:rsidR="00A01347" w:rsidRPr="00F84642" w:rsidRDefault="00A01347" w:rsidP="006D07CD">
      <w:pPr>
        <w:pStyle w:val="Bibliography"/>
        <w:spacing w:after="0" w:line="480" w:lineRule="auto"/>
        <w:rPr>
          <w:rFonts w:ascii="Times New Roman" w:hAnsi="Times New Roman" w:cs="Times New Roman"/>
        </w:rPr>
      </w:pPr>
      <w:r w:rsidRPr="00F84642">
        <w:rPr>
          <w:rFonts w:ascii="Times New Roman" w:hAnsi="Times New Roman" w:cs="Times New Roman"/>
        </w:rPr>
        <w:t xml:space="preserve">Hitch, A. T. and </w:t>
      </w:r>
      <w:proofErr w:type="spellStart"/>
      <w:r w:rsidRPr="00F84642">
        <w:rPr>
          <w:rFonts w:ascii="Times New Roman" w:hAnsi="Times New Roman" w:cs="Times New Roman"/>
        </w:rPr>
        <w:t>Leberg</w:t>
      </w:r>
      <w:proofErr w:type="spellEnd"/>
      <w:r w:rsidRPr="00F84642">
        <w:rPr>
          <w:rFonts w:ascii="Times New Roman" w:hAnsi="Times New Roman" w:cs="Times New Roman"/>
        </w:rPr>
        <w:t xml:space="preserve">, P. L. 2007. Breeding </w:t>
      </w:r>
      <w:r w:rsidR="00B11D06">
        <w:rPr>
          <w:rFonts w:ascii="Times New Roman" w:hAnsi="Times New Roman" w:cs="Times New Roman"/>
        </w:rPr>
        <w:t>d</w:t>
      </w:r>
      <w:r w:rsidRPr="00F84642">
        <w:rPr>
          <w:rFonts w:ascii="Times New Roman" w:hAnsi="Times New Roman" w:cs="Times New Roman"/>
        </w:rPr>
        <w:t xml:space="preserve">istributions of North American </w:t>
      </w:r>
      <w:r w:rsidR="00B11D06">
        <w:rPr>
          <w:rFonts w:ascii="Times New Roman" w:hAnsi="Times New Roman" w:cs="Times New Roman"/>
        </w:rPr>
        <w:t>b</w:t>
      </w:r>
      <w:r w:rsidRPr="00F84642">
        <w:rPr>
          <w:rFonts w:ascii="Times New Roman" w:hAnsi="Times New Roman" w:cs="Times New Roman"/>
        </w:rPr>
        <w:t xml:space="preserve">ird </w:t>
      </w:r>
      <w:r w:rsidR="00B11D06">
        <w:rPr>
          <w:rFonts w:ascii="Times New Roman" w:hAnsi="Times New Roman" w:cs="Times New Roman"/>
        </w:rPr>
        <w:t>s</w:t>
      </w:r>
      <w:r w:rsidRPr="00F84642">
        <w:rPr>
          <w:rFonts w:ascii="Times New Roman" w:hAnsi="Times New Roman" w:cs="Times New Roman"/>
        </w:rPr>
        <w:t xml:space="preserve">pecies </w:t>
      </w:r>
      <w:r w:rsidR="00B11D06">
        <w:rPr>
          <w:rFonts w:ascii="Times New Roman" w:hAnsi="Times New Roman" w:cs="Times New Roman"/>
        </w:rPr>
        <w:t>m</w:t>
      </w:r>
      <w:r w:rsidRPr="00F84642">
        <w:rPr>
          <w:rFonts w:ascii="Times New Roman" w:hAnsi="Times New Roman" w:cs="Times New Roman"/>
        </w:rPr>
        <w:t xml:space="preserve">oving </w:t>
      </w:r>
      <w:r w:rsidR="00B11D06">
        <w:rPr>
          <w:rFonts w:ascii="Times New Roman" w:hAnsi="Times New Roman" w:cs="Times New Roman"/>
        </w:rPr>
        <w:t>n</w:t>
      </w:r>
      <w:r w:rsidRPr="00F84642">
        <w:rPr>
          <w:rFonts w:ascii="Times New Roman" w:hAnsi="Times New Roman" w:cs="Times New Roman"/>
        </w:rPr>
        <w:t xml:space="preserve">orth as a </w:t>
      </w:r>
      <w:r w:rsidR="00B11D06">
        <w:rPr>
          <w:rFonts w:ascii="Times New Roman" w:hAnsi="Times New Roman" w:cs="Times New Roman"/>
        </w:rPr>
        <w:t>r</w:t>
      </w:r>
      <w:r w:rsidRPr="00F84642">
        <w:rPr>
          <w:rFonts w:ascii="Times New Roman" w:hAnsi="Times New Roman" w:cs="Times New Roman"/>
        </w:rPr>
        <w:t xml:space="preserve">esult of </w:t>
      </w:r>
      <w:r w:rsidR="00B11D06">
        <w:rPr>
          <w:rFonts w:ascii="Times New Roman" w:hAnsi="Times New Roman" w:cs="Times New Roman"/>
        </w:rPr>
        <w:t>c</w:t>
      </w:r>
      <w:r w:rsidRPr="00F84642">
        <w:rPr>
          <w:rFonts w:ascii="Times New Roman" w:hAnsi="Times New Roman" w:cs="Times New Roman"/>
        </w:rPr>
        <w:t xml:space="preserve">limate </w:t>
      </w:r>
      <w:r w:rsidR="00B11D06">
        <w:rPr>
          <w:rFonts w:ascii="Times New Roman" w:hAnsi="Times New Roman" w:cs="Times New Roman"/>
        </w:rPr>
        <w:t>c</w:t>
      </w:r>
      <w:r w:rsidRPr="00F84642">
        <w:rPr>
          <w:rFonts w:ascii="Times New Roman" w:hAnsi="Times New Roman" w:cs="Times New Roman"/>
        </w:rPr>
        <w:t xml:space="preserve">hange. - </w:t>
      </w:r>
      <w:proofErr w:type="spellStart"/>
      <w:r w:rsidRPr="00F84642">
        <w:rPr>
          <w:rFonts w:ascii="Times New Roman" w:hAnsi="Times New Roman" w:cs="Times New Roman"/>
        </w:rPr>
        <w:t>Conserv</w:t>
      </w:r>
      <w:proofErr w:type="spellEnd"/>
      <w:r w:rsidRPr="00F84642">
        <w:rPr>
          <w:rFonts w:ascii="Times New Roman" w:hAnsi="Times New Roman" w:cs="Times New Roman"/>
        </w:rPr>
        <w:t>. Biol. 21: 534–539.</w:t>
      </w:r>
    </w:p>
    <w:p w14:paraId="6A5026AA" w14:textId="77777777" w:rsidR="00A01347" w:rsidRPr="00F84642" w:rsidRDefault="00A01347" w:rsidP="006D07CD">
      <w:pPr>
        <w:pStyle w:val="Bibliography"/>
        <w:spacing w:after="0" w:line="480" w:lineRule="auto"/>
        <w:rPr>
          <w:rFonts w:ascii="Times New Roman" w:hAnsi="Times New Roman" w:cs="Times New Roman"/>
        </w:rPr>
      </w:pPr>
      <w:r w:rsidRPr="00F84642">
        <w:rPr>
          <w:rFonts w:ascii="Times New Roman" w:hAnsi="Times New Roman" w:cs="Times New Roman"/>
        </w:rPr>
        <w:lastRenderedPageBreak/>
        <w:t xml:space="preserve">Hocking, D. J. et al. 2018. A </w:t>
      </w:r>
      <w:proofErr w:type="spellStart"/>
      <w:r w:rsidRPr="00F84642">
        <w:rPr>
          <w:rFonts w:ascii="Times New Roman" w:hAnsi="Times New Roman" w:cs="Times New Roman"/>
        </w:rPr>
        <w:t>geostatistical</w:t>
      </w:r>
      <w:proofErr w:type="spellEnd"/>
      <w:r w:rsidRPr="00F84642">
        <w:rPr>
          <w:rFonts w:ascii="Times New Roman" w:hAnsi="Times New Roman" w:cs="Times New Roman"/>
        </w:rPr>
        <w:t xml:space="preserve"> state-space model of animal densities for stream networks. - Ecol. Appl. 28: 1782–1796.</w:t>
      </w:r>
    </w:p>
    <w:p w14:paraId="1FE84737" w14:textId="77777777" w:rsidR="00A01347" w:rsidRPr="00F84642" w:rsidRDefault="00A01347" w:rsidP="006D07CD">
      <w:pPr>
        <w:pStyle w:val="Bibliography"/>
        <w:spacing w:after="0" w:line="480" w:lineRule="auto"/>
        <w:rPr>
          <w:rFonts w:ascii="Times New Roman" w:hAnsi="Times New Roman" w:cs="Times New Roman"/>
        </w:rPr>
      </w:pPr>
      <w:proofErr w:type="spellStart"/>
      <w:r w:rsidRPr="00F84642">
        <w:rPr>
          <w:rFonts w:ascii="Times New Roman" w:hAnsi="Times New Roman" w:cs="Times New Roman"/>
        </w:rPr>
        <w:t>Huffaker</w:t>
      </w:r>
      <w:proofErr w:type="spellEnd"/>
      <w:r w:rsidRPr="00F84642">
        <w:rPr>
          <w:rFonts w:ascii="Times New Roman" w:hAnsi="Times New Roman" w:cs="Times New Roman"/>
        </w:rPr>
        <w:t xml:space="preserve">, C. B. 1958. Experimental studies on predation: dispersion factors and predator-prey oscillations. - </w:t>
      </w:r>
      <w:proofErr w:type="spellStart"/>
      <w:r w:rsidRPr="00F84642">
        <w:rPr>
          <w:rFonts w:ascii="Times New Roman" w:hAnsi="Times New Roman" w:cs="Times New Roman"/>
        </w:rPr>
        <w:t>Hilgardia</w:t>
      </w:r>
      <w:proofErr w:type="spellEnd"/>
      <w:r w:rsidRPr="00F84642">
        <w:rPr>
          <w:rFonts w:ascii="Times New Roman" w:hAnsi="Times New Roman" w:cs="Times New Roman"/>
        </w:rPr>
        <w:t xml:space="preserve"> 27: 795–835.</w:t>
      </w:r>
    </w:p>
    <w:p w14:paraId="2D00BB55" w14:textId="48F476A1" w:rsidR="00A01347" w:rsidRPr="00F84642" w:rsidRDefault="00A01347" w:rsidP="006D07CD">
      <w:pPr>
        <w:pStyle w:val="Bibliography"/>
        <w:spacing w:after="0" w:line="480" w:lineRule="auto"/>
        <w:rPr>
          <w:rFonts w:ascii="Times New Roman" w:hAnsi="Times New Roman" w:cs="Times New Roman"/>
        </w:rPr>
      </w:pPr>
      <w:r w:rsidRPr="00F84642">
        <w:rPr>
          <w:rFonts w:ascii="Times New Roman" w:hAnsi="Times New Roman" w:cs="Times New Roman"/>
        </w:rPr>
        <w:t xml:space="preserve">Johnson, K. F. et al. 2019. Investigating the </w:t>
      </w:r>
      <w:r w:rsidR="00B11D06">
        <w:rPr>
          <w:rFonts w:ascii="Times New Roman" w:hAnsi="Times New Roman" w:cs="Times New Roman"/>
        </w:rPr>
        <w:t>v</w:t>
      </w:r>
      <w:r w:rsidRPr="00F84642">
        <w:rPr>
          <w:rFonts w:ascii="Times New Roman" w:hAnsi="Times New Roman" w:cs="Times New Roman"/>
        </w:rPr>
        <w:t xml:space="preserve">alue of </w:t>
      </w:r>
      <w:r w:rsidR="00B11D06">
        <w:rPr>
          <w:rFonts w:ascii="Times New Roman" w:hAnsi="Times New Roman" w:cs="Times New Roman"/>
        </w:rPr>
        <w:t>i</w:t>
      </w:r>
      <w:r w:rsidRPr="00F84642">
        <w:rPr>
          <w:rFonts w:ascii="Times New Roman" w:hAnsi="Times New Roman" w:cs="Times New Roman"/>
        </w:rPr>
        <w:t xml:space="preserve">ncluding </w:t>
      </w:r>
      <w:r w:rsidR="00B11D06">
        <w:rPr>
          <w:rFonts w:ascii="Times New Roman" w:hAnsi="Times New Roman" w:cs="Times New Roman"/>
        </w:rPr>
        <w:t>d</w:t>
      </w:r>
      <w:r w:rsidRPr="00F84642">
        <w:rPr>
          <w:rFonts w:ascii="Times New Roman" w:hAnsi="Times New Roman" w:cs="Times New Roman"/>
        </w:rPr>
        <w:t xml:space="preserve">epth during </w:t>
      </w:r>
      <w:r w:rsidR="00B11D06">
        <w:rPr>
          <w:rFonts w:ascii="Times New Roman" w:hAnsi="Times New Roman" w:cs="Times New Roman"/>
        </w:rPr>
        <w:t>s</w:t>
      </w:r>
      <w:r w:rsidRPr="00F84642">
        <w:rPr>
          <w:rFonts w:ascii="Times New Roman" w:hAnsi="Times New Roman" w:cs="Times New Roman"/>
        </w:rPr>
        <w:t xml:space="preserve">patiotemporal </w:t>
      </w:r>
      <w:r w:rsidR="00B11D06">
        <w:rPr>
          <w:rFonts w:ascii="Times New Roman" w:hAnsi="Times New Roman" w:cs="Times New Roman"/>
        </w:rPr>
        <w:t>i</w:t>
      </w:r>
      <w:r w:rsidRPr="00F84642">
        <w:rPr>
          <w:rFonts w:ascii="Times New Roman" w:hAnsi="Times New Roman" w:cs="Times New Roman"/>
        </w:rPr>
        <w:t xml:space="preserve">ndex </w:t>
      </w:r>
      <w:r w:rsidR="00B11D06">
        <w:rPr>
          <w:rFonts w:ascii="Times New Roman" w:hAnsi="Times New Roman" w:cs="Times New Roman"/>
        </w:rPr>
        <w:t>s</w:t>
      </w:r>
      <w:r w:rsidRPr="00F84642">
        <w:rPr>
          <w:rFonts w:ascii="Times New Roman" w:hAnsi="Times New Roman" w:cs="Times New Roman"/>
        </w:rPr>
        <w:t>tandardization. - Fish. Res. 216: 126–137.</w:t>
      </w:r>
    </w:p>
    <w:p w14:paraId="101F881E" w14:textId="77777777" w:rsidR="00A01347" w:rsidRPr="00F84642" w:rsidRDefault="00A01347" w:rsidP="006D07CD">
      <w:pPr>
        <w:pStyle w:val="Bibliography"/>
        <w:spacing w:after="0" w:line="480" w:lineRule="auto"/>
        <w:rPr>
          <w:rFonts w:ascii="Times New Roman" w:hAnsi="Times New Roman" w:cs="Times New Roman"/>
        </w:rPr>
      </w:pPr>
      <w:r w:rsidRPr="00F84642">
        <w:rPr>
          <w:rFonts w:ascii="Times New Roman" w:hAnsi="Times New Roman" w:cs="Times New Roman"/>
        </w:rPr>
        <w:t xml:space="preserve">Kaufman, L. and </w:t>
      </w:r>
      <w:proofErr w:type="spellStart"/>
      <w:r w:rsidRPr="00F84642">
        <w:rPr>
          <w:rFonts w:ascii="Times New Roman" w:hAnsi="Times New Roman" w:cs="Times New Roman"/>
        </w:rPr>
        <w:t>Rousseeuw</w:t>
      </w:r>
      <w:proofErr w:type="spellEnd"/>
      <w:r w:rsidRPr="00F84642">
        <w:rPr>
          <w:rFonts w:ascii="Times New Roman" w:hAnsi="Times New Roman" w:cs="Times New Roman"/>
        </w:rPr>
        <w:t>, P. J. 2009. Finding groups in data: an introduction to cluster analysis. - John Wiley &amp; Sons.</w:t>
      </w:r>
    </w:p>
    <w:p w14:paraId="24B5B161" w14:textId="77777777" w:rsidR="00A01347" w:rsidRPr="00F84642" w:rsidRDefault="00A01347" w:rsidP="006D07CD">
      <w:pPr>
        <w:pStyle w:val="Bibliography"/>
        <w:spacing w:after="0" w:line="480" w:lineRule="auto"/>
        <w:rPr>
          <w:rFonts w:ascii="Times New Roman" w:hAnsi="Times New Roman" w:cs="Times New Roman"/>
        </w:rPr>
      </w:pPr>
      <w:proofErr w:type="spellStart"/>
      <w:r w:rsidRPr="00F84642">
        <w:rPr>
          <w:rFonts w:ascii="Times New Roman" w:hAnsi="Times New Roman" w:cs="Times New Roman"/>
        </w:rPr>
        <w:t>Kéfi</w:t>
      </w:r>
      <w:proofErr w:type="spellEnd"/>
      <w:r w:rsidRPr="00F84642">
        <w:rPr>
          <w:rFonts w:ascii="Times New Roman" w:hAnsi="Times New Roman" w:cs="Times New Roman"/>
        </w:rPr>
        <w:t xml:space="preserve">, S. et al. 2014. Early warning signals of ecological transitions: methods for spatial patterns. - </w:t>
      </w:r>
      <w:proofErr w:type="spellStart"/>
      <w:r w:rsidRPr="00F84642">
        <w:rPr>
          <w:rFonts w:ascii="Times New Roman" w:hAnsi="Times New Roman" w:cs="Times New Roman"/>
        </w:rPr>
        <w:t>PloS</w:t>
      </w:r>
      <w:proofErr w:type="spellEnd"/>
      <w:r w:rsidRPr="00F84642">
        <w:rPr>
          <w:rFonts w:ascii="Times New Roman" w:hAnsi="Times New Roman" w:cs="Times New Roman"/>
        </w:rPr>
        <w:t xml:space="preserve"> One 9: e92097.</w:t>
      </w:r>
    </w:p>
    <w:p w14:paraId="69629ED7" w14:textId="7ED52CEB" w:rsidR="00A01347" w:rsidRPr="00F84642" w:rsidRDefault="00A01347" w:rsidP="006D07CD">
      <w:pPr>
        <w:pStyle w:val="Bibliography"/>
        <w:spacing w:after="0" w:line="480" w:lineRule="auto"/>
        <w:rPr>
          <w:rFonts w:ascii="Times New Roman" w:hAnsi="Times New Roman" w:cs="Times New Roman"/>
        </w:rPr>
      </w:pPr>
      <w:r w:rsidRPr="00F84642">
        <w:rPr>
          <w:rFonts w:ascii="Times New Roman" w:hAnsi="Times New Roman" w:cs="Times New Roman"/>
        </w:rPr>
        <w:t xml:space="preserve">Keller, A. A. et al. 2017. The Northwest Fisheries Science Center’s West Coast </w:t>
      </w:r>
      <w:proofErr w:type="spellStart"/>
      <w:r w:rsidRPr="00F84642">
        <w:rPr>
          <w:rFonts w:ascii="Times New Roman" w:hAnsi="Times New Roman" w:cs="Times New Roman"/>
        </w:rPr>
        <w:t>Groundfish</w:t>
      </w:r>
      <w:proofErr w:type="spellEnd"/>
      <w:r w:rsidRPr="00F84642">
        <w:rPr>
          <w:rFonts w:ascii="Times New Roman" w:hAnsi="Times New Roman" w:cs="Times New Roman"/>
        </w:rPr>
        <w:t xml:space="preserve"> Bottom Trawl Survey: History, </w:t>
      </w:r>
      <w:r w:rsidR="00B11D06">
        <w:rPr>
          <w:rFonts w:ascii="Times New Roman" w:hAnsi="Times New Roman" w:cs="Times New Roman"/>
        </w:rPr>
        <w:t>d</w:t>
      </w:r>
      <w:r w:rsidRPr="00F84642">
        <w:rPr>
          <w:rFonts w:ascii="Times New Roman" w:hAnsi="Times New Roman" w:cs="Times New Roman"/>
        </w:rPr>
        <w:t xml:space="preserve">esign, and </w:t>
      </w:r>
      <w:r w:rsidR="00B11D06">
        <w:rPr>
          <w:rFonts w:ascii="Times New Roman" w:hAnsi="Times New Roman" w:cs="Times New Roman"/>
        </w:rPr>
        <w:t>d</w:t>
      </w:r>
      <w:r w:rsidRPr="00F84642">
        <w:rPr>
          <w:rFonts w:ascii="Times New Roman" w:hAnsi="Times New Roman" w:cs="Times New Roman"/>
        </w:rPr>
        <w:t>escription.</w:t>
      </w:r>
      <w:r w:rsidR="00B11D06">
        <w:rPr>
          <w:rFonts w:ascii="Times New Roman" w:hAnsi="Times New Roman" w:cs="Times New Roman"/>
        </w:rPr>
        <w:t xml:space="preserve"> </w:t>
      </w:r>
      <w:r w:rsidR="00B11D06" w:rsidRPr="00B11D06">
        <w:rPr>
          <w:rFonts w:ascii="Times New Roman" w:hAnsi="Times New Roman" w:cs="Times New Roman"/>
        </w:rPr>
        <w:t>NOAA Tech</w:t>
      </w:r>
      <w:r w:rsidR="00B11D06">
        <w:rPr>
          <w:rFonts w:ascii="Times New Roman" w:hAnsi="Times New Roman" w:cs="Times New Roman"/>
        </w:rPr>
        <w:t>.</w:t>
      </w:r>
      <w:r w:rsidR="00B11D06" w:rsidRPr="00B11D06">
        <w:rPr>
          <w:rFonts w:ascii="Times New Roman" w:hAnsi="Times New Roman" w:cs="Times New Roman"/>
        </w:rPr>
        <w:t xml:space="preserve"> Memo</w:t>
      </w:r>
      <w:r w:rsidR="00B11D06">
        <w:rPr>
          <w:rFonts w:ascii="Times New Roman" w:hAnsi="Times New Roman" w:cs="Times New Roman"/>
        </w:rPr>
        <w:t>. NMFS-NWFSC-136.</w:t>
      </w:r>
    </w:p>
    <w:p w14:paraId="07749EB0" w14:textId="75AFBCD6" w:rsidR="00A01347" w:rsidRPr="00F84642" w:rsidRDefault="00A01347" w:rsidP="006D07CD">
      <w:pPr>
        <w:pStyle w:val="Bibliography"/>
        <w:spacing w:after="0" w:line="480" w:lineRule="auto"/>
        <w:rPr>
          <w:rFonts w:ascii="Times New Roman" w:hAnsi="Times New Roman" w:cs="Times New Roman"/>
        </w:rPr>
      </w:pPr>
      <w:proofErr w:type="spellStart"/>
      <w:r w:rsidRPr="00F84642">
        <w:rPr>
          <w:rFonts w:ascii="Times New Roman" w:hAnsi="Times New Roman" w:cs="Times New Roman"/>
        </w:rPr>
        <w:t>Kleisner</w:t>
      </w:r>
      <w:proofErr w:type="spellEnd"/>
      <w:r w:rsidRPr="00F84642">
        <w:rPr>
          <w:rFonts w:ascii="Times New Roman" w:hAnsi="Times New Roman" w:cs="Times New Roman"/>
        </w:rPr>
        <w:t xml:space="preserve">, K. M. et al. 2016. The </w:t>
      </w:r>
      <w:r w:rsidR="00B11D06">
        <w:rPr>
          <w:rFonts w:ascii="Times New Roman" w:hAnsi="Times New Roman" w:cs="Times New Roman"/>
        </w:rPr>
        <w:t>e</w:t>
      </w:r>
      <w:r w:rsidRPr="00F84642">
        <w:rPr>
          <w:rFonts w:ascii="Times New Roman" w:hAnsi="Times New Roman" w:cs="Times New Roman"/>
        </w:rPr>
        <w:t xml:space="preserve">ffects of </w:t>
      </w:r>
      <w:r w:rsidR="00B11D06">
        <w:rPr>
          <w:rFonts w:ascii="Times New Roman" w:hAnsi="Times New Roman" w:cs="Times New Roman"/>
        </w:rPr>
        <w:t>s</w:t>
      </w:r>
      <w:r w:rsidRPr="00F84642">
        <w:rPr>
          <w:rFonts w:ascii="Times New Roman" w:hAnsi="Times New Roman" w:cs="Times New Roman"/>
        </w:rPr>
        <w:t>ub-</w:t>
      </w:r>
      <w:r w:rsidR="00B11D06">
        <w:rPr>
          <w:rFonts w:ascii="Times New Roman" w:hAnsi="Times New Roman" w:cs="Times New Roman"/>
        </w:rPr>
        <w:t>r</w:t>
      </w:r>
      <w:r w:rsidRPr="00F84642">
        <w:rPr>
          <w:rFonts w:ascii="Times New Roman" w:hAnsi="Times New Roman" w:cs="Times New Roman"/>
        </w:rPr>
        <w:t xml:space="preserve">egional </w:t>
      </w:r>
      <w:r w:rsidR="00B11D06">
        <w:rPr>
          <w:rFonts w:ascii="Times New Roman" w:hAnsi="Times New Roman" w:cs="Times New Roman"/>
        </w:rPr>
        <w:t>c</w:t>
      </w:r>
      <w:r w:rsidRPr="00F84642">
        <w:rPr>
          <w:rFonts w:ascii="Times New Roman" w:hAnsi="Times New Roman" w:cs="Times New Roman"/>
        </w:rPr>
        <w:t xml:space="preserve">limate </w:t>
      </w:r>
      <w:r w:rsidR="00B11D06">
        <w:rPr>
          <w:rFonts w:ascii="Times New Roman" w:hAnsi="Times New Roman" w:cs="Times New Roman"/>
        </w:rPr>
        <w:t>v</w:t>
      </w:r>
      <w:r w:rsidRPr="00F84642">
        <w:rPr>
          <w:rFonts w:ascii="Times New Roman" w:hAnsi="Times New Roman" w:cs="Times New Roman"/>
        </w:rPr>
        <w:t xml:space="preserve">elocity on the </w:t>
      </w:r>
      <w:r w:rsidR="00B11D06">
        <w:rPr>
          <w:rFonts w:ascii="Times New Roman" w:hAnsi="Times New Roman" w:cs="Times New Roman"/>
        </w:rPr>
        <w:t>d</w:t>
      </w:r>
      <w:r w:rsidRPr="00F84642">
        <w:rPr>
          <w:rFonts w:ascii="Times New Roman" w:hAnsi="Times New Roman" w:cs="Times New Roman"/>
        </w:rPr>
        <w:t xml:space="preserve">istribution and </w:t>
      </w:r>
      <w:r w:rsidR="00B11D06">
        <w:rPr>
          <w:rFonts w:ascii="Times New Roman" w:hAnsi="Times New Roman" w:cs="Times New Roman"/>
        </w:rPr>
        <w:t>s</w:t>
      </w:r>
      <w:r w:rsidRPr="00F84642">
        <w:rPr>
          <w:rFonts w:ascii="Times New Roman" w:hAnsi="Times New Roman" w:cs="Times New Roman"/>
        </w:rPr>
        <w:t xml:space="preserve">patial </w:t>
      </w:r>
      <w:r w:rsidR="00B11D06">
        <w:rPr>
          <w:rFonts w:ascii="Times New Roman" w:hAnsi="Times New Roman" w:cs="Times New Roman"/>
        </w:rPr>
        <w:t>e</w:t>
      </w:r>
      <w:r w:rsidRPr="00F84642">
        <w:rPr>
          <w:rFonts w:ascii="Times New Roman" w:hAnsi="Times New Roman" w:cs="Times New Roman"/>
        </w:rPr>
        <w:t xml:space="preserve">xtent of </w:t>
      </w:r>
      <w:r w:rsidR="00B11D06">
        <w:rPr>
          <w:rFonts w:ascii="Times New Roman" w:hAnsi="Times New Roman" w:cs="Times New Roman"/>
        </w:rPr>
        <w:t>m</w:t>
      </w:r>
      <w:r w:rsidRPr="00F84642">
        <w:rPr>
          <w:rFonts w:ascii="Times New Roman" w:hAnsi="Times New Roman" w:cs="Times New Roman"/>
        </w:rPr>
        <w:t xml:space="preserve">arine </w:t>
      </w:r>
      <w:r w:rsidR="00B11D06">
        <w:rPr>
          <w:rFonts w:ascii="Times New Roman" w:hAnsi="Times New Roman" w:cs="Times New Roman"/>
        </w:rPr>
        <w:t>s</w:t>
      </w:r>
      <w:r w:rsidRPr="00F84642">
        <w:rPr>
          <w:rFonts w:ascii="Times New Roman" w:hAnsi="Times New Roman" w:cs="Times New Roman"/>
        </w:rPr>
        <w:t xml:space="preserve">pecies </w:t>
      </w:r>
      <w:r w:rsidR="00B11D06">
        <w:rPr>
          <w:rFonts w:ascii="Times New Roman" w:hAnsi="Times New Roman" w:cs="Times New Roman"/>
        </w:rPr>
        <w:t>a</w:t>
      </w:r>
      <w:r w:rsidRPr="00F84642">
        <w:rPr>
          <w:rFonts w:ascii="Times New Roman" w:hAnsi="Times New Roman" w:cs="Times New Roman"/>
        </w:rPr>
        <w:t>ssemblages. - PLOS ONE 11: e0149220.</w:t>
      </w:r>
    </w:p>
    <w:p w14:paraId="1FF86DBA" w14:textId="77777777" w:rsidR="00A01347" w:rsidRPr="00F84642" w:rsidRDefault="00A01347" w:rsidP="006D07CD">
      <w:pPr>
        <w:pStyle w:val="Bibliography"/>
        <w:spacing w:after="0" w:line="480" w:lineRule="auto"/>
        <w:rPr>
          <w:rFonts w:ascii="Times New Roman" w:hAnsi="Times New Roman" w:cs="Times New Roman"/>
        </w:rPr>
      </w:pPr>
      <w:proofErr w:type="spellStart"/>
      <w:r w:rsidRPr="00F84642">
        <w:rPr>
          <w:rFonts w:ascii="Times New Roman" w:hAnsi="Times New Roman" w:cs="Times New Roman"/>
        </w:rPr>
        <w:t>Kotwicki</w:t>
      </w:r>
      <w:proofErr w:type="spellEnd"/>
      <w:r w:rsidRPr="00F84642">
        <w:rPr>
          <w:rFonts w:ascii="Times New Roman" w:hAnsi="Times New Roman" w:cs="Times New Roman"/>
        </w:rPr>
        <w:t xml:space="preserve">, S. and Ono, K. 2019. The effect of random and density-dependent variation in sampling efficiency on variance of abundance estimates from fishery surveys. - Fish </w:t>
      </w:r>
      <w:proofErr w:type="spellStart"/>
      <w:r w:rsidRPr="00F84642">
        <w:rPr>
          <w:rFonts w:ascii="Times New Roman" w:hAnsi="Times New Roman" w:cs="Times New Roman"/>
        </w:rPr>
        <w:t>Fish</w:t>
      </w:r>
      <w:proofErr w:type="spellEnd"/>
      <w:r w:rsidRPr="00F84642">
        <w:rPr>
          <w:rFonts w:ascii="Times New Roman" w:hAnsi="Times New Roman" w:cs="Times New Roman"/>
        </w:rPr>
        <w:t>. 20: 760–774.</w:t>
      </w:r>
    </w:p>
    <w:p w14:paraId="18963D5B" w14:textId="1D600C29" w:rsidR="00A01347" w:rsidRPr="00F84642" w:rsidRDefault="00A01347" w:rsidP="006D07CD">
      <w:pPr>
        <w:pStyle w:val="Bibliography"/>
        <w:spacing w:after="0" w:line="480" w:lineRule="auto"/>
        <w:rPr>
          <w:rFonts w:ascii="Times New Roman" w:hAnsi="Times New Roman" w:cs="Times New Roman"/>
        </w:rPr>
      </w:pPr>
      <w:proofErr w:type="spellStart"/>
      <w:r w:rsidRPr="00F84642">
        <w:rPr>
          <w:rFonts w:ascii="Times New Roman" w:hAnsi="Times New Roman" w:cs="Times New Roman"/>
        </w:rPr>
        <w:t>Kristensen</w:t>
      </w:r>
      <w:proofErr w:type="spellEnd"/>
      <w:r w:rsidRPr="00F84642">
        <w:rPr>
          <w:rFonts w:ascii="Times New Roman" w:hAnsi="Times New Roman" w:cs="Times New Roman"/>
        </w:rPr>
        <w:t xml:space="preserve">, K. et al. 2016. TMB: Automatic </w:t>
      </w:r>
      <w:r w:rsidR="001C2657">
        <w:rPr>
          <w:rFonts w:ascii="Times New Roman" w:hAnsi="Times New Roman" w:cs="Times New Roman"/>
        </w:rPr>
        <w:t>d</w:t>
      </w:r>
      <w:r w:rsidRPr="00F84642">
        <w:rPr>
          <w:rFonts w:ascii="Times New Roman" w:hAnsi="Times New Roman" w:cs="Times New Roman"/>
        </w:rPr>
        <w:t xml:space="preserve">ifferentiation and Laplace </w:t>
      </w:r>
      <w:r w:rsidR="001C2657">
        <w:rPr>
          <w:rFonts w:ascii="Times New Roman" w:hAnsi="Times New Roman" w:cs="Times New Roman"/>
        </w:rPr>
        <w:t>a</w:t>
      </w:r>
      <w:r w:rsidRPr="00F84642">
        <w:rPr>
          <w:rFonts w:ascii="Times New Roman" w:hAnsi="Times New Roman" w:cs="Times New Roman"/>
        </w:rPr>
        <w:t xml:space="preserve">pproximation. - J. Stat. </w:t>
      </w:r>
      <w:proofErr w:type="spellStart"/>
      <w:r w:rsidRPr="00F84642">
        <w:rPr>
          <w:rFonts w:ascii="Times New Roman" w:hAnsi="Times New Roman" w:cs="Times New Roman"/>
        </w:rPr>
        <w:t>Softw</w:t>
      </w:r>
      <w:proofErr w:type="spellEnd"/>
      <w:r w:rsidRPr="00F84642">
        <w:rPr>
          <w:rFonts w:ascii="Times New Roman" w:hAnsi="Times New Roman" w:cs="Times New Roman"/>
        </w:rPr>
        <w:t>. 70: 1–21.</w:t>
      </w:r>
    </w:p>
    <w:p w14:paraId="56BC9C28" w14:textId="77777777" w:rsidR="00A01347" w:rsidRPr="00F84642" w:rsidRDefault="00A01347" w:rsidP="006D07CD">
      <w:pPr>
        <w:pStyle w:val="Bibliography"/>
        <w:spacing w:after="0" w:line="480" w:lineRule="auto"/>
        <w:rPr>
          <w:rFonts w:ascii="Times New Roman" w:hAnsi="Times New Roman" w:cs="Times New Roman"/>
        </w:rPr>
      </w:pPr>
      <w:r w:rsidRPr="00F84642">
        <w:rPr>
          <w:rFonts w:ascii="Times New Roman" w:hAnsi="Times New Roman" w:cs="Times New Roman"/>
        </w:rPr>
        <w:t>Latimer, A. M. et al. 2009. Hierarchical models facilitate spatial analysis of large data sets: a case study on invasive plant species in the northeastern United States. - Ecol. Lett. 12: 144–154.</w:t>
      </w:r>
    </w:p>
    <w:p w14:paraId="1CBF8B0B" w14:textId="7D6161BA" w:rsidR="00A01347" w:rsidRPr="00F84642" w:rsidRDefault="00A01347" w:rsidP="006D07CD">
      <w:pPr>
        <w:pStyle w:val="Bibliography"/>
        <w:spacing w:after="0" w:line="480" w:lineRule="auto"/>
        <w:rPr>
          <w:rFonts w:ascii="Times New Roman" w:hAnsi="Times New Roman" w:cs="Times New Roman"/>
        </w:rPr>
      </w:pPr>
      <w:r w:rsidRPr="00F84642">
        <w:rPr>
          <w:rFonts w:ascii="Times New Roman" w:hAnsi="Times New Roman" w:cs="Times New Roman"/>
        </w:rPr>
        <w:lastRenderedPageBreak/>
        <w:t xml:space="preserve">Lenoir, J. et al. 2008. A </w:t>
      </w:r>
      <w:r w:rsidR="001C2657">
        <w:rPr>
          <w:rFonts w:ascii="Times New Roman" w:hAnsi="Times New Roman" w:cs="Times New Roman"/>
        </w:rPr>
        <w:t>s</w:t>
      </w:r>
      <w:r w:rsidR="001C2657" w:rsidRPr="00F84642">
        <w:rPr>
          <w:rFonts w:ascii="Times New Roman" w:hAnsi="Times New Roman" w:cs="Times New Roman"/>
        </w:rPr>
        <w:t xml:space="preserve">ignificant </w:t>
      </w:r>
      <w:r w:rsidR="001C2657">
        <w:rPr>
          <w:rFonts w:ascii="Times New Roman" w:hAnsi="Times New Roman" w:cs="Times New Roman"/>
        </w:rPr>
        <w:t>u</w:t>
      </w:r>
      <w:r w:rsidR="001C2657" w:rsidRPr="00F84642">
        <w:rPr>
          <w:rFonts w:ascii="Times New Roman" w:hAnsi="Times New Roman" w:cs="Times New Roman"/>
        </w:rPr>
        <w:t>pward shift in plant species optimum elevation during the 20th century</w:t>
      </w:r>
      <w:r w:rsidRPr="00F84642">
        <w:rPr>
          <w:rFonts w:ascii="Times New Roman" w:hAnsi="Times New Roman" w:cs="Times New Roman"/>
        </w:rPr>
        <w:t>. - Science 320: 1768.</w:t>
      </w:r>
    </w:p>
    <w:p w14:paraId="7B45D6AC" w14:textId="77777777" w:rsidR="00A01347" w:rsidRPr="00F84642" w:rsidRDefault="00A01347" w:rsidP="006D07CD">
      <w:pPr>
        <w:pStyle w:val="Bibliography"/>
        <w:spacing w:after="0" w:line="480" w:lineRule="auto"/>
        <w:rPr>
          <w:rFonts w:ascii="Times New Roman" w:hAnsi="Times New Roman" w:cs="Times New Roman"/>
        </w:rPr>
      </w:pPr>
      <w:r w:rsidRPr="00F84642">
        <w:rPr>
          <w:rFonts w:ascii="Times New Roman" w:hAnsi="Times New Roman" w:cs="Times New Roman"/>
        </w:rPr>
        <w:t>Levin, S. A. 1992. The problem of pattern and scale in ecology: the Robert H. MacArthur award lecture. - Ecology 73: 1943–1967.</w:t>
      </w:r>
    </w:p>
    <w:p w14:paraId="41496EBC" w14:textId="77777777" w:rsidR="00A01347" w:rsidRPr="00F84642" w:rsidRDefault="00A01347" w:rsidP="006D07CD">
      <w:pPr>
        <w:pStyle w:val="Bibliography"/>
        <w:spacing w:after="0" w:line="480" w:lineRule="auto"/>
        <w:rPr>
          <w:rFonts w:ascii="Times New Roman" w:hAnsi="Times New Roman" w:cs="Times New Roman"/>
        </w:rPr>
      </w:pPr>
      <w:r w:rsidRPr="00F84642">
        <w:rPr>
          <w:rFonts w:ascii="Times New Roman" w:hAnsi="Times New Roman" w:cs="Times New Roman"/>
        </w:rPr>
        <w:t>Levin, L. A. et al. 2010. The roles of habitat heterogeneity in generating and maintaining biodiversity on continental margins: an introduction. - Mar. Ecol. 31: 1–5.</w:t>
      </w:r>
    </w:p>
    <w:p w14:paraId="3929EBA7" w14:textId="77777777" w:rsidR="00A01347" w:rsidRPr="00F84642" w:rsidRDefault="00A01347" w:rsidP="006D07CD">
      <w:pPr>
        <w:pStyle w:val="Bibliography"/>
        <w:spacing w:after="0" w:line="480" w:lineRule="auto"/>
        <w:rPr>
          <w:rFonts w:ascii="Times New Roman" w:hAnsi="Times New Roman" w:cs="Times New Roman"/>
        </w:rPr>
      </w:pPr>
      <w:r w:rsidRPr="00F84642">
        <w:rPr>
          <w:rFonts w:ascii="Times New Roman" w:hAnsi="Times New Roman" w:cs="Times New Roman"/>
        </w:rPr>
        <w:t xml:space="preserve">Li, L. et al. 2019. </w:t>
      </w:r>
      <w:proofErr w:type="spellStart"/>
      <w:r w:rsidRPr="00F84642">
        <w:rPr>
          <w:rFonts w:ascii="Times New Roman" w:hAnsi="Times New Roman" w:cs="Times New Roman"/>
        </w:rPr>
        <w:t>Subregional</w:t>
      </w:r>
      <w:proofErr w:type="spellEnd"/>
      <w:r w:rsidRPr="00F84642">
        <w:rPr>
          <w:rFonts w:ascii="Times New Roman" w:hAnsi="Times New Roman" w:cs="Times New Roman"/>
        </w:rPr>
        <w:t xml:space="preserve"> differences in </w:t>
      </w:r>
      <w:proofErr w:type="spellStart"/>
      <w:r w:rsidRPr="00F84642">
        <w:rPr>
          <w:rFonts w:ascii="Times New Roman" w:hAnsi="Times New Roman" w:cs="Times New Roman"/>
        </w:rPr>
        <w:t>groundfish</w:t>
      </w:r>
      <w:proofErr w:type="spellEnd"/>
      <w:r w:rsidRPr="00F84642">
        <w:rPr>
          <w:rFonts w:ascii="Times New Roman" w:hAnsi="Times New Roman" w:cs="Times New Roman"/>
        </w:rPr>
        <w:t xml:space="preserve"> distributional responses to anomalous ocean bottom temperatures in the northeast Pacific. - Glob. Change Biol. 25: 2560–2575.</w:t>
      </w:r>
    </w:p>
    <w:p w14:paraId="184238D7" w14:textId="77777777" w:rsidR="00A01347" w:rsidRPr="00F84642" w:rsidRDefault="00A01347" w:rsidP="006D07CD">
      <w:pPr>
        <w:pStyle w:val="Bibliography"/>
        <w:spacing w:after="0" w:line="480" w:lineRule="auto"/>
        <w:rPr>
          <w:rFonts w:ascii="Times New Roman" w:hAnsi="Times New Roman" w:cs="Times New Roman"/>
        </w:rPr>
      </w:pPr>
      <w:r w:rsidRPr="00F84642">
        <w:rPr>
          <w:rFonts w:ascii="Times New Roman" w:hAnsi="Times New Roman" w:cs="Times New Roman"/>
        </w:rPr>
        <w:t xml:space="preserve">Lindgren, F. et al. 2011. An explicit link between Gaussian fields and Gaussian Markov random fields: the stochastic partial differential equation approach. - J. R. Stat. Soc. Ser. B Stat. </w:t>
      </w:r>
      <w:proofErr w:type="spellStart"/>
      <w:r w:rsidRPr="00F84642">
        <w:rPr>
          <w:rFonts w:ascii="Times New Roman" w:hAnsi="Times New Roman" w:cs="Times New Roman"/>
        </w:rPr>
        <w:t>Methodol</w:t>
      </w:r>
      <w:proofErr w:type="spellEnd"/>
      <w:r w:rsidRPr="00F84642">
        <w:rPr>
          <w:rFonts w:ascii="Times New Roman" w:hAnsi="Times New Roman" w:cs="Times New Roman"/>
        </w:rPr>
        <w:t>. 73: 423–498.</w:t>
      </w:r>
    </w:p>
    <w:p w14:paraId="3F8B5B69" w14:textId="77777777" w:rsidR="00A01347" w:rsidRPr="00F84642" w:rsidRDefault="00A01347" w:rsidP="006D07CD">
      <w:pPr>
        <w:pStyle w:val="Bibliography"/>
        <w:spacing w:after="0" w:line="480" w:lineRule="auto"/>
        <w:rPr>
          <w:rFonts w:ascii="Times New Roman" w:hAnsi="Times New Roman" w:cs="Times New Roman"/>
        </w:rPr>
      </w:pPr>
      <w:r w:rsidRPr="00F84642">
        <w:rPr>
          <w:rFonts w:ascii="Times New Roman" w:hAnsi="Times New Roman" w:cs="Times New Roman"/>
        </w:rPr>
        <w:t xml:space="preserve">Link, J. S. et al. 2002. Marine ecosystem assessment in a fisheries management context. - Can. J. Fish. </w:t>
      </w:r>
      <w:proofErr w:type="spellStart"/>
      <w:r w:rsidRPr="00F84642">
        <w:rPr>
          <w:rFonts w:ascii="Times New Roman" w:hAnsi="Times New Roman" w:cs="Times New Roman"/>
        </w:rPr>
        <w:t>Aquat</w:t>
      </w:r>
      <w:proofErr w:type="spellEnd"/>
      <w:r w:rsidRPr="00F84642">
        <w:rPr>
          <w:rFonts w:ascii="Times New Roman" w:hAnsi="Times New Roman" w:cs="Times New Roman"/>
        </w:rPr>
        <w:t>. Sci. 59: 1429–1440.</w:t>
      </w:r>
    </w:p>
    <w:p w14:paraId="603E93AC" w14:textId="77777777" w:rsidR="00A01347" w:rsidRPr="00F84642" w:rsidRDefault="00A01347" w:rsidP="006D07CD">
      <w:pPr>
        <w:pStyle w:val="Bibliography"/>
        <w:spacing w:after="0" w:line="480" w:lineRule="auto"/>
        <w:rPr>
          <w:rFonts w:ascii="Times New Roman" w:hAnsi="Times New Roman" w:cs="Times New Roman"/>
        </w:rPr>
      </w:pPr>
      <w:proofErr w:type="spellStart"/>
      <w:r w:rsidRPr="00F84642">
        <w:rPr>
          <w:rFonts w:ascii="Times New Roman" w:hAnsi="Times New Roman" w:cs="Times New Roman"/>
        </w:rPr>
        <w:t>Lowerre</w:t>
      </w:r>
      <w:proofErr w:type="spellEnd"/>
      <w:r w:rsidRPr="00F84642">
        <w:rPr>
          <w:rFonts w:ascii="Times New Roman" w:hAnsi="Times New Roman" w:cs="Times New Roman"/>
        </w:rPr>
        <w:t>-Barbieri, S. K. et al. 2019. Preparing for the future: integrating spatial ecology into ecosystem-based management. - ICES J. Mar. Sci. 76: 467–476.</w:t>
      </w:r>
    </w:p>
    <w:p w14:paraId="5BB42717" w14:textId="699C57B8" w:rsidR="00A01347" w:rsidRPr="00F84642" w:rsidRDefault="00A01347" w:rsidP="006D07CD">
      <w:pPr>
        <w:pStyle w:val="Bibliography"/>
        <w:spacing w:after="0" w:line="480" w:lineRule="auto"/>
        <w:rPr>
          <w:rFonts w:ascii="Times New Roman" w:hAnsi="Times New Roman" w:cs="Times New Roman"/>
        </w:rPr>
      </w:pPr>
      <w:proofErr w:type="spellStart"/>
      <w:r w:rsidRPr="00F84642">
        <w:rPr>
          <w:rFonts w:ascii="Times New Roman" w:hAnsi="Times New Roman" w:cs="Times New Roman"/>
        </w:rPr>
        <w:t>Maechler</w:t>
      </w:r>
      <w:proofErr w:type="spellEnd"/>
      <w:r w:rsidRPr="00F84642">
        <w:rPr>
          <w:rFonts w:ascii="Times New Roman" w:hAnsi="Times New Roman" w:cs="Times New Roman"/>
        </w:rPr>
        <w:t xml:space="preserve">, M. et al. 2019. </w:t>
      </w:r>
      <w:proofErr w:type="gramStart"/>
      <w:r w:rsidRPr="00F84642">
        <w:rPr>
          <w:rFonts w:ascii="Times New Roman" w:hAnsi="Times New Roman" w:cs="Times New Roman"/>
        </w:rPr>
        <w:t>cluster</w:t>
      </w:r>
      <w:proofErr w:type="gramEnd"/>
      <w:r w:rsidRPr="00F84642">
        <w:rPr>
          <w:rFonts w:ascii="Times New Roman" w:hAnsi="Times New Roman" w:cs="Times New Roman"/>
        </w:rPr>
        <w:t xml:space="preserve">: Cluster </w:t>
      </w:r>
      <w:r w:rsidR="000610F6">
        <w:rPr>
          <w:rFonts w:ascii="Times New Roman" w:hAnsi="Times New Roman" w:cs="Times New Roman"/>
        </w:rPr>
        <w:t>a</w:t>
      </w:r>
      <w:r w:rsidRPr="00F84642">
        <w:rPr>
          <w:rFonts w:ascii="Times New Roman" w:hAnsi="Times New Roman" w:cs="Times New Roman"/>
        </w:rPr>
        <w:t xml:space="preserve">nalysis </w:t>
      </w:r>
      <w:r w:rsidR="000610F6">
        <w:rPr>
          <w:rFonts w:ascii="Times New Roman" w:hAnsi="Times New Roman" w:cs="Times New Roman"/>
        </w:rPr>
        <w:t>b</w:t>
      </w:r>
      <w:r w:rsidRPr="00F84642">
        <w:rPr>
          <w:rFonts w:ascii="Times New Roman" w:hAnsi="Times New Roman" w:cs="Times New Roman"/>
        </w:rPr>
        <w:t xml:space="preserve">asics and </w:t>
      </w:r>
      <w:r w:rsidR="000610F6">
        <w:rPr>
          <w:rFonts w:ascii="Times New Roman" w:hAnsi="Times New Roman" w:cs="Times New Roman"/>
        </w:rPr>
        <w:t>e</w:t>
      </w:r>
      <w:r w:rsidRPr="00F84642">
        <w:rPr>
          <w:rFonts w:ascii="Times New Roman" w:hAnsi="Times New Roman" w:cs="Times New Roman"/>
        </w:rPr>
        <w:t>xtensions.</w:t>
      </w:r>
      <w:r w:rsidR="000610F6">
        <w:rPr>
          <w:rFonts w:ascii="Times New Roman" w:hAnsi="Times New Roman" w:cs="Times New Roman"/>
        </w:rPr>
        <w:t xml:space="preserve"> </w:t>
      </w:r>
      <w:r w:rsidR="000610F6" w:rsidRPr="000610F6">
        <w:rPr>
          <w:rFonts w:ascii="Times New Roman" w:hAnsi="Times New Roman" w:cs="Times New Roman"/>
        </w:rPr>
        <w:t>R package version 2.1.0</w:t>
      </w:r>
      <w:r w:rsidR="000610F6">
        <w:rPr>
          <w:rFonts w:ascii="Times New Roman" w:hAnsi="Times New Roman" w:cs="Times New Roman"/>
        </w:rPr>
        <w:t>.</w:t>
      </w:r>
    </w:p>
    <w:p w14:paraId="294C95FE" w14:textId="77777777" w:rsidR="00A01347" w:rsidRPr="00F84642" w:rsidRDefault="00A01347" w:rsidP="006D07CD">
      <w:pPr>
        <w:pStyle w:val="Bibliography"/>
        <w:spacing w:after="0" w:line="480" w:lineRule="auto"/>
        <w:rPr>
          <w:rFonts w:ascii="Times New Roman" w:hAnsi="Times New Roman" w:cs="Times New Roman"/>
        </w:rPr>
      </w:pPr>
      <w:r w:rsidRPr="00F84642">
        <w:rPr>
          <w:rFonts w:ascii="Times New Roman" w:hAnsi="Times New Roman" w:cs="Times New Roman"/>
        </w:rPr>
        <w:t>Nicholson, M. D. and Jennings, S. 2004. Testing candidate indicators to support ecosystem-based management: the power of monitoring surveys to detect temporal trends in fish community metrics. - ICES J. Mar. Sci. 61: 35–42.</w:t>
      </w:r>
    </w:p>
    <w:p w14:paraId="7A22F5AE" w14:textId="77777777" w:rsidR="00A01347" w:rsidRPr="00F84642" w:rsidRDefault="00A01347" w:rsidP="006D07CD">
      <w:pPr>
        <w:pStyle w:val="Bibliography"/>
        <w:spacing w:after="0" w:line="480" w:lineRule="auto"/>
        <w:rPr>
          <w:rFonts w:ascii="Times New Roman" w:hAnsi="Times New Roman" w:cs="Times New Roman"/>
        </w:rPr>
      </w:pPr>
      <w:r w:rsidRPr="00F84642">
        <w:rPr>
          <w:rFonts w:ascii="Times New Roman" w:hAnsi="Times New Roman" w:cs="Times New Roman"/>
        </w:rPr>
        <w:t>Pinsky, M. L. et al. 2013. Marine taxa track local climate velocities. - Science 341: 1239–1242.</w:t>
      </w:r>
    </w:p>
    <w:p w14:paraId="2A380E32" w14:textId="7F62208F" w:rsidR="00A01347" w:rsidRPr="00F84642" w:rsidRDefault="00A01347" w:rsidP="006D07CD">
      <w:pPr>
        <w:pStyle w:val="Bibliography"/>
        <w:spacing w:after="0" w:line="480" w:lineRule="auto"/>
        <w:rPr>
          <w:rFonts w:ascii="Times New Roman" w:hAnsi="Times New Roman" w:cs="Times New Roman"/>
        </w:rPr>
      </w:pPr>
      <w:r w:rsidRPr="00F84642">
        <w:rPr>
          <w:rFonts w:ascii="Times New Roman" w:hAnsi="Times New Roman" w:cs="Times New Roman"/>
        </w:rPr>
        <w:t xml:space="preserve">R Core Team 2019. R: A </w:t>
      </w:r>
      <w:r w:rsidR="000610F6">
        <w:rPr>
          <w:rFonts w:ascii="Times New Roman" w:hAnsi="Times New Roman" w:cs="Times New Roman"/>
        </w:rPr>
        <w:t>l</w:t>
      </w:r>
      <w:r w:rsidRPr="00F84642">
        <w:rPr>
          <w:rFonts w:ascii="Times New Roman" w:hAnsi="Times New Roman" w:cs="Times New Roman"/>
        </w:rPr>
        <w:t xml:space="preserve">anguage and </w:t>
      </w:r>
      <w:r w:rsidR="000610F6">
        <w:rPr>
          <w:rFonts w:ascii="Times New Roman" w:hAnsi="Times New Roman" w:cs="Times New Roman"/>
        </w:rPr>
        <w:t>e</w:t>
      </w:r>
      <w:r w:rsidRPr="00F84642">
        <w:rPr>
          <w:rFonts w:ascii="Times New Roman" w:hAnsi="Times New Roman" w:cs="Times New Roman"/>
        </w:rPr>
        <w:t xml:space="preserve">nvironment for </w:t>
      </w:r>
      <w:r w:rsidR="000610F6">
        <w:rPr>
          <w:rFonts w:ascii="Times New Roman" w:hAnsi="Times New Roman" w:cs="Times New Roman"/>
        </w:rPr>
        <w:t>s</w:t>
      </w:r>
      <w:r w:rsidRPr="00F84642">
        <w:rPr>
          <w:rFonts w:ascii="Times New Roman" w:hAnsi="Times New Roman" w:cs="Times New Roman"/>
        </w:rPr>
        <w:t xml:space="preserve">tatistical </w:t>
      </w:r>
      <w:r w:rsidR="000610F6">
        <w:rPr>
          <w:rFonts w:ascii="Times New Roman" w:hAnsi="Times New Roman" w:cs="Times New Roman"/>
        </w:rPr>
        <w:t>c</w:t>
      </w:r>
      <w:r w:rsidRPr="00F84642">
        <w:rPr>
          <w:rFonts w:ascii="Times New Roman" w:hAnsi="Times New Roman" w:cs="Times New Roman"/>
        </w:rPr>
        <w:t>omputing. - R Foundation for Statistical Computing.</w:t>
      </w:r>
    </w:p>
    <w:p w14:paraId="438562EA" w14:textId="3C1A4A30" w:rsidR="00A01347" w:rsidRPr="00F84642" w:rsidRDefault="00A01347" w:rsidP="006D07CD">
      <w:pPr>
        <w:pStyle w:val="Bibliography"/>
        <w:spacing w:after="0" w:line="480" w:lineRule="auto"/>
        <w:rPr>
          <w:rFonts w:ascii="Times New Roman" w:hAnsi="Times New Roman" w:cs="Times New Roman"/>
        </w:rPr>
      </w:pPr>
      <w:r w:rsidRPr="00F84642">
        <w:rPr>
          <w:rFonts w:ascii="Times New Roman" w:hAnsi="Times New Roman" w:cs="Times New Roman"/>
        </w:rPr>
        <w:lastRenderedPageBreak/>
        <w:t xml:space="preserve">Reynolds, A. P. et al. 2006. Clustering </w:t>
      </w:r>
      <w:r w:rsidR="000610F6">
        <w:rPr>
          <w:rFonts w:ascii="Times New Roman" w:hAnsi="Times New Roman" w:cs="Times New Roman"/>
        </w:rPr>
        <w:t>r</w:t>
      </w:r>
      <w:r w:rsidRPr="00F84642">
        <w:rPr>
          <w:rFonts w:ascii="Times New Roman" w:hAnsi="Times New Roman" w:cs="Times New Roman"/>
        </w:rPr>
        <w:t xml:space="preserve">ules: A </w:t>
      </w:r>
      <w:r w:rsidR="000610F6" w:rsidRPr="00F84642">
        <w:rPr>
          <w:rFonts w:ascii="Times New Roman" w:hAnsi="Times New Roman" w:cs="Times New Roman"/>
        </w:rPr>
        <w:t>comparison of partitioning and hierarchical clustering algorithms</w:t>
      </w:r>
      <w:r w:rsidRPr="00F84642">
        <w:rPr>
          <w:rFonts w:ascii="Times New Roman" w:hAnsi="Times New Roman" w:cs="Times New Roman"/>
        </w:rPr>
        <w:t>. - J. Math. Model. Algorithms 5: 475–504.</w:t>
      </w:r>
    </w:p>
    <w:p w14:paraId="6F30812C" w14:textId="77777777" w:rsidR="00A01347" w:rsidRPr="00F84642" w:rsidRDefault="00A01347" w:rsidP="006D07CD">
      <w:pPr>
        <w:pStyle w:val="Bibliography"/>
        <w:spacing w:after="0" w:line="480" w:lineRule="auto"/>
        <w:rPr>
          <w:rFonts w:ascii="Times New Roman" w:hAnsi="Times New Roman" w:cs="Times New Roman"/>
        </w:rPr>
      </w:pPr>
      <w:r w:rsidRPr="00F84642">
        <w:rPr>
          <w:rFonts w:ascii="Times New Roman" w:hAnsi="Times New Roman" w:cs="Times New Roman"/>
        </w:rPr>
        <w:t>Rice, J. C. and Garcia, S. M. 2011. Fisheries, food security, climate change, and biodiversity: characteristics of the sector and perspectives on emerging issues. - ICES J. Mar. Sci. 68: 1343–1353.</w:t>
      </w:r>
    </w:p>
    <w:p w14:paraId="32D870D8" w14:textId="5B4325AB" w:rsidR="00A01347" w:rsidRPr="00F84642" w:rsidRDefault="00A01347" w:rsidP="006D07CD">
      <w:pPr>
        <w:pStyle w:val="Bibliography"/>
        <w:spacing w:after="0" w:line="480" w:lineRule="auto"/>
        <w:rPr>
          <w:rFonts w:ascii="Times New Roman" w:hAnsi="Times New Roman" w:cs="Times New Roman"/>
        </w:rPr>
      </w:pPr>
      <w:proofErr w:type="spellStart"/>
      <w:r w:rsidRPr="00F84642">
        <w:rPr>
          <w:rFonts w:ascii="Times New Roman" w:hAnsi="Times New Roman" w:cs="Times New Roman"/>
        </w:rPr>
        <w:t>Royle</w:t>
      </w:r>
      <w:proofErr w:type="spellEnd"/>
      <w:r w:rsidRPr="00F84642">
        <w:rPr>
          <w:rFonts w:ascii="Times New Roman" w:hAnsi="Times New Roman" w:cs="Times New Roman"/>
        </w:rPr>
        <w:t xml:space="preserve">, J. A. and Young, K. V. 2008. A </w:t>
      </w:r>
      <w:r w:rsidR="000610F6" w:rsidRPr="00F84642">
        <w:rPr>
          <w:rFonts w:ascii="Times New Roman" w:hAnsi="Times New Roman" w:cs="Times New Roman"/>
        </w:rPr>
        <w:t>hierarchical model for spatial capture–recapture data</w:t>
      </w:r>
      <w:r w:rsidRPr="00F84642">
        <w:rPr>
          <w:rFonts w:ascii="Times New Roman" w:hAnsi="Times New Roman" w:cs="Times New Roman"/>
        </w:rPr>
        <w:t>. - Ecology 89: 2281–2289.</w:t>
      </w:r>
    </w:p>
    <w:p w14:paraId="346DCBB0" w14:textId="77777777" w:rsidR="00A01347" w:rsidRPr="00F84642" w:rsidRDefault="00A01347" w:rsidP="006D07CD">
      <w:pPr>
        <w:pStyle w:val="Bibliography"/>
        <w:spacing w:after="0" w:line="480" w:lineRule="auto"/>
        <w:rPr>
          <w:rFonts w:ascii="Times New Roman" w:hAnsi="Times New Roman" w:cs="Times New Roman"/>
        </w:rPr>
      </w:pPr>
      <w:proofErr w:type="spellStart"/>
      <w:r w:rsidRPr="00F84642">
        <w:rPr>
          <w:rFonts w:ascii="Times New Roman" w:hAnsi="Times New Roman" w:cs="Times New Roman"/>
        </w:rPr>
        <w:t>Royle</w:t>
      </w:r>
      <w:proofErr w:type="spellEnd"/>
      <w:r w:rsidRPr="00F84642">
        <w:rPr>
          <w:rFonts w:ascii="Times New Roman" w:hAnsi="Times New Roman" w:cs="Times New Roman"/>
        </w:rPr>
        <w:t>, J. A. et al. 2013. Spatial capture-recapture. - Academic Press.</w:t>
      </w:r>
    </w:p>
    <w:p w14:paraId="732BE1C5" w14:textId="77777777" w:rsidR="00A01347" w:rsidRPr="00F84642" w:rsidRDefault="00A01347" w:rsidP="006D07CD">
      <w:pPr>
        <w:pStyle w:val="Bibliography"/>
        <w:spacing w:after="0" w:line="480" w:lineRule="auto"/>
        <w:rPr>
          <w:rFonts w:ascii="Times New Roman" w:hAnsi="Times New Roman" w:cs="Times New Roman"/>
        </w:rPr>
      </w:pPr>
      <w:r w:rsidRPr="00F84642">
        <w:rPr>
          <w:rFonts w:ascii="Times New Roman" w:hAnsi="Times New Roman" w:cs="Times New Roman"/>
        </w:rPr>
        <w:t xml:space="preserve">Rue, H. et al. 2009. Approximate Bayesian inference for latent Gaussian models by using integrated nested Laplace approximations. - J. R. Stat. Soc. Ser. B Stat. </w:t>
      </w:r>
      <w:proofErr w:type="spellStart"/>
      <w:r w:rsidRPr="00F84642">
        <w:rPr>
          <w:rFonts w:ascii="Times New Roman" w:hAnsi="Times New Roman" w:cs="Times New Roman"/>
        </w:rPr>
        <w:t>Methodol</w:t>
      </w:r>
      <w:proofErr w:type="spellEnd"/>
      <w:r w:rsidRPr="00F84642">
        <w:rPr>
          <w:rFonts w:ascii="Times New Roman" w:hAnsi="Times New Roman" w:cs="Times New Roman"/>
        </w:rPr>
        <w:t>. 71: 319–392.</w:t>
      </w:r>
    </w:p>
    <w:p w14:paraId="758143AA" w14:textId="77777777" w:rsidR="00A01347" w:rsidRPr="00F84642" w:rsidRDefault="00A01347" w:rsidP="006D07CD">
      <w:pPr>
        <w:pStyle w:val="Bibliography"/>
        <w:spacing w:after="0" w:line="480" w:lineRule="auto"/>
        <w:rPr>
          <w:rFonts w:ascii="Times New Roman" w:hAnsi="Times New Roman" w:cs="Times New Roman"/>
        </w:rPr>
      </w:pPr>
      <w:r w:rsidRPr="00F84642">
        <w:rPr>
          <w:rFonts w:ascii="Times New Roman" w:hAnsi="Times New Roman" w:cs="Times New Roman"/>
        </w:rPr>
        <w:t xml:space="preserve">Ruiz-Cárdenas, R. et al. 2012. Direct fitting of dynamic models using integrated nested Laplace approximations — INLA. - </w:t>
      </w:r>
      <w:proofErr w:type="spellStart"/>
      <w:r w:rsidRPr="00F84642">
        <w:rPr>
          <w:rFonts w:ascii="Times New Roman" w:hAnsi="Times New Roman" w:cs="Times New Roman"/>
        </w:rPr>
        <w:t>Comput</w:t>
      </w:r>
      <w:proofErr w:type="spellEnd"/>
      <w:r w:rsidRPr="00F84642">
        <w:rPr>
          <w:rFonts w:ascii="Times New Roman" w:hAnsi="Times New Roman" w:cs="Times New Roman"/>
        </w:rPr>
        <w:t>. Stat. Data Anal. 56: 1808–1828.</w:t>
      </w:r>
    </w:p>
    <w:p w14:paraId="7B0DCFC2" w14:textId="77777777" w:rsidR="00A01347" w:rsidRPr="00F84642" w:rsidRDefault="00A01347" w:rsidP="006D07CD">
      <w:pPr>
        <w:pStyle w:val="Bibliography"/>
        <w:spacing w:after="0" w:line="480" w:lineRule="auto"/>
        <w:rPr>
          <w:rFonts w:ascii="Times New Roman" w:hAnsi="Times New Roman" w:cs="Times New Roman"/>
        </w:rPr>
      </w:pPr>
      <w:proofErr w:type="spellStart"/>
      <w:r w:rsidRPr="00F84642">
        <w:rPr>
          <w:rFonts w:ascii="Times New Roman" w:hAnsi="Times New Roman" w:cs="Times New Roman"/>
        </w:rPr>
        <w:t>Sagarin</w:t>
      </w:r>
      <w:proofErr w:type="spellEnd"/>
      <w:r w:rsidRPr="00F84642">
        <w:rPr>
          <w:rFonts w:ascii="Times New Roman" w:hAnsi="Times New Roman" w:cs="Times New Roman"/>
        </w:rPr>
        <w:t xml:space="preserve">, R. D. and Gaines, S. D. 2002. The ‘abundant </w:t>
      </w:r>
      <w:proofErr w:type="spellStart"/>
      <w:r w:rsidRPr="00F84642">
        <w:rPr>
          <w:rFonts w:ascii="Times New Roman" w:hAnsi="Times New Roman" w:cs="Times New Roman"/>
        </w:rPr>
        <w:t>centre</w:t>
      </w:r>
      <w:proofErr w:type="spellEnd"/>
      <w:r w:rsidRPr="00F84642">
        <w:rPr>
          <w:rFonts w:ascii="Times New Roman" w:hAnsi="Times New Roman" w:cs="Times New Roman"/>
        </w:rPr>
        <w:t>’ distribution: to what extent is it a biogeographical rule? - Ecol. Lett. 5: 137–147.</w:t>
      </w:r>
    </w:p>
    <w:p w14:paraId="5BE8412F" w14:textId="77777777" w:rsidR="00A01347" w:rsidRPr="00F84642" w:rsidRDefault="00A01347" w:rsidP="006D07CD">
      <w:pPr>
        <w:pStyle w:val="Bibliography"/>
        <w:spacing w:after="0" w:line="480" w:lineRule="auto"/>
        <w:rPr>
          <w:rFonts w:ascii="Times New Roman" w:hAnsi="Times New Roman" w:cs="Times New Roman"/>
        </w:rPr>
      </w:pPr>
      <w:proofErr w:type="spellStart"/>
      <w:r w:rsidRPr="00F84642">
        <w:rPr>
          <w:rFonts w:ascii="Times New Roman" w:hAnsi="Times New Roman" w:cs="Times New Roman"/>
        </w:rPr>
        <w:t>Sagarin</w:t>
      </w:r>
      <w:proofErr w:type="spellEnd"/>
      <w:r w:rsidRPr="00F84642">
        <w:rPr>
          <w:rFonts w:ascii="Times New Roman" w:hAnsi="Times New Roman" w:cs="Times New Roman"/>
        </w:rPr>
        <w:t xml:space="preserve">, R. D. et al. 2006. Moving beyond assumptions to understand abundance distributions across the ranges of species. - Trends Ecol. </w:t>
      </w:r>
      <w:proofErr w:type="spellStart"/>
      <w:r w:rsidRPr="00F84642">
        <w:rPr>
          <w:rFonts w:ascii="Times New Roman" w:hAnsi="Times New Roman" w:cs="Times New Roman"/>
        </w:rPr>
        <w:t>Evol</w:t>
      </w:r>
      <w:proofErr w:type="spellEnd"/>
      <w:r w:rsidRPr="00F84642">
        <w:rPr>
          <w:rFonts w:ascii="Times New Roman" w:hAnsi="Times New Roman" w:cs="Times New Roman"/>
        </w:rPr>
        <w:t>. 21: 524–530.</w:t>
      </w:r>
    </w:p>
    <w:p w14:paraId="78197DB7" w14:textId="77777777" w:rsidR="00A01347" w:rsidRPr="00F84642" w:rsidRDefault="00A01347" w:rsidP="006D07CD">
      <w:pPr>
        <w:pStyle w:val="Bibliography"/>
        <w:spacing w:after="0" w:line="480" w:lineRule="auto"/>
        <w:rPr>
          <w:rFonts w:ascii="Times New Roman" w:hAnsi="Times New Roman" w:cs="Times New Roman"/>
        </w:rPr>
      </w:pPr>
      <w:r w:rsidRPr="00F84642">
        <w:rPr>
          <w:rFonts w:ascii="Times New Roman" w:hAnsi="Times New Roman" w:cs="Times New Roman"/>
        </w:rPr>
        <w:t xml:space="preserve">Shelton, A. O. et al. 2014. Spatial semiparametric models improve estimates of species abundance and distribution. - Can. J. Fish. </w:t>
      </w:r>
      <w:proofErr w:type="spellStart"/>
      <w:r w:rsidRPr="00F84642">
        <w:rPr>
          <w:rFonts w:ascii="Times New Roman" w:hAnsi="Times New Roman" w:cs="Times New Roman"/>
        </w:rPr>
        <w:t>Aquat</w:t>
      </w:r>
      <w:proofErr w:type="spellEnd"/>
      <w:r w:rsidRPr="00F84642">
        <w:rPr>
          <w:rFonts w:ascii="Times New Roman" w:hAnsi="Times New Roman" w:cs="Times New Roman"/>
        </w:rPr>
        <w:t>. Sci. 71: 1655–1666.</w:t>
      </w:r>
    </w:p>
    <w:p w14:paraId="04F8C6ED" w14:textId="4113BEDB" w:rsidR="00A01347" w:rsidRPr="00F84642" w:rsidRDefault="00A01347" w:rsidP="006D07CD">
      <w:pPr>
        <w:pStyle w:val="Bibliography"/>
        <w:spacing w:after="0" w:line="480" w:lineRule="auto"/>
        <w:rPr>
          <w:rFonts w:ascii="Times New Roman" w:hAnsi="Times New Roman" w:cs="Times New Roman"/>
        </w:rPr>
      </w:pPr>
      <w:r w:rsidRPr="00F84642">
        <w:rPr>
          <w:rFonts w:ascii="Times New Roman" w:hAnsi="Times New Roman" w:cs="Times New Roman"/>
        </w:rPr>
        <w:t xml:space="preserve">Stock, B. C. et al. 2019. Comparing predictions of fisheries bycatch using multiple spatiotemporal species distribution model frameworks. - Can. J. Fish. </w:t>
      </w:r>
      <w:proofErr w:type="spellStart"/>
      <w:r w:rsidRPr="00F84642">
        <w:rPr>
          <w:rFonts w:ascii="Times New Roman" w:hAnsi="Times New Roman" w:cs="Times New Roman"/>
        </w:rPr>
        <w:t>Aquat</w:t>
      </w:r>
      <w:proofErr w:type="spellEnd"/>
      <w:r w:rsidRPr="00F84642">
        <w:rPr>
          <w:rFonts w:ascii="Times New Roman" w:hAnsi="Times New Roman" w:cs="Times New Roman"/>
        </w:rPr>
        <w:t xml:space="preserve">. Sci. </w:t>
      </w:r>
      <w:r w:rsidR="000610F6">
        <w:rPr>
          <w:rFonts w:ascii="Times New Roman" w:hAnsi="Times New Roman" w:cs="Times New Roman"/>
        </w:rPr>
        <w:t xml:space="preserve">77: </w:t>
      </w:r>
      <w:r w:rsidR="000610F6" w:rsidRPr="000610F6">
        <w:rPr>
          <w:rFonts w:ascii="Times New Roman" w:hAnsi="Times New Roman" w:cs="Times New Roman"/>
        </w:rPr>
        <w:t>146</w:t>
      </w:r>
      <w:r w:rsidR="000610F6" w:rsidRPr="00F84642">
        <w:rPr>
          <w:rFonts w:ascii="Times New Roman" w:hAnsi="Times New Roman" w:cs="Times New Roman"/>
        </w:rPr>
        <w:t>–</w:t>
      </w:r>
      <w:r w:rsidR="000610F6" w:rsidRPr="000610F6">
        <w:rPr>
          <w:rFonts w:ascii="Times New Roman" w:hAnsi="Times New Roman" w:cs="Times New Roman"/>
        </w:rPr>
        <w:t>163</w:t>
      </w:r>
      <w:r w:rsidR="000610F6">
        <w:rPr>
          <w:rFonts w:ascii="Times New Roman" w:hAnsi="Times New Roman" w:cs="Times New Roman"/>
        </w:rPr>
        <w:t>.</w:t>
      </w:r>
    </w:p>
    <w:p w14:paraId="56F425DF" w14:textId="77777777" w:rsidR="00A01347" w:rsidRPr="00F84642" w:rsidRDefault="00A01347" w:rsidP="006D07CD">
      <w:pPr>
        <w:pStyle w:val="Bibliography"/>
        <w:spacing w:after="0" w:line="480" w:lineRule="auto"/>
        <w:rPr>
          <w:rFonts w:ascii="Times New Roman" w:hAnsi="Times New Roman" w:cs="Times New Roman"/>
        </w:rPr>
      </w:pPr>
      <w:r w:rsidRPr="00F84642">
        <w:rPr>
          <w:rFonts w:ascii="Times New Roman" w:hAnsi="Times New Roman" w:cs="Times New Roman"/>
        </w:rPr>
        <w:lastRenderedPageBreak/>
        <w:t xml:space="preserve">Thorson, J. T. 2019a. Measuring the impact of oceanographic indices on species distribution shifts: The spatially varying effect of cold-pool extent in the eastern Bering Sea. - </w:t>
      </w:r>
      <w:proofErr w:type="spellStart"/>
      <w:r w:rsidRPr="00F84642">
        <w:rPr>
          <w:rFonts w:ascii="Times New Roman" w:hAnsi="Times New Roman" w:cs="Times New Roman"/>
        </w:rPr>
        <w:t>Limnol</w:t>
      </w:r>
      <w:proofErr w:type="spellEnd"/>
      <w:r w:rsidRPr="00F84642">
        <w:rPr>
          <w:rFonts w:ascii="Times New Roman" w:hAnsi="Times New Roman" w:cs="Times New Roman"/>
        </w:rPr>
        <w:t xml:space="preserve">. </w:t>
      </w:r>
      <w:proofErr w:type="spellStart"/>
      <w:r w:rsidRPr="00F84642">
        <w:rPr>
          <w:rFonts w:ascii="Times New Roman" w:hAnsi="Times New Roman" w:cs="Times New Roman"/>
        </w:rPr>
        <w:t>Oceanogr</w:t>
      </w:r>
      <w:proofErr w:type="spellEnd"/>
      <w:r w:rsidRPr="00F84642">
        <w:rPr>
          <w:rFonts w:ascii="Times New Roman" w:hAnsi="Times New Roman" w:cs="Times New Roman"/>
        </w:rPr>
        <w:t>. 64: 2632–2645.</w:t>
      </w:r>
    </w:p>
    <w:p w14:paraId="6F5DC98E" w14:textId="77777777" w:rsidR="00A01347" w:rsidRPr="00F84642" w:rsidRDefault="00A01347" w:rsidP="006D07CD">
      <w:pPr>
        <w:pStyle w:val="Bibliography"/>
        <w:spacing w:after="0" w:line="480" w:lineRule="auto"/>
        <w:rPr>
          <w:rFonts w:ascii="Times New Roman" w:hAnsi="Times New Roman" w:cs="Times New Roman"/>
        </w:rPr>
      </w:pPr>
      <w:r w:rsidRPr="00F84642">
        <w:rPr>
          <w:rFonts w:ascii="Times New Roman" w:hAnsi="Times New Roman" w:cs="Times New Roman"/>
        </w:rPr>
        <w:t xml:space="preserve">Thorson, J. T. 2019b. Guidance for decisions using the Vector Autoregressive </w:t>
      </w:r>
      <w:proofErr w:type="spellStart"/>
      <w:r w:rsidRPr="00F84642">
        <w:rPr>
          <w:rFonts w:ascii="Times New Roman" w:hAnsi="Times New Roman" w:cs="Times New Roman"/>
        </w:rPr>
        <w:t>Spatio</w:t>
      </w:r>
      <w:proofErr w:type="spellEnd"/>
      <w:r w:rsidRPr="00F84642">
        <w:rPr>
          <w:rFonts w:ascii="Times New Roman" w:hAnsi="Times New Roman" w:cs="Times New Roman"/>
        </w:rPr>
        <w:t>-Temporal (VAST) package in stock, ecosystem, habitat and climate assessments. - Fish. Res. 210: 143–161.</w:t>
      </w:r>
    </w:p>
    <w:p w14:paraId="7C0A3BDA" w14:textId="77777777" w:rsidR="00A01347" w:rsidRPr="00F84642" w:rsidRDefault="00A01347" w:rsidP="006D07CD">
      <w:pPr>
        <w:pStyle w:val="Bibliography"/>
        <w:spacing w:after="0" w:line="480" w:lineRule="auto"/>
        <w:rPr>
          <w:rFonts w:ascii="Times New Roman" w:hAnsi="Times New Roman" w:cs="Times New Roman"/>
        </w:rPr>
      </w:pPr>
      <w:r w:rsidRPr="00F84642">
        <w:rPr>
          <w:rFonts w:ascii="Times New Roman" w:hAnsi="Times New Roman" w:cs="Times New Roman"/>
        </w:rPr>
        <w:t>Thorson, J. T. and Barnett, L. A. K. 2017. Comparing estimates of abundance trends and distribution shifts using single- and multispecies models of fishes and biogenic habitat. - ICES J. Mar. Sci. 74: 1311–1321.</w:t>
      </w:r>
    </w:p>
    <w:p w14:paraId="2FA7105C" w14:textId="77777777" w:rsidR="00A01347" w:rsidRPr="00F84642" w:rsidRDefault="00A01347" w:rsidP="006D07CD">
      <w:pPr>
        <w:pStyle w:val="Bibliography"/>
        <w:spacing w:after="0" w:line="480" w:lineRule="auto"/>
        <w:rPr>
          <w:rFonts w:ascii="Times New Roman" w:hAnsi="Times New Roman" w:cs="Times New Roman"/>
        </w:rPr>
      </w:pPr>
      <w:r w:rsidRPr="00F84642">
        <w:rPr>
          <w:rFonts w:ascii="Times New Roman" w:hAnsi="Times New Roman" w:cs="Times New Roman"/>
        </w:rPr>
        <w:t xml:space="preserve">Thorson, J. T. et al. 2015. </w:t>
      </w:r>
      <w:proofErr w:type="spellStart"/>
      <w:r w:rsidRPr="00F84642">
        <w:rPr>
          <w:rFonts w:ascii="Times New Roman" w:hAnsi="Times New Roman" w:cs="Times New Roman"/>
        </w:rPr>
        <w:t>Geostatistical</w:t>
      </w:r>
      <w:proofErr w:type="spellEnd"/>
      <w:r w:rsidRPr="00F84642">
        <w:rPr>
          <w:rFonts w:ascii="Times New Roman" w:hAnsi="Times New Roman" w:cs="Times New Roman"/>
        </w:rPr>
        <w:t xml:space="preserve"> delta-generalized linear mixed models improve precision for estimated abundance indices for West Coast </w:t>
      </w:r>
      <w:proofErr w:type="spellStart"/>
      <w:r w:rsidRPr="00F84642">
        <w:rPr>
          <w:rFonts w:ascii="Times New Roman" w:hAnsi="Times New Roman" w:cs="Times New Roman"/>
        </w:rPr>
        <w:t>groundfishes</w:t>
      </w:r>
      <w:proofErr w:type="spellEnd"/>
      <w:r w:rsidRPr="00F84642">
        <w:rPr>
          <w:rFonts w:ascii="Times New Roman" w:hAnsi="Times New Roman" w:cs="Times New Roman"/>
        </w:rPr>
        <w:t>. - ICES J. Mar. Sci. 72: 1297–1310.</w:t>
      </w:r>
    </w:p>
    <w:p w14:paraId="372B5E22" w14:textId="77777777" w:rsidR="00A01347" w:rsidRPr="00F84642" w:rsidRDefault="00A01347" w:rsidP="006D07CD">
      <w:pPr>
        <w:pStyle w:val="Bibliography"/>
        <w:spacing w:after="0" w:line="480" w:lineRule="auto"/>
        <w:rPr>
          <w:rFonts w:ascii="Times New Roman" w:hAnsi="Times New Roman" w:cs="Times New Roman"/>
        </w:rPr>
      </w:pPr>
      <w:r w:rsidRPr="00F84642">
        <w:rPr>
          <w:rFonts w:ascii="Times New Roman" w:hAnsi="Times New Roman" w:cs="Times New Roman"/>
        </w:rPr>
        <w:t xml:space="preserve">Thorson, J. T. et al. 2016a. Model-based inference for estimating shifts in species distribution, area occupied and </w:t>
      </w:r>
      <w:proofErr w:type="spellStart"/>
      <w:r w:rsidRPr="00F84642">
        <w:rPr>
          <w:rFonts w:ascii="Times New Roman" w:hAnsi="Times New Roman" w:cs="Times New Roman"/>
        </w:rPr>
        <w:t>centre</w:t>
      </w:r>
      <w:proofErr w:type="spellEnd"/>
      <w:r w:rsidRPr="00F84642">
        <w:rPr>
          <w:rFonts w:ascii="Times New Roman" w:hAnsi="Times New Roman" w:cs="Times New Roman"/>
        </w:rPr>
        <w:t xml:space="preserve"> of gravity. - Methods Ecol. </w:t>
      </w:r>
      <w:proofErr w:type="spellStart"/>
      <w:r w:rsidRPr="00F84642">
        <w:rPr>
          <w:rFonts w:ascii="Times New Roman" w:hAnsi="Times New Roman" w:cs="Times New Roman"/>
        </w:rPr>
        <w:t>Evol</w:t>
      </w:r>
      <w:proofErr w:type="spellEnd"/>
      <w:r w:rsidRPr="00F84642">
        <w:rPr>
          <w:rFonts w:ascii="Times New Roman" w:hAnsi="Times New Roman" w:cs="Times New Roman"/>
        </w:rPr>
        <w:t>. 7: 990–1002.</w:t>
      </w:r>
    </w:p>
    <w:p w14:paraId="15C7077C" w14:textId="74152E00" w:rsidR="00A01347" w:rsidRPr="00F84642" w:rsidRDefault="00A01347" w:rsidP="006D07CD">
      <w:pPr>
        <w:pStyle w:val="Bibliography"/>
        <w:spacing w:after="0" w:line="480" w:lineRule="auto"/>
        <w:rPr>
          <w:rFonts w:ascii="Times New Roman" w:hAnsi="Times New Roman" w:cs="Times New Roman"/>
        </w:rPr>
      </w:pPr>
      <w:r w:rsidRPr="00F84642">
        <w:rPr>
          <w:rFonts w:ascii="Times New Roman" w:hAnsi="Times New Roman" w:cs="Times New Roman"/>
        </w:rPr>
        <w:t xml:space="preserve">Thorson, J. T. et al. 2016b. Joint dynamic species distribution models: </w:t>
      </w:r>
      <w:r w:rsidR="000610F6">
        <w:rPr>
          <w:rFonts w:ascii="Times New Roman" w:hAnsi="Times New Roman" w:cs="Times New Roman"/>
        </w:rPr>
        <w:t>A</w:t>
      </w:r>
      <w:r w:rsidRPr="00F84642">
        <w:rPr>
          <w:rFonts w:ascii="Times New Roman" w:hAnsi="Times New Roman" w:cs="Times New Roman"/>
        </w:rPr>
        <w:t xml:space="preserve"> tool for community ordination and </w:t>
      </w:r>
      <w:proofErr w:type="spellStart"/>
      <w:r w:rsidRPr="00F84642">
        <w:rPr>
          <w:rFonts w:ascii="Times New Roman" w:hAnsi="Times New Roman" w:cs="Times New Roman"/>
        </w:rPr>
        <w:t>spatio</w:t>
      </w:r>
      <w:proofErr w:type="spellEnd"/>
      <w:r w:rsidRPr="00F84642">
        <w:rPr>
          <w:rFonts w:ascii="Times New Roman" w:hAnsi="Times New Roman" w:cs="Times New Roman"/>
        </w:rPr>
        <w:t xml:space="preserve">-temporal monitoring. - Glob. Ecol. </w:t>
      </w:r>
      <w:proofErr w:type="spellStart"/>
      <w:r w:rsidRPr="00F84642">
        <w:rPr>
          <w:rFonts w:ascii="Times New Roman" w:hAnsi="Times New Roman" w:cs="Times New Roman"/>
        </w:rPr>
        <w:t>Biogeogr</w:t>
      </w:r>
      <w:proofErr w:type="spellEnd"/>
      <w:r w:rsidRPr="00F84642">
        <w:rPr>
          <w:rFonts w:ascii="Times New Roman" w:hAnsi="Times New Roman" w:cs="Times New Roman"/>
        </w:rPr>
        <w:t>. 25: 1144–1158.</w:t>
      </w:r>
    </w:p>
    <w:p w14:paraId="0F76DE51" w14:textId="7C636B33" w:rsidR="00A01347" w:rsidRPr="00F84642" w:rsidRDefault="00A01347" w:rsidP="006D07CD">
      <w:pPr>
        <w:pStyle w:val="Bibliography"/>
        <w:spacing w:after="0" w:line="480" w:lineRule="auto"/>
        <w:rPr>
          <w:rFonts w:ascii="Times New Roman" w:hAnsi="Times New Roman" w:cs="Times New Roman"/>
        </w:rPr>
      </w:pPr>
      <w:proofErr w:type="spellStart"/>
      <w:r w:rsidRPr="00F84642">
        <w:rPr>
          <w:rFonts w:ascii="Times New Roman" w:hAnsi="Times New Roman" w:cs="Times New Roman"/>
        </w:rPr>
        <w:t>Tilman</w:t>
      </w:r>
      <w:proofErr w:type="spellEnd"/>
      <w:r w:rsidRPr="00F84642">
        <w:rPr>
          <w:rFonts w:ascii="Times New Roman" w:hAnsi="Times New Roman" w:cs="Times New Roman"/>
        </w:rPr>
        <w:t xml:space="preserve">, D. and </w:t>
      </w:r>
      <w:proofErr w:type="spellStart"/>
      <w:r w:rsidRPr="00F84642">
        <w:rPr>
          <w:rFonts w:ascii="Times New Roman" w:hAnsi="Times New Roman" w:cs="Times New Roman"/>
        </w:rPr>
        <w:t>Kareiva</w:t>
      </w:r>
      <w:proofErr w:type="spellEnd"/>
      <w:r w:rsidRPr="00F84642">
        <w:rPr>
          <w:rFonts w:ascii="Times New Roman" w:hAnsi="Times New Roman" w:cs="Times New Roman"/>
        </w:rPr>
        <w:t xml:space="preserve">, P. M. 1997. Spatial </w:t>
      </w:r>
      <w:r w:rsidR="000610F6">
        <w:rPr>
          <w:rFonts w:ascii="Times New Roman" w:hAnsi="Times New Roman" w:cs="Times New Roman"/>
        </w:rPr>
        <w:t>e</w:t>
      </w:r>
      <w:r w:rsidRPr="00F84642">
        <w:rPr>
          <w:rFonts w:ascii="Times New Roman" w:hAnsi="Times New Roman" w:cs="Times New Roman"/>
        </w:rPr>
        <w:t xml:space="preserve">cology: The </w:t>
      </w:r>
      <w:r w:rsidR="000610F6" w:rsidRPr="00F84642">
        <w:rPr>
          <w:rFonts w:ascii="Times New Roman" w:hAnsi="Times New Roman" w:cs="Times New Roman"/>
        </w:rPr>
        <w:t>role of space in population dynamics and interspecific interactions</w:t>
      </w:r>
      <w:r w:rsidRPr="00F84642">
        <w:rPr>
          <w:rFonts w:ascii="Times New Roman" w:hAnsi="Times New Roman" w:cs="Times New Roman"/>
        </w:rPr>
        <w:t>. - Princeton University Press.</w:t>
      </w:r>
    </w:p>
    <w:p w14:paraId="5E3B7ABA" w14:textId="77777777" w:rsidR="00A01347" w:rsidRPr="00F84642" w:rsidRDefault="00A01347" w:rsidP="006D07CD">
      <w:pPr>
        <w:pStyle w:val="Bibliography"/>
        <w:spacing w:after="0" w:line="480" w:lineRule="auto"/>
        <w:rPr>
          <w:rFonts w:ascii="Times New Roman" w:hAnsi="Times New Roman" w:cs="Times New Roman"/>
        </w:rPr>
      </w:pPr>
      <w:proofErr w:type="spellStart"/>
      <w:r w:rsidRPr="00F84642">
        <w:rPr>
          <w:rFonts w:ascii="Times New Roman" w:hAnsi="Times New Roman" w:cs="Times New Roman"/>
        </w:rPr>
        <w:t>Tingley</w:t>
      </w:r>
      <w:proofErr w:type="spellEnd"/>
      <w:r w:rsidRPr="00F84642">
        <w:rPr>
          <w:rFonts w:ascii="Times New Roman" w:hAnsi="Times New Roman" w:cs="Times New Roman"/>
        </w:rPr>
        <w:t xml:space="preserve">, M. W. and </w:t>
      </w:r>
      <w:proofErr w:type="spellStart"/>
      <w:r w:rsidRPr="00F84642">
        <w:rPr>
          <w:rFonts w:ascii="Times New Roman" w:hAnsi="Times New Roman" w:cs="Times New Roman"/>
        </w:rPr>
        <w:t>Beissinger</w:t>
      </w:r>
      <w:proofErr w:type="spellEnd"/>
      <w:r w:rsidRPr="00F84642">
        <w:rPr>
          <w:rFonts w:ascii="Times New Roman" w:hAnsi="Times New Roman" w:cs="Times New Roman"/>
        </w:rPr>
        <w:t xml:space="preserve">, S. R. 2009. Detecting range shifts from historical species occurrences: new perspectives on old data. - Trends Ecol. </w:t>
      </w:r>
      <w:proofErr w:type="spellStart"/>
      <w:r w:rsidRPr="00F84642">
        <w:rPr>
          <w:rFonts w:ascii="Times New Roman" w:hAnsi="Times New Roman" w:cs="Times New Roman"/>
        </w:rPr>
        <w:t>Evol</w:t>
      </w:r>
      <w:proofErr w:type="spellEnd"/>
      <w:r w:rsidRPr="00F84642">
        <w:rPr>
          <w:rFonts w:ascii="Times New Roman" w:hAnsi="Times New Roman" w:cs="Times New Roman"/>
        </w:rPr>
        <w:t>. 24: 625–633.</w:t>
      </w:r>
    </w:p>
    <w:p w14:paraId="2AE01F58" w14:textId="77777777" w:rsidR="00A01347" w:rsidRPr="00F84642" w:rsidRDefault="00A01347" w:rsidP="006D07CD">
      <w:pPr>
        <w:pStyle w:val="Bibliography"/>
        <w:spacing w:after="0" w:line="480" w:lineRule="auto"/>
        <w:rPr>
          <w:rFonts w:ascii="Times New Roman" w:hAnsi="Times New Roman" w:cs="Times New Roman"/>
        </w:rPr>
      </w:pPr>
      <w:r w:rsidRPr="00F84642">
        <w:rPr>
          <w:rFonts w:ascii="Times New Roman" w:hAnsi="Times New Roman" w:cs="Times New Roman"/>
        </w:rPr>
        <w:t xml:space="preserve">Tweedie, M. C. 1984. An index which distinguishes between some important exponential families. - Stat. Appl. New Dir. Proc. Indian Stat. Inst. Gold. </w:t>
      </w:r>
      <w:proofErr w:type="spellStart"/>
      <w:r w:rsidRPr="00F84642">
        <w:rPr>
          <w:rFonts w:ascii="Times New Roman" w:hAnsi="Times New Roman" w:cs="Times New Roman"/>
        </w:rPr>
        <w:t>Jubil</w:t>
      </w:r>
      <w:proofErr w:type="spellEnd"/>
      <w:r w:rsidRPr="00F84642">
        <w:rPr>
          <w:rFonts w:ascii="Times New Roman" w:hAnsi="Times New Roman" w:cs="Times New Roman"/>
        </w:rPr>
        <w:t xml:space="preserve">. Int. Conf. </w:t>
      </w:r>
      <w:proofErr w:type="spellStart"/>
      <w:r w:rsidRPr="00F84642">
        <w:rPr>
          <w:rFonts w:ascii="Times New Roman" w:hAnsi="Times New Roman" w:cs="Times New Roman"/>
        </w:rPr>
        <w:t>Eds</w:t>
      </w:r>
      <w:proofErr w:type="spellEnd"/>
      <w:r w:rsidRPr="00F84642">
        <w:rPr>
          <w:rFonts w:ascii="Times New Roman" w:hAnsi="Times New Roman" w:cs="Times New Roman"/>
        </w:rPr>
        <w:t xml:space="preserve"> J K Ghosh J Roy 579: 579–604.</w:t>
      </w:r>
    </w:p>
    <w:p w14:paraId="731F2A6A" w14:textId="77777777" w:rsidR="00A01347" w:rsidRPr="00F84642" w:rsidRDefault="00A01347" w:rsidP="006D07CD">
      <w:pPr>
        <w:pStyle w:val="Bibliography"/>
        <w:spacing w:after="0" w:line="480" w:lineRule="auto"/>
        <w:rPr>
          <w:rFonts w:ascii="Times New Roman" w:hAnsi="Times New Roman" w:cs="Times New Roman"/>
        </w:rPr>
      </w:pPr>
      <w:r w:rsidRPr="00F84642">
        <w:rPr>
          <w:rFonts w:ascii="Times New Roman" w:hAnsi="Times New Roman" w:cs="Times New Roman"/>
        </w:rPr>
        <w:lastRenderedPageBreak/>
        <w:t>Walter, J. A. et al. 2017. The geography of spatial synchrony. - Ecol. Lett. 20: 801–814.</w:t>
      </w:r>
    </w:p>
    <w:p w14:paraId="164D2753" w14:textId="7E2E6971" w:rsidR="00B0582B" w:rsidRPr="00F84642" w:rsidRDefault="00A01347" w:rsidP="006D07CD">
      <w:pPr>
        <w:pStyle w:val="Bibliography"/>
        <w:spacing w:after="0" w:line="480" w:lineRule="auto"/>
        <w:rPr>
          <w:rFonts w:ascii="Times New Roman" w:hAnsi="Times New Roman" w:cs="Times New Roman"/>
        </w:rPr>
      </w:pPr>
      <w:r w:rsidRPr="00F84642">
        <w:rPr>
          <w:rFonts w:ascii="Times New Roman" w:hAnsi="Times New Roman" w:cs="Times New Roman"/>
        </w:rPr>
        <w:t xml:space="preserve">Ward, E. J. et al. 2015. Using spatiotemporal species distribution models to identify temporally evolving hotspots of species co-occurrence. - Ecol. Appl. </w:t>
      </w:r>
      <w:r w:rsidR="00B0582B">
        <w:rPr>
          <w:rFonts w:ascii="Times New Roman" w:hAnsi="Times New Roman" w:cs="Times New Roman"/>
        </w:rPr>
        <w:t xml:space="preserve">25: </w:t>
      </w:r>
      <w:r w:rsidR="00B0582B" w:rsidRPr="00B0582B">
        <w:rPr>
          <w:rFonts w:ascii="Times New Roman" w:hAnsi="Times New Roman" w:cs="Times New Roman"/>
        </w:rPr>
        <w:t>2198</w:t>
      </w:r>
      <w:r w:rsidR="00B0582B" w:rsidRPr="00F84642">
        <w:rPr>
          <w:rFonts w:ascii="Times New Roman" w:hAnsi="Times New Roman" w:cs="Times New Roman"/>
        </w:rPr>
        <w:t>–</w:t>
      </w:r>
      <w:r w:rsidR="00B0582B" w:rsidRPr="00B0582B">
        <w:rPr>
          <w:rFonts w:ascii="Times New Roman" w:hAnsi="Times New Roman" w:cs="Times New Roman"/>
        </w:rPr>
        <w:t>2209</w:t>
      </w:r>
      <w:r w:rsidR="00B0582B">
        <w:rPr>
          <w:rFonts w:ascii="Times New Roman" w:hAnsi="Times New Roman" w:cs="Times New Roman"/>
        </w:rPr>
        <w:t>.</w:t>
      </w:r>
    </w:p>
    <w:p w14:paraId="764DD2A9" w14:textId="42CB8F81" w:rsidR="00A01347" w:rsidRPr="00F84642" w:rsidRDefault="00A01347" w:rsidP="006D07CD">
      <w:pPr>
        <w:pStyle w:val="Bibliography"/>
        <w:spacing w:after="0" w:line="480" w:lineRule="auto"/>
        <w:rPr>
          <w:rFonts w:ascii="Times New Roman" w:hAnsi="Times New Roman" w:cs="Times New Roman"/>
        </w:rPr>
      </w:pPr>
      <w:proofErr w:type="spellStart"/>
      <w:r w:rsidRPr="00F84642">
        <w:rPr>
          <w:rFonts w:ascii="Times New Roman" w:hAnsi="Times New Roman" w:cs="Times New Roman"/>
        </w:rPr>
        <w:t>Weatherhead</w:t>
      </w:r>
      <w:proofErr w:type="spellEnd"/>
      <w:r w:rsidRPr="00F84642">
        <w:rPr>
          <w:rFonts w:ascii="Times New Roman" w:hAnsi="Times New Roman" w:cs="Times New Roman"/>
        </w:rPr>
        <w:t xml:space="preserve">, E. C. et al. 1998. Factors affecting the detection of trends: Statistical considerations and applications to environmental data. - J. </w:t>
      </w:r>
      <w:proofErr w:type="spellStart"/>
      <w:r w:rsidRPr="00F84642">
        <w:rPr>
          <w:rFonts w:ascii="Times New Roman" w:hAnsi="Times New Roman" w:cs="Times New Roman"/>
        </w:rPr>
        <w:t>Geophys</w:t>
      </w:r>
      <w:proofErr w:type="spellEnd"/>
      <w:r w:rsidRPr="00F84642">
        <w:rPr>
          <w:rFonts w:ascii="Times New Roman" w:hAnsi="Times New Roman" w:cs="Times New Roman"/>
        </w:rPr>
        <w:t>. Res. Atmospheres 103: 17149–17161.</w:t>
      </w:r>
    </w:p>
    <w:p w14:paraId="22978672" w14:textId="77777777" w:rsidR="00A01347" w:rsidRPr="00F84642" w:rsidRDefault="00A01347" w:rsidP="006D07CD">
      <w:pPr>
        <w:pStyle w:val="Bibliography"/>
        <w:spacing w:after="0" w:line="480" w:lineRule="auto"/>
        <w:rPr>
          <w:rFonts w:ascii="Times New Roman" w:hAnsi="Times New Roman" w:cs="Times New Roman"/>
        </w:rPr>
      </w:pPr>
      <w:proofErr w:type="spellStart"/>
      <w:r w:rsidRPr="00F84642">
        <w:rPr>
          <w:rFonts w:ascii="Times New Roman" w:hAnsi="Times New Roman" w:cs="Times New Roman"/>
        </w:rPr>
        <w:t>Woillez</w:t>
      </w:r>
      <w:proofErr w:type="spellEnd"/>
      <w:r w:rsidRPr="00F84642">
        <w:rPr>
          <w:rFonts w:ascii="Times New Roman" w:hAnsi="Times New Roman" w:cs="Times New Roman"/>
        </w:rPr>
        <w:t xml:space="preserve">, M. et al. 2009. Notes on survey-based spatial indicators for monitoring fish populations. - </w:t>
      </w:r>
      <w:proofErr w:type="spellStart"/>
      <w:r w:rsidRPr="00F84642">
        <w:rPr>
          <w:rFonts w:ascii="Times New Roman" w:hAnsi="Times New Roman" w:cs="Times New Roman"/>
        </w:rPr>
        <w:t>Aquat</w:t>
      </w:r>
      <w:proofErr w:type="spellEnd"/>
      <w:r w:rsidRPr="00F84642">
        <w:rPr>
          <w:rFonts w:ascii="Times New Roman" w:hAnsi="Times New Roman" w:cs="Times New Roman"/>
        </w:rPr>
        <w:t xml:space="preserve">. Living </w:t>
      </w:r>
      <w:proofErr w:type="spellStart"/>
      <w:r w:rsidRPr="00F84642">
        <w:rPr>
          <w:rFonts w:ascii="Times New Roman" w:hAnsi="Times New Roman" w:cs="Times New Roman"/>
        </w:rPr>
        <w:t>Resour</w:t>
      </w:r>
      <w:proofErr w:type="spellEnd"/>
      <w:r w:rsidRPr="00F84642">
        <w:rPr>
          <w:rFonts w:ascii="Times New Roman" w:hAnsi="Times New Roman" w:cs="Times New Roman"/>
        </w:rPr>
        <w:t>. 22: 155–164.</w:t>
      </w:r>
    </w:p>
    <w:p w14:paraId="2A0D905E" w14:textId="77777777" w:rsidR="00A01347" w:rsidRPr="00F84642" w:rsidRDefault="00A01347" w:rsidP="006D07CD">
      <w:pPr>
        <w:pStyle w:val="Bibliography"/>
        <w:spacing w:after="0" w:line="480" w:lineRule="auto"/>
        <w:rPr>
          <w:rFonts w:ascii="Times New Roman" w:hAnsi="Times New Roman" w:cs="Times New Roman"/>
        </w:rPr>
      </w:pPr>
      <w:proofErr w:type="spellStart"/>
      <w:r w:rsidRPr="00F84642">
        <w:rPr>
          <w:rFonts w:ascii="Times New Roman" w:hAnsi="Times New Roman" w:cs="Times New Roman"/>
        </w:rPr>
        <w:t>Yackulic</w:t>
      </w:r>
      <w:proofErr w:type="spellEnd"/>
      <w:r w:rsidRPr="00F84642">
        <w:rPr>
          <w:rFonts w:ascii="Times New Roman" w:hAnsi="Times New Roman" w:cs="Times New Roman"/>
        </w:rPr>
        <w:t>, C. B. et al. 2013. Presence-only modelling using MAXENT: when can we trust the inferences? 4: 236–243.</w:t>
      </w:r>
    </w:p>
    <w:p w14:paraId="2EA26188" w14:textId="6987E9C8" w:rsidR="00EC2C67" w:rsidRPr="006D07CD" w:rsidRDefault="00A01347" w:rsidP="006D07CD">
      <w:pPr>
        <w:pStyle w:val="Bibliography"/>
        <w:spacing w:after="0" w:line="480" w:lineRule="auto"/>
        <w:rPr>
          <w:rFonts w:ascii="Times New Roman" w:hAnsi="Times New Roman" w:cs="Times New Roman"/>
        </w:rPr>
      </w:pPr>
      <w:proofErr w:type="spellStart"/>
      <w:r w:rsidRPr="00F84642">
        <w:rPr>
          <w:rFonts w:ascii="Times New Roman" w:hAnsi="Times New Roman" w:cs="Times New Roman"/>
        </w:rPr>
        <w:t>Zuur</w:t>
      </w:r>
      <w:proofErr w:type="spellEnd"/>
      <w:r w:rsidRPr="00F84642">
        <w:rPr>
          <w:rFonts w:ascii="Times New Roman" w:hAnsi="Times New Roman" w:cs="Times New Roman"/>
        </w:rPr>
        <w:t xml:space="preserve">, A. F. et al. 2009. Mixed </w:t>
      </w:r>
      <w:r w:rsidR="00CF191F" w:rsidRPr="00F84642">
        <w:rPr>
          <w:rFonts w:ascii="Times New Roman" w:hAnsi="Times New Roman" w:cs="Times New Roman"/>
        </w:rPr>
        <w:t xml:space="preserve">effects models and extensions in ecology with </w:t>
      </w:r>
      <w:r w:rsidR="006D07CD">
        <w:rPr>
          <w:rFonts w:ascii="Times New Roman" w:hAnsi="Times New Roman" w:cs="Times New Roman"/>
        </w:rPr>
        <w:t>R, 1st edition. - Springer.</w:t>
      </w:r>
    </w:p>
    <w:sectPr w:rsidR="00EC2C67" w:rsidRPr="006D07CD" w:rsidSect="00C62EA2">
      <w:footerReference w:type="default" r:id="rId11"/>
      <w:pgSz w:w="12240" w:h="15840"/>
      <w:pgMar w:top="1440" w:right="1440" w:bottom="1440" w:left="1440" w:header="720" w:footer="720" w:gutter="0"/>
      <w:lnNumType w:countBy="1" w:restart="continuous"/>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5DB29" w16cex:dateUtc="2020-06-30T22:39:00Z"/>
  <w16cex:commentExtensible w16cex:durableId="22A5DB69" w16cex:dateUtc="2020-06-30T22:40:00Z"/>
  <w16cex:commentExtensible w16cex:durableId="22A5DB70" w16cex:dateUtc="2020-06-30T22:40:00Z"/>
  <w16cex:commentExtensible w16cex:durableId="22A59929" w16cex:dateUtc="2020-06-30T17:57:00Z"/>
  <w16cex:commentExtensible w16cex:durableId="22A599AC" w16cex:dateUtc="2020-06-30T17:59:00Z"/>
  <w16cex:commentExtensible w16cex:durableId="22A59AF9" w16cex:dateUtc="2020-06-30T18:05:00Z"/>
  <w16cex:commentExtensible w16cex:durableId="22A59BA9" w16cex:dateUtc="2020-06-30T18:08:00Z"/>
  <w16cex:commentExtensible w16cex:durableId="22A59BD4" w16cex:dateUtc="2020-06-30T18:09:00Z"/>
  <w16cex:commentExtensible w16cex:durableId="22A59D12" w16cex:dateUtc="2020-06-30T18:14:00Z"/>
  <w16cex:commentExtensible w16cex:durableId="22A59F44" w16cex:dateUtc="2020-06-30T18:23:00Z"/>
  <w16cex:commentExtensible w16cex:durableId="22A59F7E" w16cex:dateUtc="2020-06-30T18:24:00Z"/>
  <w16cex:commentExtensible w16cex:durableId="22A59FD7" w16cex:dateUtc="2020-06-30T18:26:00Z"/>
  <w16cex:commentExtensible w16cex:durableId="22A59FB1" w16cex:dateUtc="2020-06-30T18:25:00Z"/>
  <w16cex:commentExtensible w16cex:durableId="22A59FC0" w16cex:dateUtc="2020-06-30T18:25:00Z"/>
  <w16cex:commentExtensible w16cex:durableId="22A5A049" w16cex:dateUtc="2020-06-30T18:28:00Z"/>
  <w16cex:commentExtensible w16cex:durableId="22A5A0A5" w16cex:dateUtc="2020-06-30T18:29:00Z"/>
  <w16cex:commentExtensible w16cex:durableId="22A5CFE4" w16cex:dateUtc="2020-06-30T21:51:00Z"/>
  <w16cex:commentExtensible w16cex:durableId="22A5D7F1" w16cex:dateUtc="2020-06-30T22:25:00Z"/>
  <w16cex:commentExtensible w16cex:durableId="22A5DAA3" w16cex:dateUtc="2020-06-30T2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4CE4EB" w16cid:durableId="22A5DB29"/>
  <w16cid:commentId w16cid:paraId="1AABB6C3" w16cid:durableId="22A41146"/>
  <w16cid:commentId w16cid:paraId="073826C2" w16cid:durableId="22A5DB69"/>
  <w16cid:commentId w16cid:paraId="5D6AC973" w16cid:durableId="22A5DB70"/>
  <w16cid:commentId w16cid:paraId="561174A6" w16cid:durableId="22A59929"/>
  <w16cid:commentId w16cid:paraId="511E3325" w16cid:durableId="22A41147"/>
  <w16cid:commentId w16cid:paraId="2391C376" w16cid:durableId="22A599AC"/>
  <w16cid:commentId w16cid:paraId="422D2823" w16cid:durableId="22A59AF9"/>
  <w16cid:commentId w16cid:paraId="47DEB95A" w16cid:durableId="22A59BA9"/>
  <w16cid:commentId w16cid:paraId="49B15E85" w16cid:durableId="22A59BD4"/>
  <w16cid:commentId w16cid:paraId="2E10B30B" w16cid:durableId="22A41148"/>
  <w16cid:commentId w16cid:paraId="49CC5982" w16cid:durableId="22A59D12"/>
  <w16cid:commentId w16cid:paraId="7E399B79" w16cid:durableId="22A41149"/>
  <w16cid:commentId w16cid:paraId="777AA03A" w16cid:durableId="22A4114A"/>
  <w16cid:commentId w16cid:paraId="2126BBE4" w16cid:durableId="22A59F44"/>
  <w16cid:commentId w16cid:paraId="1F61532F" w16cid:durableId="22A4114B"/>
  <w16cid:commentId w16cid:paraId="3242B401" w16cid:durableId="22A59F7E"/>
  <w16cid:commentId w16cid:paraId="7D807901" w16cid:durableId="22A59FD7"/>
  <w16cid:commentId w16cid:paraId="375A661C" w16cid:durableId="22A59FB1"/>
  <w16cid:commentId w16cid:paraId="74EE5EF1" w16cid:durableId="22A59FC0"/>
  <w16cid:commentId w16cid:paraId="2194C89F" w16cid:durableId="22A4114C"/>
  <w16cid:commentId w16cid:paraId="60AF6C97" w16cid:durableId="22A5A049"/>
  <w16cid:commentId w16cid:paraId="32AB9F1C" w16cid:durableId="22A5A0A5"/>
  <w16cid:commentId w16cid:paraId="7F6542CD" w16cid:durableId="22A4114D"/>
  <w16cid:commentId w16cid:paraId="2501E095" w16cid:durableId="22A5CFE4"/>
  <w16cid:commentId w16cid:paraId="14BB7729" w16cid:durableId="22A4114E"/>
  <w16cid:commentId w16cid:paraId="5FD4CEA4" w16cid:durableId="22A4114F"/>
  <w16cid:commentId w16cid:paraId="2B6C1BAF" w16cid:durableId="22A41150"/>
  <w16cid:commentId w16cid:paraId="1B68D85A" w16cid:durableId="22A5D7F1"/>
  <w16cid:commentId w16cid:paraId="0649DAAD" w16cid:durableId="22A5DAA3"/>
  <w16cid:commentId w16cid:paraId="19A99E33" w16cid:durableId="22A4115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28E581" w14:textId="77777777" w:rsidR="004160DE" w:rsidRDefault="004160DE" w:rsidP="00217012">
      <w:r>
        <w:separator/>
      </w:r>
    </w:p>
  </w:endnote>
  <w:endnote w:type="continuationSeparator" w:id="0">
    <w:p w14:paraId="3BB95877" w14:textId="77777777" w:rsidR="004160DE" w:rsidRDefault="004160DE" w:rsidP="00217012">
      <w:r>
        <w:continuationSeparator/>
      </w:r>
    </w:p>
  </w:endnote>
  <w:endnote w:type="continuationNotice" w:id="1">
    <w:p w14:paraId="65F50BFA" w14:textId="77777777" w:rsidR="004160DE" w:rsidRDefault="004160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8713485"/>
      <w:docPartObj>
        <w:docPartGallery w:val="Page Numbers (Bottom of Page)"/>
        <w:docPartUnique/>
      </w:docPartObj>
    </w:sdtPr>
    <w:sdtEndPr>
      <w:rPr>
        <w:noProof/>
      </w:rPr>
    </w:sdtEndPr>
    <w:sdtContent>
      <w:p w14:paraId="26E2ED53" w14:textId="56680321" w:rsidR="0026495A" w:rsidRDefault="0026495A">
        <w:pPr>
          <w:pStyle w:val="Footer"/>
          <w:jc w:val="center"/>
        </w:pPr>
        <w:r>
          <w:fldChar w:fldCharType="begin"/>
        </w:r>
        <w:r>
          <w:instrText xml:space="preserve"> PAGE   \* MERGEFORMAT </w:instrText>
        </w:r>
        <w:r>
          <w:fldChar w:fldCharType="separate"/>
        </w:r>
        <w:r w:rsidR="00F6275B">
          <w:rPr>
            <w:noProof/>
          </w:rPr>
          <w:t>21</w:t>
        </w:r>
        <w:r>
          <w:rPr>
            <w:noProof/>
          </w:rPr>
          <w:fldChar w:fldCharType="end"/>
        </w:r>
      </w:p>
    </w:sdtContent>
  </w:sdt>
  <w:p w14:paraId="2FC5A1F1" w14:textId="77777777" w:rsidR="0026495A" w:rsidRDefault="002649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0C62DA" w14:textId="77777777" w:rsidR="004160DE" w:rsidRDefault="004160DE" w:rsidP="00217012">
      <w:r>
        <w:separator/>
      </w:r>
    </w:p>
  </w:footnote>
  <w:footnote w:type="continuationSeparator" w:id="0">
    <w:p w14:paraId="5784533F" w14:textId="77777777" w:rsidR="004160DE" w:rsidRDefault="004160DE" w:rsidP="00217012">
      <w:r>
        <w:continuationSeparator/>
      </w:r>
    </w:p>
  </w:footnote>
  <w:footnote w:type="continuationNotice" w:id="1">
    <w:p w14:paraId="19243ED2" w14:textId="77777777" w:rsidR="004160DE" w:rsidRDefault="004160DE"/>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F68E2"/>
    <w:multiLevelType w:val="hybridMultilevel"/>
    <w:tmpl w:val="8C8C7B46"/>
    <w:lvl w:ilvl="0" w:tplc="1A7C5594">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F5190"/>
    <w:multiLevelType w:val="hybridMultilevel"/>
    <w:tmpl w:val="B0D6A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BD30D6"/>
    <w:multiLevelType w:val="hybridMultilevel"/>
    <w:tmpl w:val="C65EA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2drpsxt7zt291edp505awr002ep0experdz&quot;&gt;CurrentFull Copy&lt;record-ids&gt;&lt;item&gt;19811&lt;/item&gt;&lt;item&gt;19812&lt;/item&gt;&lt;item&gt;25377&lt;/item&gt;&lt;item&gt;28360&lt;/item&gt;&lt;/record-ids&gt;&lt;/item&gt;&lt;/Libraries&gt;"/>
  </w:docVars>
  <w:rsids>
    <w:rsidRoot w:val="007A596D"/>
    <w:rsid w:val="0000736B"/>
    <w:rsid w:val="00010478"/>
    <w:rsid w:val="000108BB"/>
    <w:rsid w:val="00013DA1"/>
    <w:rsid w:val="00014006"/>
    <w:rsid w:val="0001428C"/>
    <w:rsid w:val="00014846"/>
    <w:rsid w:val="00017607"/>
    <w:rsid w:val="00017969"/>
    <w:rsid w:val="000227CF"/>
    <w:rsid w:val="00025B39"/>
    <w:rsid w:val="0002735B"/>
    <w:rsid w:val="000305F7"/>
    <w:rsid w:val="00032437"/>
    <w:rsid w:val="00032B0B"/>
    <w:rsid w:val="0004182C"/>
    <w:rsid w:val="000434C6"/>
    <w:rsid w:val="00044DFC"/>
    <w:rsid w:val="00045217"/>
    <w:rsid w:val="00046B6F"/>
    <w:rsid w:val="00047600"/>
    <w:rsid w:val="0004774A"/>
    <w:rsid w:val="00047FB4"/>
    <w:rsid w:val="000502D6"/>
    <w:rsid w:val="00052F7B"/>
    <w:rsid w:val="0005459F"/>
    <w:rsid w:val="000552C4"/>
    <w:rsid w:val="0005686A"/>
    <w:rsid w:val="00056E1E"/>
    <w:rsid w:val="00057112"/>
    <w:rsid w:val="000610F6"/>
    <w:rsid w:val="0006149E"/>
    <w:rsid w:val="00061FAB"/>
    <w:rsid w:val="000631C2"/>
    <w:rsid w:val="00065793"/>
    <w:rsid w:val="00070705"/>
    <w:rsid w:val="0007109D"/>
    <w:rsid w:val="00074DD9"/>
    <w:rsid w:val="00077178"/>
    <w:rsid w:val="0008062F"/>
    <w:rsid w:val="00082596"/>
    <w:rsid w:val="0008599B"/>
    <w:rsid w:val="00087449"/>
    <w:rsid w:val="00090385"/>
    <w:rsid w:val="00096F4A"/>
    <w:rsid w:val="000A112D"/>
    <w:rsid w:val="000A122C"/>
    <w:rsid w:val="000A2173"/>
    <w:rsid w:val="000B1287"/>
    <w:rsid w:val="000B2218"/>
    <w:rsid w:val="000B60E5"/>
    <w:rsid w:val="000B6DF1"/>
    <w:rsid w:val="000C6F4A"/>
    <w:rsid w:val="000C7459"/>
    <w:rsid w:val="000C7592"/>
    <w:rsid w:val="000C7914"/>
    <w:rsid w:val="000D0C41"/>
    <w:rsid w:val="000D12CA"/>
    <w:rsid w:val="000D1E70"/>
    <w:rsid w:val="000D708C"/>
    <w:rsid w:val="000E1718"/>
    <w:rsid w:val="000E5BED"/>
    <w:rsid w:val="000F36B8"/>
    <w:rsid w:val="000F5680"/>
    <w:rsid w:val="0010238F"/>
    <w:rsid w:val="00106AF8"/>
    <w:rsid w:val="001111A4"/>
    <w:rsid w:val="00113FD2"/>
    <w:rsid w:val="001150AB"/>
    <w:rsid w:val="001153CF"/>
    <w:rsid w:val="00120B88"/>
    <w:rsid w:val="00124166"/>
    <w:rsid w:val="001248A9"/>
    <w:rsid w:val="001277EE"/>
    <w:rsid w:val="00134C4A"/>
    <w:rsid w:val="001356A9"/>
    <w:rsid w:val="00143714"/>
    <w:rsid w:val="00144B31"/>
    <w:rsid w:val="00146DEE"/>
    <w:rsid w:val="00150988"/>
    <w:rsid w:val="00161032"/>
    <w:rsid w:val="001622D7"/>
    <w:rsid w:val="00162C1B"/>
    <w:rsid w:val="001815F1"/>
    <w:rsid w:val="0018274A"/>
    <w:rsid w:val="00183F4B"/>
    <w:rsid w:val="00184203"/>
    <w:rsid w:val="00186508"/>
    <w:rsid w:val="001875C1"/>
    <w:rsid w:val="0019275E"/>
    <w:rsid w:val="00192C69"/>
    <w:rsid w:val="001931B9"/>
    <w:rsid w:val="001A3CC0"/>
    <w:rsid w:val="001A5AEA"/>
    <w:rsid w:val="001A7D16"/>
    <w:rsid w:val="001B140D"/>
    <w:rsid w:val="001B1D31"/>
    <w:rsid w:val="001B4CD6"/>
    <w:rsid w:val="001B606D"/>
    <w:rsid w:val="001B61C2"/>
    <w:rsid w:val="001B76A5"/>
    <w:rsid w:val="001C04EA"/>
    <w:rsid w:val="001C05F4"/>
    <w:rsid w:val="001C2657"/>
    <w:rsid w:val="001C284B"/>
    <w:rsid w:val="001C43CD"/>
    <w:rsid w:val="001C6C95"/>
    <w:rsid w:val="001C73D2"/>
    <w:rsid w:val="001C77F5"/>
    <w:rsid w:val="001D3B11"/>
    <w:rsid w:val="001D4C9B"/>
    <w:rsid w:val="001D72BF"/>
    <w:rsid w:val="001E09E8"/>
    <w:rsid w:val="001E0AAE"/>
    <w:rsid w:val="001E5656"/>
    <w:rsid w:val="001E7CED"/>
    <w:rsid w:val="001F08A5"/>
    <w:rsid w:val="001F74AF"/>
    <w:rsid w:val="001F7F7D"/>
    <w:rsid w:val="002035F1"/>
    <w:rsid w:val="00204EAD"/>
    <w:rsid w:val="002064F6"/>
    <w:rsid w:val="00206E9E"/>
    <w:rsid w:val="00210D6C"/>
    <w:rsid w:val="00211015"/>
    <w:rsid w:val="00211082"/>
    <w:rsid w:val="002120E6"/>
    <w:rsid w:val="00215E24"/>
    <w:rsid w:val="0021628B"/>
    <w:rsid w:val="00216F6D"/>
    <w:rsid w:val="00217012"/>
    <w:rsid w:val="00217FEE"/>
    <w:rsid w:val="0022140C"/>
    <w:rsid w:val="00221E1C"/>
    <w:rsid w:val="00225343"/>
    <w:rsid w:val="002257D8"/>
    <w:rsid w:val="00225C4A"/>
    <w:rsid w:val="002267BA"/>
    <w:rsid w:val="00227216"/>
    <w:rsid w:val="002274BB"/>
    <w:rsid w:val="00231A3B"/>
    <w:rsid w:val="00233D25"/>
    <w:rsid w:val="002346B2"/>
    <w:rsid w:val="00234BE8"/>
    <w:rsid w:val="002374FB"/>
    <w:rsid w:val="00243A31"/>
    <w:rsid w:val="002451DF"/>
    <w:rsid w:val="002463AD"/>
    <w:rsid w:val="00246658"/>
    <w:rsid w:val="00246F51"/>
    <w:rsid w:val="00250503"/>
    <w:rsid w:val="002515A1"/>
    <w:rsid w:val="00251F8F"/>
    <w:rsid w:val="00257344"/>
    <w:rsid w:val="00260692"/>
    <w:rsid w:val="0026495A"/>
    <w:rsid w:val="00264DBE"/>
    <w:rsid w:val="00265E4B"/>
    <w:rsid w:val="0027762F"/>
    <w:rsid w:val="002776FC"/>
    <w:rsid w:val="002826D7"/>
    <w:rsid w:val="002834BD"/>
    <w:rsid w:val="00286789"/>
    <w:rsid w:val="00287B00"/>
    <w:rsid w:val="00290A0C"/>
    <w:rsid w:val="00292122"/>
    <w:rsid w:val="002974A8"/>
    <w:rsid w:val="002A2EFA"/>
    <w:rsid w:val="002A6017"/>
    <w:rsid w:val="002C355F"/>
    <w:rsid w:val="002C63FC"/>
    <w:rsid w:val="002C7F14"/>
    <w:rsid w:val="002D09CF"/>
    <w:rsid w:val="002D165A"/>
    <w:rsid w:val="002D6DFC"/>
    <w:rsid w:val="002E1A77"/>
    <w:rsid w:val="002E2F19"/>
    <w:rsid w:val="002E67B9"/>
    <w:rsid w:val="002E69AD"/>
    <w:rsid w:val="002F0878"/>
    <w:rsid w:val="002F5E5B"/>
    <w:rsid w:val="003030EF"/>
    <w:rsid w:val="00303CE3"/>
    <w:rsid w:val="00306407"/>
    <w:rsid w:val="00311734"/>
    <w:rsid w:val="00313BC8"/>
    <w:rsid w:val="0031438C"/>
    <w:rsid w:val="00314810"/>
    <w:rsid w:val="00316227"/>
    <w:rsid w:val="003166EF"/>
    <w:rsid w:val="00322C3D"/>
    <w:rsid w:val="00322EAF"/>
    <w:rsid w:val="0032387B"/>
    <w:rsid w:val="00326A21"/>
    <w:rsid w:val="00327666"/>
    <w:rsid w:val="00327AE6"/>
    <w:rsid w:val="0033386B"/>
    <w:rsid w:val="0033427C"/>
    <w:rsid w:val="0034298D"/>
    <w:rsid w:val="00343C30"/>
    <w:rsid w:val="00343F2D"/>
    <w:rsid w:val="00344523"/>
    <w:rsid w:val="00346436"/>
    <w:rsid w:val="00346968"/>
    <w:rsid w:val="00351CCF"/>
    <w:rsid w:val="00357DAC"/>
    <w:rsid w:val="003600C1"/>
    <w:rsid w:val="00366DFE"/>
    <w:rsid w:val="0037103B"/>
    <w:rsid w:val="00373951"/>
    <w:rsid w:val="00375D89"/>
    <w:rsid w:val="00383CE4"/>
    <w:rsid w:val="0038566F"/>
    <w:rsid w:val="003860C5"/>
    <w:rsid w:val="00386DC1"/>
    <w:rsid w:val="00387733"/>
    <w:rsid w:val="003924D2"/>
    <w:rsid w:val="003945F3"/>
    <w:rsid w:val="00396813"/>
    <w:rsid w:val="00396F2D"/>
    <w:rsid w:val="00397D39"/>
    <w:rsid w:val="003A14CD"/>
    <w:rsid w:val="003A6F58"/>
    <w:rsid w:val="003A758A"/>
    <w:rsid w:val="003B3DD0"/>
    <w:rsid w:val="003B607E"/>
    <w:rsid w:val="003C0549"/>
    <w:rsid w:val="003C0B3A"/>
    <w:rsid w:val="003C0EAD"/>
    <w:rsid w:val="003C4531"/>
    <w:rsid w:val="003C48F0"/>
    <w:rsid w:val="003C4A35"/>
    <w:rsid w:val="003C5091"/>
    <w:rsid w:val="003C71A3"/>
    <w:rsid w:val="003D1119"/>
    <w:rsid w:val="003D169F"/>
    <w:rsid w:val="003D16A7"/>
    <w:rsid w:val="003D219B"/>
    <w:rsid w:val="003D4FC1"/>
    <w:rsid w:val="003E04B4"/>
    <w:rsid w:val="003E3556"/>
    <w:rsid w:val="003E45C2"/>
    <w:rsid w:val="003E542D"/>
    <w:rsid w:val="003E59C1"/>
    <w:rsid w:val="003F09BD"/>
    <w:rsid w:val="003F13F0"/>
    <w:rsid w:val="003F2D57"/>
    <w:rsid w:val="003F4F28"/>
    <w:rsid w:val="0040311A"/>
    <w:rsid w:val="004042A7"/>
    <w:rsid w:val="00404F89"/>
    <w:rsid w:val="00405D00"/>
    <w:rsid w:val="00410047"/>
    <w:rsid w:val="004160DE"/>
    <w:rsid w:val="00417C21"/>
    <w:rsid w:val="004207D2"/>
    <w:rsid w:val="00421609"/>
    <w:rsid w:val="0043104E"/>
    <w:rsid w:val="00431480"/>
    <w:rsid w:val="004325B0"/>
    <w:rsid w:val="00436BCF"/>
    <w:rsid w:val="00437DE9"/>
    <w:rsid w:val="004414B2"/>
    <w:rsid w:val="0044347D"/>
    <w:rsid w:val="00445876"/>
    <w:rsid w:val="00450836"/>
    <w:rsid w:val="0045113D"/>
    <w:rsid w:val="00453C4E"/>
    <w:rsid w:val="00454BC9"/>
    <w:rsid w:val="00455A91"/>
    <w:rsid w:val="0046021E"/>
    <w:rsid w:val="0046086A"/>
    <w:rsid w:val="004616BD"/>
    <w:rsid w:val="00465A85"/>
    <w:rsid w:val="004666F2"/>
    <w:rsid w:val="00467575"/>
    <w:rsid w:val="00467D42"/>
    <w:rsid w:val="00472B84"/>
    <w:rsid w:val="00474C26"/>
    <w:rsid w:val="00477A3B"/>
    <w:rsid w:val="00477BEB"/>
    <w:rsid w:val="00482340"/>
    <w:rsid w:val="00484F75"/>
    <w:rsid w:val="0048619F"/>
    <w:rsid w:val="0048654E"/>
    <w:rsid w:val="0049381F"/>
    <w:rsid w:val="00495EAC"/>
    <w:rsid w:val="00496EAE"/>
    <w:rsid w:val="004A4795"/>
    <w:rsid w:val="004A5118"/>
    <w:rsid w:val="004A6FCC"/>
    <w:rsid w:val="004B0A3B"/>
    <w:rsid w:val="004B71F5"/>
    <w:rsid w:val="004C4BCF"/>
    <w:rsid w:val="004C533C"/>
    <w:rsid w:val="004D4D57"/>
    <w:rsid w:val="004D7731"/>
    <w:rsid w:val="004D7818"/>
    <w:rsid w:val="004E2E61"/>
    <w:rsid w:val="004E58CD"/>
    <w:rsid w:val="004E6F38"/>
    <w:rsid w:val="004E72C8"/>
    <w:rsid w:val="004F2DA7"/>
    <w:rsid w:val="004F3430"/>
    <w:rsid w:val="004F7407"/>
    <w:rsid w:val="004F74C9"/>
    <w:rsid w:val="004F76ED"/>
    <w:rsid w:val="005026FB"/>
    <w:rsid w:val="00502B98"/>
    <w:rsid w:val="00503F33"/>
    <w:rsid w:val="005124BE"/>
    <w:rsid w:val="0051393F"/>
    <w:rsid w:val="00515309"/>
    <w:rsid w:val="00515706"/>
    <w:rsid w:val="005209B4"/>
    <w:rsid w:val="00525DDF"/>
    <w:rsid w:val="00526E8B"/>
    <w:rsid w:val="00527CF7"/>
    <w:rsid w:val="00531139"/>
    <w:rsid w:val="0053211D"/>
    <w:rsid w:val="00535679"/>
    <w:rsid w:val="0054003B"/>
    <w:rsid w:val="005408A0"/>
    <w:rsid w:val="00540B2A"/>
    <w:rsid w:val="005437A8"/>
    <w:rsid w:val="00546F9B"/>
    <w:rsid w:val="00547825"/>
    <w:rsid w:val="00554356"/>
    <w:rsid w:val="005553F6"/>
    <w:rsid w:val="00555D61"/>
    <w:rsid w:val="00556DFB"/>
    <w:rsid w:val="00556E04"/>
    <w:rsid w:val="00557C3A"/>
    <w:rsid w:val="00557C95"/>
    <w:rsid w:val="00560E72"/>
    <w:rsid w:val="00562052"/>
    <w:rsid w:val="00562BD4"/>
    <w:rsid w:val="0056525B"/>
    <w:rsid w:val="005724FE"/>
    <w:rsid w:val="0057481F"/>
    <w:rsid w:val="00574E5B"/>
    <w:rsid w:val="0057569F"/>
    <w:rsid w:val="00582B32"/>
    <w:rsid w:val="00584268"/>
    <w:rsid w:val="005923C3"/>
    <w:rsid w:val="00593E1C"/>
    <w:rsid w:val="00597FE6"/>
    <w:rsid w:val="005A35B9"/>
    <w:rsid w:val="005A4192"/>
    <w:rsid w:val="005A4A21"/>
    <w:rsid w:val="005A551D"/>
    <w:rsid w:val="005A7A46"/>
    <w:rsid w:val="005A7FB6"/>
    <w:rsid w:val="005B0BF6"/>
    <w:rsid w:val="005B0DAC"/>
    <w:rsid w:val="005B262E"/>
    <w:rsid w:val="005B5CB5"/>
    <w:rsid w:val="005B69DE"/>
    <w:rsid w:val="005C2A54"/>
    <w:rsid w:val="005C5FB4"/>
    <w:rsid w:val="005C6710"/>
    <w:rsid w:val="005D60EE"/>
    <w:rsid w:val="005E1879"/>
    <w:rsid w:val="005E1DAF"/>
    <w:rsid w:val="005E40CA"/>
    <w:rsid w:val="005E4F82"/>
    <w:rsid w:val="005E5FB8"/>
    <w:rsid w:val="005F0A31"/>
    <w:rsid w:val="005F2B88"/>
    <w:rsid w:val="005F2BA0"/>
    <w:rsid w:val="005F33BD"/>
    <w:rsid w:val="005F4BD5"/>
    <w:rsid w:val="006022BC"/>
    <w:rsid w:val="00606D49"/>
    <w:rsid w:val="006113B7"/>
    <w:rsid w:val="00614EB2"/>
    <w:rsid w:val="00617F8C"/>
    <w:rsid w:val="00623C01"/>
    <w:rsid w:val="006263E3"/>
    <w:rsid w:val="00626DCC"/>
    <w:rsid w:val="00631288"/>
    <w:rsid w:val="0063507E"/>
    <w:rsid w:val="00635DEF"/>
    <w:rsid w:val="006365EC"/>
    <w:rsid w:val="00642F1C"/>
    <w:rsid w:val="0064317D"/>
    <w:rsid w:val="006442F5"/>
    <w:rsid w:val="006454FE"/>
    <w:rsid w:val="00647FFB"/>
    <w:rsid w:val="00653552"/>
    <w:rsid w:val="006547CB"/>
    <w:rsid w:val="00655D91"/>
    <w:rsid w:val="00657167"/>
    <w:rsid w:val="00657174"/>
    <w:rsid w:val="0065727C"/>
    <w:rsid w:val="0065767C"/>
    <w:rsid w:val="00664A9D"/>
    <w:rsid w:val="00672372"/>
    <w:rsid w:val="00674524"/>
    <w:rsid w:val="0067570C"/>
    <w:rsid w:val="00677097"/>
    <w:rsid w:val="006775E3"/>
    <w:rsid w:val="006804B4"/>
    <w:rsid w:val="00683F8C"/>
    <w:rsid w:val="00684C93"/>
    <w:rsid w:val="0068598A"/>
    <w:rsid w:val="006875A0"/>
    <w:rsid w:val="00687754"/>
    <w:rsid w:val="00687E39"/>
    <w:rsid w:val="006966F3"/>
    <w:rsid w:val="00697697"/>
    <w:rsid w:val="006A5CB7"/>
    <w:rsid w:val="006B0507"/>
    <w:rsid w:val="006B08B7"/>
    <w:rsid w:val="006B124E"/>
    <w:rsid w:val="006B1E39"/>
    <w:rsid w:val="006B2280"/>
    <w:rsid w:val="006B273E"/>
    <w:rsid w:val="006B2DF3"/>
    <w:rsid w:val="006B4FFA"/>
    <w:rsid w:val="006B595A"/>
    <w:rsid w:val="006B7811"/>
    <w:rsid w:val="006C048B"/>
    <w:rsid w:val="006C5485"/>
    <w:rsid w:val="006C6C46"/>
    <w:rsid w:val="006C75FF"/>
    <w:rsid w:val="006D07CD"/>
    <w:rsid w:val="006D0D73"/>
    <w:rsid w:val="006D1A32"/>
    <w:rsid w:val="006D4548"/>
    <w:rsid w:val="006D7EED"/>
    <w:rsid w:val="006E04BD"/>
    <w:rsid w:val="006E0890"/>
    <w:rsid w:val="006E1293"/>
    <w:rsid w:val="006E25E9"/>
    <w:rsid w:val="006E270C"/>
    <w:rsid w:val="006E650E"/>
    <w:rsid w:val="006F0B46"/>
    <w:rsid w:val="006F0F50"/>
    <w:rsid w:val="006F3ED3"/>
    <w:rsid w:val="007021CB"/>
    <w:rsid w:val="00704795"/>
    <w:rsid w:val="00707886"/>
    <w:rsid w:val="00707973"/>
    <w:rsid w:val="0071148D"/>
    <w:rsid w:val="00713757"/>
    <w:rsid w:val="00715D1B"/>
    <w:rsid w:val="00724A51"/>
    <w:rsid w:val="00727F32"/>
    <w:rsid w:val="00730BC2"/>
    <w:rsid w:val="00737D5D"/>
    <w:rsid w:val="00737E44"/>
    <w:rsid w:val="007416CC"/>
    <w:rsid w:val="00751649"/>
    <w:rsid w:val="00751EB6"/>
    <w:rsid w:val="007529C1"/>
    <w:rsid w:val="00753F70"/>
    <w:rsid w:val="007601B4"/>
    <w:rsid w:val="0076040C"/>
    <w:rsid w:val="00760643"/>
    <w:rsid w:val="007623F7"/>
    <w:rsid w:val="00762986"/>
    <w:rsid w:val="00762D9B"/>
    <w:rsid w:val="00763B35"/>
    <w:rsid w:val="00764BA2"/>
    <w:rsid w:val="00766166"/>
    <w:rsid w:val="007667FA"/>
    <w:rsid w:val="00770736"/>
    <w:rsid w:val="00772CAE"/>
    <w:rsid w:val="007730D8"/>
    <w:rsid w:val="007735F2"/>
    <w:rsid w:val="00774334"/>
    <w:rsid w:val="00780235"/>
    <w:rsid w:val="0078117C"/>
    <w:rsid w:val="00781884"/>
    <w:rsid w:val="00785990"/>
    <w:rsid w:val="007878AC"/>
    <w:rsid w:val="00797443"/>
    <w:rsid w:val="007976B7"/>
    <w:rsid w:val="007A2951"/>
    <w:rsid w:val="007A4D22"/>
    <w:rsid w:val="007A596D"/>
    <w:rsid w:val="007A5F9F"/>
    <w:rsid w:val="007A6870"/>
    <w:rsid w:val="007B15DB"/>
    <w:rsid w:val="007B4301"/>
    <w:rsid w:val="007B4559"/>
    <w:rsid w:val="007B4ACC"/>
    <w:rsid w:val="007B6474"/>
    <w:rsid w:val="007B6B70"/>
    <w:rsid w:val="007B7BC6"/>
    <w:rsid w:val="007C0D34"/>
    <w:rsid w:val="007C1B9F"/>
    <w:rsid w:val="007C1E28"/>
    <w:rsid w:val="007C709C"/>
    <w:rsid w:val="007C710C"/>
    <w:rsid w:val="007D0BC4"/>
    <w:rsid w:val="007D15BA"/>
    <w:rsid w:val="007D437F"/>
    <w:rsid w:val="007D67D6"/>
    <w:rsid w:val="007D6F82"/>
    <w:rsid w:val="007E2064"/>
    <w:rsid w:val="007E3ED7"/>
    <w:rsid w:val="007E47A0"/>
    <w:rsid w:val="007E757B"/>
    <w:rsid w:val="007E7E1C"/>
    <w:rsid w:val="007F2F32"/>
    <w:rsid w:val="007F3E5B"/>
    <w:rsid w:val="007F5D41"/>
    <w:rsid w:val="007F6FF2"/>
    <w:rsid w:val="008018DD"/>
    <w:rsid w:val="008028AC"/>
    <w:rsid w:val="0080426F"/>
    <w:rsid w:val="00806A01"/>
    <w:rsid w:val="008109BD"/>
    <w:rsid w:val="00811176"/>
    <w:rsid w:val="00811FC6"/>
    <w:rsid w:val="00812679"/>
    <w:rsid w:val="008130C7"/>
    <w:rsid w:val="008134F6"/>
    <w:rsid w:val="00813FF5"/>
    <w:rsid w:val="008153CF"/>
    <w:rsid w:val="00815BD5"/>
    <w:rsid w:val="0081662B"/>
    <w:rsid w:val="00820E4B"/>
    <w:rsid w:val="00826719"/>
    <w:rsid w:val="0082679C"/>
    <w:rsid w:val="0083025E"/>
    <w:rsid w:val="0083649F"/>
    <w:rsid w:val="00840870"/>
    <w:rsid w:val="00841385"/>
    <w:rsid w:val="00843324"/>
    <w:rsid w:val="00843B51"/>
    <w:rsid w:val="00845620"/>
    <w:rsid w:val="008456D6"/>
    <w:rsid w:val="0084759D"/>
    <w:rsid w:val="00853945"/>
    <w:rsid w:val="00853D90"/>
    <w:rsid w:val="00856D17"/>
    <w:rsid w:val="008608AA"/>
    <w:rsid w:val="00860B19"/>
    <w:rsid w:val="00861714"/>
    <w:rsid w:val="00863021"/>
    <w:rsid w:val="0086362D"/>
    <w:rsid w:val="0086601C"/>
    <w:rsid w:val="0086696E"/>
    <w:rsid w:val="00870A80"/>
    <w:rsid w:val="00871A49"/>
    <w:rsid w:val="00872B8E"/>
    <w:rsid w:val="00873277"/>
    <w:rsid w:val="00874E7F"/>
    <w:rsid w:val="00875919"/>
    <w:rsid w:val="00876800"/>
    <w:rsid w:val="00877D50"/>
    <w:rsid w:val="00882330"/>
    <w:rsid w:val="0089470C"/>
    <w:rsid w:val="00897D80"/>
    <w:rsid w:val="008A1E11"/>
    <w:rsid w:val="008A1F51"/>
    <w:rsid w:val="008A2168"/>
    <w:rsid w:val="008A5785"/>
    <w:rsid w:val="008B0249"/>
    <w:rsid w:val="008B132E"/>
    <w:rsid w:val="008B21D9"/>
    <w:rsid w:val="008C4CDD"/>
    <w:rsid w:val="008C6821"/>
    <w:rsid w:val="008D10BD"/>
    <w:rsid w:val="008D2423"/>
    <w:rsid w:val="008D64D9"/>
    <w:rsid w:val="008D660A"/>
    <w:rsid w:val="008D730D"/>
    <w:rsid w:val="008E0823"/>
    <w:rsid w:val="008E0DB6"/>
    <w:rsid w:val="008E1F4C"/>
    <w:rsid w:val="008F1166"/>
    <w:rsid w:val="008F2962"/>
    <w:rsid w:val="008F4403"/>
    <w:rsid w:val="008F4A4B"/>
    <w:rsid w:val="008F53D3"/>
    <w:rsid w:val="008F7D54"/>
    <w:rsid w:val="00902509"/>
    <w:rsid w:val="00903F80"/>
    <w:rsid w:val="009059C4"/>
    <w:rsid w:val="00915734"/>
    <w:rsid w:val="009200D7"/>
    <w:rsid w:val="0092666E"/>
    <w:rsid w:val="00930D6B"/>
    <w:rsid w:val="009321DE"/>
    <w:rsid w:val="00932EB8"/>
    <w:rsid w:val="00933C48"/>
    <w:rsid w:val="009367A8"/>
    <w:rsid w:val="009415ED"/>
    <w:rsid w:val="00941845"/>
    <w:rsid w:val="00946D2D"/>
    <w:rsid w:val="00952923"/>
    <w:rsid w:val="00952EEB"/>
    <w:rsid w:val="0095349A"/>
    <w:rsid w:val="009534B5"/>
    <w:rsid w:val="00953EDA"/>
    <w:rsid w:val="00956ED1"/>
    <w:rsid w:val="00962004"/>
    <w:rsid w:val="00963112"/>
    <w:rsid w:val="00965C5B"/>
    <w:rsid w:val="009755C2"/>
    <w:rsid w:val="009766A9"/>
    <w:rsid w:val="009769F8"/>
    <w:rsid w:val="00977182"/>
    <w:rsid w:val="0097771C"/>
    <w:rsid w:val="0098069D"/>
    <w:rsid w:val="00980824"/>
    <w:rsid w:val="0098228C"/>
    <w:rsid w:val="00982E85"/>
    <w:rsid w:val="00986655"/>
    <w:rsid w:val="009902DD"/>
    <w:rsid w:val="00992951"/>
    <w:rsid w:val="00995D4E"/>
    <w:rsid w:val="009A107D"/>
    <w:rsid w:val="009A2A95"/>
    <w:rsid w:val="009A44C9"/>
    <w:rsid w:val="009A6D22"/>
    <w:rsid w:val="009B04F7"/>
    <w:rsid w:val="009B4FC6"/>
    <w:rsid w:val="009C011E"/>
    <w:rsid w:val="009C031E"/>
    <w:rsid w:val="009C125B"/>
    <w:rsid w:val="009C4CF6"/>
    <w:rsid w:val="009D057E"/>
    <w:rsid w:val="009D1558"/>
    <w:rsid w:val="009D2558"/>
    <w:rsid w:val="009D3831"/>
    <w:rsid w:val="009E20D0"/>
    <w:rsid w:val="009E35B3"/>
    <w:rsid w:val="009E740E"/>
    <w:rsid w:val="009F2CD3"/>
    <w:rsid w:val="009F37DC"/>
    <w:rsid w:val="009F440D"/>
    <w:rsid w:val="009F6418"/>
    <w:rsid w:val="009F78F6"/>
    <w:rsid w:val="00A01347"/>
    <w:rsid w:val="00A02CCB"/>
    <w:rsid w:val="00A03B96"/>
    <w:rsid w:val="00A04BCB"/>
    <w:rsid w:val="00A10B2F"/>
    <w:rsid w:val="00A12419"/>
    <w:rsid w:val="00A125F3"/>
    <w:rsid w:val="00A12CB5"/>
    <w:rsid w:val="00A14E91"/>
    <w:rsid w:val="00A1580E"/>
    <w:rsid w:val="00A15828"/>
    <w:rsid w:val="00A1634B"/>
    <w:rsid w:val="00A1701E"/>
    <w:rsid w:val="00A22CED"/>
    <w:rsid w:val="00A236C6"/>
    <w:rsid w:val="00A26076"/>
    <w:rsid w:val="00A30109"/>
    <w:rsid w:val="00A30DC3"/>
    <w:rsid w:val="00A31FEA"/>
    <w:rsid w:val="00A349C7"/>
    <w:rsid w:val="00A378AF"/>
    <w:rsid w:val="00A37B6E"/>
    <w:rsid w:val="00A41796"/>
    <w:rsid w:val="00A46726"/>
    <w:rsid w:val="00A518CB"/>
    <w:rsid w:val="00A51946"/>
    <w:rsid w:val="00A54447"/>
    <w:rsid w:val="00A556E5"/>
    <w:rsid w:val="00A55A31"/>
    <w:rsid w:val="00A56B2E"/>
    <w:rsid w:val="00A60381"/>
    <w:rsid w:val="00A60C03"/>
    <w:rsid w:val="00A62F88"/>
    <w:rsid w:val="00A63541"/>
    <w:rsid w:val="00A64FED"/>
    <w:rsid w:val="00A66B4D"/>
    <w:rsid w:val="00A673D4"/>
    <w:rsid w:val="00A7110B"/>
    <w:rsid w:val="00A73D14"/>
    <w:rsid w:val="00A77853"/>
    <w:rsid w:val="00A82880"/>
    <w:rsid w:val="00A923A2"/>
    <w:rsid w:val="00A939E4"/>
    <w:rsid w:val="00AA0C6A"/>
    <w:rsid w:val="00AA2580"/>
    <w:rsid w:val="00AA2A11"/>
    <w:rsid w:val="00AA2FB8"/>
    <w:rsid w:val="00AA3095"/>
    <w:rsid w:val="00AA3904"/>
    <w:rsid w:val="00AA4CB0"/>
    <w:rsid w:val="00AA7679"/>
    <w:rsid w:val="00AB01D3"/>
    <w:rsid w:val="00AB3D6C"/>
    <w:rsid w:val="00AB54E5"/>
    <w:rsid w:val="00AB5B32"/>
    <w:rsid w:val="00AB6206"/>
    <w:rsid w:val="00AC20E9"/>
    <w:rsid w:val="00AC222E"/>
    <w:rsid w:val="00AC3E65"/>
    <w:rsid w:val="00AD07E1"/>
    <w:rsid w:val="00AD13D5"/>
    <w:rsid w:val="00AD28B6"/>
    <w:rsid w:val="00AD5DBA"/>
    <w:rsid w:val="00AE2F97"/>
    <w:rsid w:val="00AE5F00"/>
    <w:rsid w:val="00AE7966"/>
    <w:rsid w:val="00AF32CD"/>
    <w:rsid w:val="00AF56A2"/>
    <w:rsid w:val="00AF5CC6"/>
    <w:rsid w:val="00AF6A51"/>
    <w:rsid w:val="00AF6C2E"/>
    <w:rsid w:val="00AF73A8"/>
    <w:rsid w:val="00B03809"/>
    <w:rsid w:val="00B03973"/>
    <w:rsid w:val="00B03C50"/>
    <w:rsid w:val="00B0437D"/>
    <w:rsid w:val="00B0582B"/>
    <w:rsid w:val="00B0619D"/>
    <w:rsid w:val="00B06BF9"/>
    <w:rsid w:val="00B06DFF"/>
    <w:rsid w:val="00B11D06"/>
    <w:rsid w:val="00B136FC"/>
    <w:rsid w:val="00B1377D"/>
    <w:rsid w:val="00B15C88"/>
    <w:rsid w:val="00B175AD"/>
    <w:rsid w:val="00B2099A"/>
    <w:rsid w:val="00B21799"/>
    <w:rsid w:val="00B21D6A"/>
    <w:rsid w:val="00B2491D"/>
    <w:rsid w:val="00B25A3D"/>
    <w:rsid w:val="00B279C9"/>
    <w:rsid w:val="00B27A54"/>
    <w:rsid w:val="00B32181"/>
    <w:rsid w:val="00B40D5A"/>
    <w:rsid w:val="00B41C58"/>
    <w:rsid w:val="00B423BC"/>
    <w:rsid w:val="00B45260"/>
    <w:rsid w:val="00B56291"/>
    <w:rsid w:val="00B56634"/>
    <w:rsid w:val="00B57C59"/>
    <w:rsid w:val="00B610B9"/>
    <w:rsid w:val="00B6471E"/>
    <w:rsid w:val="00B676A7"/>
    <w:rsid w:val="00B67A8A"/>
    <w:rsid w:val="00B769FF"/>
    <w:rsid w:val="00B8005E"/>
    <w:rsid w:val="00B83E62"/>
    <w:rsid w:val="00B87130"/>
    <w:rsid w:val="00B873B6"/>
    <w:rsid w:val="00B923EE"/>
    <w:rsid w:val="00B97CE4"/>
    <w:rsid w:val="00BA0293"/>
    <w:rsid w:val="00BA2C9A"/>
    <w:rsid w:val="00BA37E0"/>
    <w:rsid w:val="00BA5291"/>
    <w:rsid w:val="00BA78B7"/>
    <w:rsid w:val="00BA7A8D"/>
    <w:rsid w:val="00BB06E1"/>
    <w:rsid w:val="00BB5186"/>
    <w:rsid w:val="00BC5507"/>
    <w:rsid w:val="00BC695A"/>
    <w:rsid w:val="00BD1A28"/>
    <w:rsid w:val="00BD2E04"/>
    <w:rsid w:val="00BD2EB1"/>
    <w:rsid w:val="00BD4BEF"/>
    <w:rsid w:val="00BE2A3C"/>
    <w:rsid w:val="00BE346B"/>
    <w:rsid w:val="00BE6A9D"/>
    <w:rsid w:val="00BF0631"/>
    <w:rsid w:val="00BF069D"/>
    <w:rsid w:val="00BF1C22"/>
    <w:rsid w:val="00BF2CBC"/>
    <w:rsid w:val="00BF30E5"/>
    <w:rsid w:val="00BF7050"/>
    <w:rsid w:val="00C03EAF"/>
    <w:rsid w:val="00C047E1"/>
    <w:rsid w:val="00C07284"/>
    <w:rsid w:val="00C1159C"/>
    <w:rsid w:val="00C13CC1"/>
    <w:rsid w:val="00C21535"/>
    <w:rsid w:val="00C2183A"/>
    <w:rsid w:val="00C23B55"/>
    <w:rsid w:val="00C25093"/>
    <w:rsid w:val="00C25EE2"/>
    <w:rsid w:val="00C30A6E"/>
    <w:rsid w:val="00C30DD6"/>
    <w:rsid w:val="00C31143"/>
    <w:rsid w:val="00C311BC"/>
    <w:rsid w:val="00C33B31"/>
    <w:rsid w:val="00C36F49"/>
    <w:rsid w:val="00C41D9E"/>
    <w:rsid w:val="00C44399"/>
    <w:rsid w:val="00C44B8C"/>
    <w:rsid w:val="00C4697C"/>
    <w:rsid w:val="00C471F3"/>
    <w:rsid w:val="00C51922"/>
    <w:rsid w:val="00C53F81"/>
    <w:rsid w:val="00C55352"/>
    <w:rsid w:val="00C571E1"/>
    <w:rsid w:val="00C62EA2"/>
    <w:rsid w:val="00C63E8E"/>
    <w:rsid w:val="00C71DFB"/>
    <w:rsid w:val="00C751D5"/>
    <w:rsid w:val="00C80ECF"/>
    <w:rsid w:val="00C84954"/>
    <w:rsid w:val="00C86EB2"/>
    <w:rsid w:val="00C87420"/>
    <w:rsid w:val="00C907CA"/>
    <w:rsid w:val="00C959BA"/>
    <w:rsid w:val="00C961FE"/>
    <w:rsid w:val="00CA464B"/>
    <w:rsid w:val="00CA5103"/>
    <w:rsid w:val="00CA5205"/>
    <w:rsid w:val="00CA560C"/>
    <w:rsid w:val="00CB2035"/>
    <w:rsid w:val="00CB31A2"/>
    <w:rsid w:val="00CB370B"/>
    <w:rsid w:val="00CB4A33"/>
    <w:rsid w:val="00CB4A97"/>
    <w:rsid w:val="00CC0AC3"/>
    <w:rsid w:val="00CC1162"/>
    <w:rsid w:val="00CC250C"/>
    <w:rsid w:val="00CC53B5"/>
    <w:rsid w:val="00CC5AEB"/>
    <w:rsid w:val="00CE02FB"/>
    <w:rsid w:val="00CE470A"/>
    <w:rsid w:val="00CE619E"/>
    <w:rsid w:val="00CF1275"/>
    <w:rsid w:val="00CF17BA"/>
    <w:rsid w:val="00CF191F"/>
    <w:rsid w:val="00CF409B"/>
    <w:rsid w:val="00CF4D08"/>
    <w:rsid w:val="00CF6BCC"/>
    <w:rsid w:val="00D000A1"/>
    <w:rsid w:val="00D01B38"/>
    <w:rsid w:val="00D10A48"/>
    <w:rsid w:val="00D12954"/>
    <w:rsid w:val="00D15182"/>
    <w:rsid w:val="00D21D2F"/>
    <w:rsid w:val="00D22A8D"/>
    <w:rsid w:val="00D234E0"/>
    <w:rsid w:val="00D26510"/>
    <w:rsid w:val="00D3450E"/>
    <w:rsid w:val="00D402C1"/>
    <w:rsid w:val="00D42716"/>
    <w:rsid w:val="00D4616B"/>
    <w:rsid w:val="00D5130E"/>
    <w:rsid w:val="00D52ED7"/>
    <w:rsid w:val="00D53306"/>
    <w:rsid w:val="00D53B89"/>
    <w:rsid w:val="00D53C0B"/>
    <w:rsid w:val="00D54537"/>
    <w:rsid w:val="00D60BC4"/>
    <w:rsid w:val="00D63049"/>
    <w:rsid w:val="00D66A11"/>
    <w:rsid w:val="00D66CB2"/>
    <w:rsid w:val="00D711E2"/>
    <w:rsid w:val="00D761D6"/>
    <w:rsid w:val="00D766A8"/>
    <w:rsid w:val="00D77304"/>
    <w:rsid w:val="00D868D0"/>
    <w:rsid w:val="00D90511"/>
    <w:rsid w:val="00D93260"/>
    <w:rsid w:val="00D93385"/>
    <w:rsid w:val="00D93BDD"/>
    <w:rsid w:val="00D978BD"/>
    <w:rsid w:val="00DA0299"/>
    <w:rsid w:val="00DA0754"/>
    <w:rsid w:val="00DA0EBF"/>
    <w:rsid w:val="00DA2194"/>
    <w:rsid w:val="00DA40A1"/>
    <w:rsid w:val="00DA4426"/>
    <w:rsid w:val="00DA4F72"/>
    <w:rsid w:val="00DA57C2"/>
    <w:rsid w:val="00DB1938"/>
    <w:rsid w:val="00DB3E40"/>
    <w:rsid w:val="00DC32E2"/>
    <w:rsid w:val="00DC79BC"/>
    <w:rsid w:val="00DD4113"/>
    <w:rsid w:val="00DD4CDE"/>
    <w:rsid w:val="00DE015F"/>
    <w:rsid w:val="00DE0D4A"/>
    <w:rsid w:val="00DE4D0D"/>
    <w:rsid w:val="00DE5153"/>
    <w:rsid w:val="00DE7964"/>
    <w:rsid w:val="00DE7E57"/>
    <w:rsid w:val="00DF2B4B"/>
    <w:rsid w:val="00E01F50"/>
    <w:rsid w:val="00E07E0C"/>
    <w:rsid w:val="00E10ECC"/>
    <w:rsid w:val="00E11A66"/>
    <w:rsid w:val="00E14054"/>
    <w:rsid w:val="00E21006"/>
    <w:rsid w:val="00E266C1"/>
    <w:rsid w:val="00E34DAB"/>
    <w:rsid w:val="00E36A06"/>
    <w:rsid w:val="00E40D22"/>
    <w:rsid w:val="00E43D4C"/>
    <w:rsid w:val="00E44894"/>
    <w:rsid w:val="00E5101B"/>
    <w:rsid w:val="00E52C8E"/>
    <w:rsid w:val="00E53D46"/>
    <w:rsid w:val="00E5611D"/>
    <w:rsid w:val="00E57C20"/>
    <w:rsid w:val="00E6142A"/>
    <w:rsid w:val="00E65380"/>
    <w:rsid w:val="00E7285D"/>
    <w:rsid w:val="00E74658"/>
    <w:rsid w:val="00E747BE"/>
    <w:rsid w:val="00E77A4C"/>
    <w:rsid w:val="00E81ACF"/>
    <w:rsid w:val="00E90D92"/>
    <w:rsid w:val="00E93F77"/>
    <w:rsid w:val="00E95A46"/>
    <w:rsid w:val="00E96AC2"/>
    <w:rsid w:val="00E97C5B"/>
    <w:rsid w:val="00E97FEF"/>
    <w:rsid w:val="00EA1271"/>
    <w:rsid w:val="00EA29E1"/>
    <w:rsid w:val="00EA3E0B"/>
    <w:rsid w:val="00EA42B7"/>
    <w:rsid w:val="00EB1172"/>
    <w:rsid w:val="00EB63F8"/>
    <w:rsid w:val="00EC2C67"/>
    <w:rsid w:val="00EC2F76"/>
    <w:rsid w:val="00EC4CAF"/>
    <w:rsid w:val="00ED0FC2"/>
    <w:rsid w:val="00ED23F3"/>
    <w:rsid w:val="00ED29CD"/>
    <w:rsid w:val="00ED4845"/>
    <w:rsid w:val="00ED6CE3"/>
    <w:rsid w:val="00EF0296"/>
    <w:rsid w:val="00EF627A"/>
    <w:rsid w:val="00EF6405"/>
    <w:rsid w:val="00EF74FB"/>
    <w:rsid w:val="00F005B4"/>
    <w:rsid w:val="00F00722"/>
    <w:rsid w:val="00F03024"/>
    <w:rsid w:val="00F070BF"/>
    <w:rsid w:val="00F07A63"/>
    <w:rsid w:val="00F10C90"/>
    <w:rsid w:val="00F111E5"/>
    <w:rsid w:val="00F11247"/>
    <w:rsid w:val="00F11C3A"/>
    <w:rsid w:val="00F1270C"/>
    <w:rsid w:val="00F17B01"/>
    <w:rsid w:val="00F20FA7"/>
    <w:rsid w:val="00F22C45"/>
    <w:rsid w:val="00F22C9B"/>
    <w:rsid w:val="00F247CA"/>
    <w:rsid w:val="00F27A6B"/>
    <w:rsid w:val="00F30220"/>
    <w:rsid w:val="00F34C9C"/>
    <w:rsid w:val="00F37160"/>
    <w:rsid w:val="00F411E1"/>
    <w:rsid w:val="00F42671"/>
    <w:rsid w:val="00F4316E"/>
    <w:rsid w:val="00F50E59"/>
    <w:rsid w:val="00F55D2D"/>
    <w:rsid w:val="00F5621D"/>
    <w:rsid w:val="00F6092A"/>
    <w:rsid w:val="00F60AA6"/>
    <w:rsid w:val="00F613C1"/>
    <w:rsid w:val="00F61F7E"/>
    <w:rsid w:val="00F6236A"/>
    <w:rsid w:val="00F62588"/>
    <w:rsid w:val="00F6275B"/>
    <w:rsid w:val="00F62BF3"/>
    <w:rsid w:val="00F64282"/>
    <w:rsid w:val="00F652C6"/>
    <w:rsid w:val="00F664D4"/>
    <w:rsid w:val="00F67548"/>
    <w:rsid w:val="00F701E3"/>
    <w:rsid w:val="00F70CC2"/>
    <w:rsid w:val="00F720DD"/>
    <w:rsid w:val="00F74DB4"/>
    <w:rsid w:val="00F80772"/>
    <w:rsid w:val="00F83F95"/>
    <w:rsid w:val="00F84642"/>
    <w:rsid w:val="00F85B0D"/>
    <w:rsid w:val="00F86BF5"/>
    <w:rsid w:val="00F91385"/>
    <w:rsid w:val="00F95455"/>
    <w:rsid w:val="00FA1C5D"/>
    <w:rsid w:val="00FA22FD"/>
    <w:rsid w:val="00FA2C87"/>
    <w:rsid w:val="00FA2F60"/>
    <w:rsid w:val="00FA378B"/>
    <w:rsid w:val="00FA4465"/>
    <w:rsid w:val="00FA4B62"/>
    <w:rsid w:val="00FB1CDB"/>
    <w:rsid w:val="00FC029E"/>
    <w:rsid w:val="00FC1FE9"/>
    <w:rsid w:val="00FC3778"/>
    <w:rsid w:val="00FC523E"/>
    <w:rsid w:val="00FD45D6"/>
    <w:rsid w:val="00FD7147"/>
    <w:rsid w:val="00FD7790"/>
    <w:rsid w:val="00FD7839"/>
    <w:rsid w:val="00FE1D66"/>
    <w:rsid w:val="00FE293C"/>
    <w:rsid w:val="00FE6162"/>
    <w:rsid w:val="00FE6373"/>
    <w:rsid w:val="00FF0919"/>
    <w:rsid w:val="00FF1733"/>
    <w:rsid w:val="00FF2FC3"/>
    <w:rsid w:val="00FF5B4D"/>
    <w:rsid w:val="00FF628A"/>
    <w:rsid w:val="00FF7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E2F6"/>
  <w15:chartTrackingRefBased/>
  <w15:docId w15:val="{0D618078-3205-4D4E-B801-5A9B60F00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029E"/>
    <w:pPr>
      <w:spacing w:after="0" w:line="240" w:lineRule="auto"/>
    </w:pPr>
    <w:rPr>
      <w:rFonts w:ascii="Times New Roman" w:eastAsia="Times New Roman" w:hAnsi="Times New Roman" w:cs="Times New Roman"/>
      <w:sz w:val="24"/>
      <w:szCs w:val="24"/>
      <w:lang w:val="en-CA"/>
    </w:rPr>
  </w:style>
  <w:style w:type="paragraph" w:styleId="Heading1">
    <w:name w:val="heading 1"/>
    <w:basedOn w:val="Normal"/>
    <w:link w:val="Heading1Char"/>
    <w:uiPriority w:val="9"/>
    <w:qFormat/>
    <w:rsid w:val="005E5FB8"/>
    <w:pPr>
      <w:spacing w:before="100" w:beforeAutospacing="1" w:after="100" w:afterAutospacing="1"/>
      <w:outlineLvl w:val="0"/>
    </w:pPr>
    <w:rPr>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B4B"/>
    <w:pPr>
      <w:ind w:left="720"/>
      <w:contextualSpacing/>
    </w:pPr>
    <w:rPr>
      <w:rFonts w:asciiTheme="minorHAnsi" w:eastAsiaTheme="minorHAnsi" w:hAnsiTheme="minorHAnsi" w:cstheme="minorBidi"/>
      <w:lang w:val="en-US"/>
    </w:rPr>
  </w:style>
  <w:style w:type="paragraph" w:styleId="NormalWeb">
    <w:name w:val="Normal (Web)"/>
    <w:basedOn w:val="Normal"/>
    <w:uiPriority w:val="99"/>
    <w:semiHidden/>
    <w:unhideWhenUsed/>
    <w:rsid w:val="007B4ACC"/>
    <w:pPr>
      <w:spacing w:before="100" w:beforeAutospacing="1" w:after="100" w:afterAutospacing="1"/>
    </w:pPr>
    <w:rPr>
      <w:lang w:val="en-US"/>
    </w:rPr>
  </w:style>
  <w:style w:type="character" w:styleId="Hyperlink">
    <w:name w:val="Hyperlink"/>
    <w:basedOn w:val="DefaultParagraphFont"/>
    <w:uiPriority w:val="99"/>
    <w:unhideWhenUsed/>
    <w:rsid w:val="00CF17BA"/>
    <w:rPr>
      <w:color w:val="0563C1" w:themeColor="hyperlink"/>
      <w:u w:val="single"/>
    </w:rPr>
  </w:style>
  <w:style w:type="paragraph" w:styleId="BalloonText">
    <w:name w:val="Balloon Text"/>
    <w:basedOn w:val="Normal"/>
    <w:link w:val="BalloonTextChar"/>
    <w:uiPriority w:val="99"/>
    <w:semiHidden/>
    <w:unhideWhenUsed/>
    <w:rsid w:val="00AF6C2E"/>
    <w:rPr>
      <w:rFonts w:eastAsiaTheme="minorHAnsi" w:cstheme="minorBidi"/>
      <w:sz w:val="18"/>
      <w:szCs w:val="18"/>
      <w:lang w:val="en-US"/>
    </w:rPr>
  </w:style>
  <w:style w:type="character" w:customStyle="1" w:styleId="BalloonTextChar">
    <w:name w:val="Balloon Text Char"/>
    <w:basedOn w:val="DefaultParagraphFont"/>
    <w:link w:val="BalloonText"/>
    <w:uiPriority w:val="99"/>
    <w:semiHidden/>
    <w:rsid w:val="00AF6C2E"/>
    <w:rPr>
      <w:rFonts w:ascii="Times New Roman" w:hAnsi="Times New Roman"/>
      <w:sz w:val="18"/>
      <w:szCs w:val="18"/>
    </w:rPr>
  </w:style>
  <w:style w:type="character" w:styleId="CommentReference">
    <w:name w:val="annotation reference"/>
    <w:basedOn w:val="DefaultParagraphFont"/>
    <w:uiPriority w:val="99"/>
    <w:semiHidden/>
    <w:unhideWhenUsed/>
    <w:rsid w:val="00664A9D"/>
    <w:rPr>
      <w:sz w:val="16"/>
      <w:szCs w:val="16"/>
    </w:rPr>
  </w:style>
  <w:style w:type="paragraph" w:styleId="CommentText">
    <w:name w:val="annotation text"/>
    <w:basedOn w:val="Normal"/>
    <w:link w:val="CommentTextChar"/>
    <w:uiPriority w:val="99"/>
    <w:semiHidden/>
    <w:unhideWhenUsed/>
    <w:rsid w:val="00664A9D"/>
    <w:rPr>
      <w:rFonts w:asciiTheme="minorHAnsi" w:eastAsiaTheme="minorHAnsi" w:hAnsiTheme="minorHAnsi" w:cstheme="minorBidi"/>
      <w:sz w:val="20"/>
      <w:szCs w:val="20"/>
      <w:lang w:val="en-US"/>
    </w:rPr>
  </w:style>
  <w:style w:type="character" w:customStyle="1" w:styleId="CommentTextChar">
    <w:name w:val="Comment Text Char"/>
    <w:basedOn w:val="DefaultParagraphFont"/>
    <w:link w:val="CommentText"/>
    <w:uiPriority w:val="99"/>
    <w:semiHidden/>
    <w:rsid w:val="00664A9D"/>
    <w:rPr>
      <w:sz w:val="20"/>
      <w:szCs w:val="20"/>
    </w:rPr>
  </w:style>
  <w:style w:type="paragraph" w:styleId="CommentSubject">
    <w:name w:val="annotation subject"/>
    <w:basedOn w:val="CommentText"/>
    <w:next w:val="CommentText"/>
    <w:link w:val="CommentSubjectChar"/>
    <w:uiPriority w:val="99"/>
    <w:semiHidden/>
    <w:unhideWhenUsed/>
    <w:rsid w:val="00664A9D"/>
    <w:rPr>
      <w:b/>
      <w:bCs/>
    </w:rPr>
  </w:style>
  <w:style w:type="character" w:customStyle="1" w:styleId="CommentSubjectChar">
    <w:name w:val="Comment Subject Char"/>
    <w:basedOn w:val="CommentTextChar"/>
    <w:link w:val="CommentSubject"/>
    <w:uiPriority w:val="99"/>
    <w:semiHidden/>
    <w:rsid w:val="00664A9D"/>
    <w:rPr>
      <w:b/>
      <w:bCs/>
      <w:sz w:val="20"/>
      <w:szCs w:val="20"/>
    </w:rPr>
  </w:style>
  <w:style w:type="character" w:styleId="PlaceholderText">
    <w:name w:val="Placeholder Text"/>
    <w:basedOn w:val="DefaultParagraphFont"/>
    <w:uiPriority w:val="99"/>
    <w:semiHidden/>
    <w:rsid w:val="005E4F82"/>
    <w:rPr>
      <w:color w:val="808080"/>
    </w:rPr>
  </w:style>
  <w:style w:type="paragraph" w:customStyle="1" w:styleId="EndNoteBibliographyTitle">
    <w:name w:val="EndNote Bibliography Title"/>
    <w:basedOn w:val="Normal"/>
    <w:link w:val="EndNoteBibliographyTitleChar"/>
    <w:rsid w:val="008F53D3"/>
    <w:pPr>
      <w:jc w:val="center"/>
    </w:pPr>
    <w:rPr>
      <w:rFonts w:ascii="Calibri" w:eastAsiaTheme="minorHAnsi" w:hAnsi="Calibri" w:cs="Calibri"/>
      <w:noProof/>
      <w:lang w:val="en-US"/>
    </w:rPr>
  </w:style>
  <w:style w:type="character" w:customStyle="1" w:styleId="EndNoteBibliographyTitleChar">
    <w:name w:val="EndNote Bibliography Title Char"/>
    <w:basedOn w:val="DefaultParagraphFont"/>
    <w:link w:val="EndNoteBibliographyTitle"/>
    <w:rsid w:val="008F53D3"/>
    <w:rPr>
      <w:rFonts w:ascii="Calibri" w:hAnsi="Calibri" w:cs="Calibri"/>
      <w:noProof/>
      <w:sz w:val="24"/>
      <w:szCs w:val="24"/>
    </w:rPr>
  </w:style>
  <w:style w:type="paragraph" w:customStyle="1" w:styleId="EndNoteBibliography">
    <w:name w:val="EndNote Bibliography"/>
    <w:basedOn w:val="Normal"/>
    <w:link w:val="EndNoteBibliographyChar"/>
    <w:rsid w:val="008F53D3"/>
    <w:rPr>
      <w:rFonts w:ascii="Calibri" w:eastAsiaTheme="minorHAnsi" w:hAnsi="Calibri" w:cs="Calibri"/>
      <w:noProof/>
      <w:lang w:val="en-US"/>
    </w:rPr>
  </w:style>
  <w:style w:type="character" w:customStyle="1" w:styleId="EndNoteBibliographyChar">
    <w:name w:val="EndNote Bibliography Char"/>
    <w:basedOn w:val="DefaultParagraphFont"/>
    <w:link w:val="EndNoteBibliography"/>
    <w:rsid w:val="008F53D3"/>
    <w:rPr>
      <w:rFonts w:ascii="Calibri" w:hAnsi="Calibri" w:cs="Calibri"/>
      <w:noProof/>
      <w:sz w:val="24"/>
      <w:szCs w:val="24"/>
    </w:rPr>
  </w:style>
  <w:style w:type="paragraph" w:styleId="Bibliography">
    <w:name w:val="Bibliography"/>
    <w:basedOn w:val="Normal"/>
    <w:next w:val="Normal"/>
    <w:uiPriority w:val="37"/>
    <w:unhideWhenUsed/>
    <w:rsid w:val="00E81ACF"/>
    <w:pPr>
      <w:spacing w:after="240"/>
      <w:ind w:left="720" w:hanging="720"/>
    </w:pPr>
    <w:rPr>
      <w:rFonts w:asciiTheme="minorHAnsi" w:eastAsiaTheme="minorHAnsi" w:hAnsiTheme="minorHAnsi" w:cstheme="minorBidi"/>
      <w:lang w:val="en-US"/>
    </w:rPr>
  </w:style>
  <w:style w:type="character" w:styleId="LineNumber">
    <w:name w:val="line number"/>
    <w:basedOn w:val="DefaultParagraphFont"/>
    <w:uiPriority w:val="99"/>
    <w:semiHidden/>
    <w:unhideWhenUsed/>
    <w:rsid w:val="00C62EA2"/>
  </w:style>
  <w:style w:type="character" w:styleId="Strong">
    <w:name w:val="Strong"/>
    <w:basedOn w:val="DefaultParagraphFont"/>
    <w:uiPriority w:val="22"/>
    <w:qFormat/>
    <w:rsid w:val="00D5130E"/>
    <w:rPr>
      <w:b/>
      <w:bCs/>
    </w:rPr>
  </w:style>
  <w:style w:type="character" w:customStyle="1" w:styleId="UnresolvedMention1">
    <w:name w:val="Unresolved Mention1"/>
    <w:basedOn w:val="DefaultParagraphFont"/>
    <w:uiPriority w:val="99"/>
    <w:semiHidden/>
    <w:unhideWhenUsed/>
    <w:rsid w:val="00515706"/>
    <w:rPr>
      <w:color w:val="605E5C"/>
      <w:shd w:val="clear" w:color="auto" w:fill="E1DFDD"/>
    </w:rPr>
  </w:style>
  <w:style w:type="paragraph" w:styleId="Revision">
    <w:name w:val="Revision"/>
    <w:hidden/>
    <w:uiPriority w:val="99"/>
    <w:semiHidden/>
    <w:rsid w:val="00853D90"/>
    <w:pPr>
      <w:spacing w:after="0" w:line="240" w:lineRule="auto"/>
    </w:pPr>
    <w:rPr>
      <w:sz w:val="24"/>
      <w:szCs w:val="24"/>
    </w:rPr>
  </w:style>
  <w:style w:type="character" w:styleId="FollowedHyperlink">
    <w:name w:val="FollowedHyperlink"/>
    <w:basedOn w:val="DefaultParagraphFont"/>
    <w:uiPriority w:val="99"/>
    <w:semiHidden/>
    <w:unhideWhenUsed/>
    <w:rsid w:val="00FE6162"/>
    <w:rPr>
      <w:color w:val="954F72" w:themeColor="followedHyperlink"/>
      <w:u w:val="single"/>
    </w:rPr>
  </w:style>
  <w:style w:type="table" w:styleId="TableGrid">
    <w:name w:val="Table Grid"/>
    <w:basedOn w:val="TableNormal"/>
    <w:uiPriority w:val="39"/>
    <w:rsid w:val="004602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7012"/>
    <w:pPr>
      <w:tabs>
        <w:tab w:val="center" w:pos="4680"/>
        <w:tab w:val="right" w:pos="9360"/>
      </w:tabs>
    </w:pPr>
  </w:style>
  <w:style w:type="character" w:customStyle="1" w:styleId="HeaderChar">
    <w:name w:val="Header Char"/>
    <w:basedOn w:val="DefaultParagraphFont"/>
    <w:link w:val="Header"/>
    <w:uiPriority w:val="99"/>
    <w:rsid w:val="00217012"/>
    <w:rPr>
      <w:rFonts w:ascii="Times New Roman" w:eastAsia="Times New Roman" w:hAnsi="Times New Roman" w:cs="Times New Roman"/>
      <w:sz w:val="24"/>
      <w:szCs w:val="24"/>
      <w:lang w:val="en-CA"/>
    </w:rPr>
  </w:style>
  <w:style w:type="paragraph" w:styleId="Footer">
    <w:name w:val="footer"/>
    <w:basedOn w:val="Normal"/>
    <w:link w:val="FooterChar"/>
    <w:uiPriority w:val="99"/>
    <w:unhideWhenUsed/>
    <w:rsid w:val="00217012"/>
    <w:pPr>
      <w:tabs>
        <w:tab w:val="center" w:pos="4680"/>
        <w:tab w:val="right" w:pos="9360"/>
      </w:tabs>
    </w:pPr>
  </w:style>
  <w:style w:type="character" w:customStyle="1" w:styleId="FooterChar">
    <w:name w:val="Footer Char"/>
    <w:basedOn w:val="DefaultParagraphFont"/>
    <w:link w:val="Footer"/>
    <w:uiPriority w:val="99"/>
    <w:rsid w:val="00217012"/>
    <w:rPr>
      <w:rFonts w:ascii="Times New Roman" w:eastAsia="Times New Roman" w:hAnsi="Times New Roman" w:cs="Times New Roman"/>
      <w:sz w:val="24"/>
      <w:szCs w:val="24"/>
      <w:lang w:val="en-CA"/>
    </w:rPr>
  </w:style>
  <w:style w:type="character" w:customStyle="1" w:styleId="italic">
    <w:name w:val="italic"/>
    <w:basedOn w:val="DefaultParagraphFont"/>
    <w:rsid w:val="005E5FB8"/>
  </w:style>
  <w:style w:type="character" w:customStyle="1" w:styleId="Heading1Char">
    <w:name w:val="Heading 1 Char"/>
    <w:basedOn w:val="DefaultParagraphFont"/>
    <w:link w:val="Heading1"/>
    <w:uiPriority w:val="9"/>
    <w:rsid w:val="005E5FB8"/>
    <w:rPr>
      <w:rFonts w:ascii="Times New Roman" w:eastAsia="Times New Roman" w:hAnsi="Times New Roman" w:cs="Times New Roman"/>
      <w:b/>
      <w:bCs/>
      <w:kern w:val="36"/>
      <w:sz w:val="48"/>
      <w:szCs w:val="48"/>
    </w:rPr>
  </w:style>
  <w:style w:type="paragraph" w:customStyle="1" w:styleId="author">
    <w:name w:val="author"/>
    <w:basedOn w:val="Normal"/>
    <w:rsid w:val="005E5FB8"/>
    <w:pPr>
      <w:spacing w:before="100" w:beforeAutospacing="1" w:after="100" w:afterAutospacing="1"/>
    </w:pPr>
    <w:rPr>
      <w:lang w:val="en-US"/>
    </w:rPr>
  </w:style>
  <w:style w:type="character" w:customStyle="1" w:styleId="bold">
    <w:name w:val="bold"/>
    <w:basedOn w:val="DefaultParagraphFont"/>
    <w:rsid w:val="00A60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2718">
      <w:bodyDiv w:val="1"/>
      <w:marLeft w:val="0"/>
      <w:marRight w:val="0"/>
      <w:marTop w:val="0"/>
      <w:marBottom w:val="0"/>
      <w:divBdr>
        <w:top w:val="none" w:sz="0" w:space="0" w:color="auto"/>
        <w:left w:val="none" w:sz="0" w:space="0" w:color="auto"/>
        <w:bottom w:val="none" w:sz="0" w:space="0" w:color="auto"/>
        <w:right w:val="none" w:sz="0" w:space="0" w:color="auto"/>
      </w:divBdr>
    </w:div>
    <w:div w:id="7828850">
      <w:bodyDiv w:val="1"/>
      <w:marLeft w:val="0"/>
      <w:marRight w:val="0"/>
      <w:marTop w:val="0"/>
      <w:marBottom w:val="0"/>
      <w:divBdr>
        <w:top w:val="none" w:sz="0" w:space="0" w:color="auto"/>
        <w:left w:val="none" w:sz="0" w:space="0" w:color="auto"/>
        <w:bottom w:val="none" w:sz="0" w:space="0" w:color="auto"/>
        <w:right w:val="none" w:sz="0" w:space="0" w:color="auto"/>
      </w:divBdr>
    </w:div>
    <w:div w:id="72750418">
      <w:bodyDiv w:val="1"/>
      <w:marLeft w:val="0"/>
      <w:marRight w:val="0"/>
      <w:marTop w:val="0"/>
      <w:marBottom w:val="0"/>
      <w:divBdr>
        <w:top w:val="none" w:sz="0" w:space="0" w:color="auto"/>
        <w:left w:val="none" w:sz="0" w:space="0" w:color="auto"/>
        <w:bottom w:val="none" w:sz="0" w:space="0" w:color="auto"/>
        <w:right w:val="none" w:sz="0" w:space="0" w:color="auto"/>
      </w:divBdr>
    </w:div>
    <w:div w:id="94787041">
      <w:bodyDiv w:val="1"/>
      <w:marLeft w:val="0"/>
      <w:marRight w:val="0"/>
      <w:marTop w:val="0"/>
      <w:marBottom w:val="0"/>
      <w:divBdr>
        <w:top w:val="none" w:sz="0" w:space="0" w:color="auto"/>
        <w:left w:val="none" w:sz="0" w:space="0" w:color="auto"/>
        <w:bottom w:val="none" w:sz="0" w:space="0" w:color="auto"/>
        <w:right w:val="none" w:sz="0" w:space="0" w:color="auto"/>
      </w:divBdr>
    </w:div>
    <w:div w:id="95832781">
      <w:bodyDiv w:val="1"/>
      <w:marLeft w:val="0"/>
      <w:marRight w:val="0"/>
      <w:marTop w:val="0"/>
      <w:marBottom w:val="0"/>
      <w:divBdr>
        <w:top w:val="none" w:sz="0" w:space="0" w:color="auto"/>
        <w:left w:val="none" w:sz="0" w:space="0" w:color="auto"/>
        <w:bottom w:val="none" w:sz="0" w:space="0" w:color="auto"/>
        <w:right w:val="none" w:sz="0" w:space="0" w:color="auto"/>
      </w:divBdr>
    </w:div>
    <w:div w:id="413860751">
      <w:bodyDiv w:val="1"/>
      <w:marLeft w:val="0"/>
      <w:marRight w:val="0"/>
      <w:marTop w:val="0"/>
      <w:marBottom w:val="0"/>
      <w:divBdr>
        <w:top w:val="none" w:sz="0" w:space="0" w:color="auto"/>
        <w:left w:val="none" w:sz="0" w:space="0" w:color="auto"/>
        <w:bottom w:val="none" w:sz="0" w:space="0" w:color="auto"/>
        <w:right w:val="none" w:sz="0" w:space="0" w:color="auto"/>
      </w:divBdr>
    </w:div>
    <w:div w:id="416637685">
      <w:bodyDiv w:val="1"/>
      <w:marLeft w:val="0"/>
      <w:marRight w:val="0"/>
      <w:marTop w:val="0"/>
      <w:marBottom w:val="0"/>
      <w:divBdr>
        <w:top w:val="none" w:sz="0" w:space="0" w:color="auto"/>
        <w:left w:val="none" w:sz="0" w:space="0" w:color="auto"/>
        <w:bottom w:val="none" w:sz="0" w:space="0" w:color="auto"/>
        <w:right w:val="none" w:sz="0" w:space="0" w:color="auto"/>
      </w:divBdr>
    </w:div>
    <w:div w:id="515268674">
      <w:bodyDiv w:val="1"/>
      <w:marLeft w:val="0"/>
      <w:marRight w:val="0"/>
      <w:marTop w:val="0"/>
      <w:marBottom w:val="0"/>
      <w:divBdr>
        <w:top w:val="none" w:sz="0" w:space="0" w:color="auto"/>
        <w:left w:val="none" w:sz="0" w:space="0" w:color="auto"/>
        <w:bottom w:val="none" w:sz="0" w:space="0" w:color="auto"/>
        <w:right w:val="none" w:sz="0" w:space="0" w:color="auto"/>
      </w:divBdr>
    </w:div>
    <w:div w:id="642199672">
      <w:bodyDiv w:val="1"/>
      <w:marLeft w:val="0"/>
      <w:marRight w:val="0"/>
      <w:marTop w:val="0"/>
      <w:marBottom w:val="0"/>
      <w:divBdr>
        <w:top w:val="none" w:sz="0" w:space="0" w:color="auto"/>
        <w:left w:val="none" w:sz="0" w:space="0" w:color="auto"/>
        <w:bottom w:val="none" w:sz="0" w:space="0" w:color="auto"/>
        <w:right w:val="none" w:sz="0" w:space="0" w:color="auto"/>
      </w:divBdr>
    </w:div>
    <w:div w:id="780612402">
      <w:bodyDiv w:val="1"/>
      <w:marLeft w:val="0"/>
      <w:marRight w:val="0"/>
      <w:marTop w:val="0"/>
      <w:marBottom w:val="0"/>
      <w:divBdr>
        <w:top w:val="none" w:sz="0" w:space="0" w:color="auto"/>
        <w:left w:val="none" w:sz="0" w:space="0" w:color="auto"/>
        <w:bottom w:val="none" w:sz="0" w:space="0" w:color="auto"/>
        <w:right w:val="none" w:sz="0" w:space="0" w:color="auto"/>
      </w:divBdr>
    </w:div>
    <w:div w:id="803086496">
      <w:bodyDiv w:val="1"/>
      <w:marLeft w:val="0"/>
      <w:marRight w:val="0"/>
      <w:marTop w:val="0"/>
      <w:marBottom w:val="0"/>
      <w:divBdr>
        <w:top w:val="none" w:sz="0" w:space="0" w:color="auto"/>
        <w:left w:val="none" w:sz="0" w:space="0" w:color="auto"/>
        <w:bottom w:val="none" w:sz="0" w:space="0" w:color="auto"/>
        <w:right w:val="none" w:sz="0" w:space="0" w:color="auto"/>
      </w:divBdr>
    </w:div>
    <w:div w:id="897936745">
      <w:bodyDiv w:val="1"/>
      <w:marLeft w:val="0"/>
      <w:marRight w:val="0"/>
      <w:marTop w:val="0"/>
      <w:marBottom w:val="0"/>
      <w:divBdr>
        <w:top w:val="none" w:sz="0" w:space="0" w:color="auto"/>
        <w:left w:val="none" w:sz="0" w:space="0" w:color="auto"/>
        <w:bottom w:val="none" w:sz="0" w:space="0" w:color="auto"/>
        <w:right w:val="none" w:sz="0" w:space="0" w:color="auto"/>
      </w:divBdr>
    </w:div>
    <w:div w:id="985204237">
      <w:bodyDiv w:val="1"/>
      <w:marLeft w:val="0"/>
      <w:marRight w:val="0"/>
      <w:marTop w:val="0"/>
      <w:marBottom w:val="0"/>
      <w:divBdr>
        <w:top w:val="none" w:sz="0" w:space="0" w:color="auto"/>
        <w:left w:val="none" w:sz="0" w:space="0" w:color="auto"/>
        <w:bottom w:val="none" w:sz="0" w:space="0" w:color="auto"/>
        <w:right w:val="none" w:sz="0" w:space="0" w:color="auto"/>
      </w:divBdr>
    </w:div>
    <w:div w:id="1064644358">
      <w:bodyDiv w:val="1"/>
      <w:marLeft w:val="0"/>
      <w:marRight w:val="0"/>
      <w:marTop w:val="0"/>
      <w:marBottom w:val="0"/>
      <w:divBdr>
        <w:top w:val="none" w:sz="0" w:space="0" w:color="auto"/>
        <w:left w:val="none" w:sz="0" w:space="0" w:color="auto"/>
        <w:bottom w:val="none" w:sz="0" w:space="0" w:color="auto"/>
        <w:right w:val="none" w:sz="0" w:space="0" w:color="auto"/>
      </w:divBdr>
    </w:div>
    <w:div w:id="1328092579">
      <w:bodyDiv w:val="1"/>
      <w:marLeft w:val="0"/>
      <w:marRight w:val="0"/>
      <w:marTop w:val="0"/>
      <w:marBottom w:val="0"/>
      <w:divBdr>
        <w:top w:val="none" w:sz="0" w:space="0" w:color="auto"/>
        <w:left w:val="none" w:sz="0" w:space="0" w:color="auto"/>
        <w:bottom w:val="none" w:sz="0" w:space="0" w:color="auto"/>
        <w:right w:val="none" w:sz="0" w:space="0" w:color="auto"/>
      </w:divBdr>
    </w:div>
    <w:div w:id="1342927198">
      <w:bodyDiv w:val="1"/>
      <w:marLeft w:val="0"/>
      <w:marRight w:val="0"/>
      <w:marTop w:val="0"/>
      <w:marBottom w:val="0"/>
      <w:divBdr>
        <w:top w:val="none" w:sz="0" w:space="0" w:color="auto"/>
        <w:left w:val="none" w:sz="0" w:space="0" w:color="auto"/>
        <w:bottom w:val="none" w:sz="0" w:space="0" w:color="auto"/>
        <w:right w:val="none" w:sz="0" w:space="0" w:color="auto"/>
      </w:divBdr>
    </w:div>
    <w:div w:id="1353532532">
      <w:bodyDiv w:val="1"/>
      <w:marLeft w:val="0"/>
      <w:marRight w:val="0"/>
      <w:marTop w:val="0"/>
      <w:marBottom w:val="0"/>
      <w:divBdr>
        <w:top w:val="none" w:sz="0" w:space="0" w:color="auto"/>
        <w:left w:val="none" w:sz="0" w:space="0" w:color="auto"/>
        <w:bottom w:val="none" w:sz="0" w:space="0" w:color="auto"/>
        <w:right w:val="none" w:sz="0" w:space="0" w:color="auto"/>
      </w:divBdr>
    </w:div>
    <w:div w:id="1665938745">
      <w:bodyDiv w:val="1"/>
      <w:marLeft w:val="0"/>
      <w:marRight w:val="0"/>
      <w:marTop w:val="0"/>
      <w:marBottom w:val="0"/>
      <w:divBdr>
        <w:top w:val="none" w:sz="0" w:space="0" w:color="auto"/>
        <w:left w:val="none" w:sz="0" w:space="0" w:color="auto"/>
        <w:bottom w:val="none" w:sz="0" w:space="0" w:color="auto"/>
        <w:right w:val="none" w:sz="0" w:space="0" w:color="auto"/>
      </w:divBdr>
      <w:divsChild>
        <w:div w:id="1979992986">
          <w:marLeft w:val="0"/>
          <w:marRight w:val="0"/>
          <w:marTop w:val="0"/>
          <w:marBottom w:val="0"/>
          <w:divBdr>
            <w:top w:val="none" w:sz="0" w:space="0" w:color="auto"/>
            <w:left w:val="none" w:sz="0" w:space="0" w:color="auto"/>
            <w:bottom w:val="none" w:sz="0" w:space="0" w:color="auto"/>
            <w:right w:val="none" w:sz="0" w:space="0" w:color="auto"/>
          </w:divBdr>
        </w:div>
        <w:div w:id="1782719450">
          <w:marLeft w:val="0"/>
          <w:marRight w:val="0"/>
          <w:marTop w:val="0"/>
          <w:marBottom w:val="0"/>
          <w:divBdr>
            <w:top w:val="none" w:sz="0" w:space="0" w:color="auto"/>
            <w:left w:val="none" w:sz="0" w:space="0" w:color="auto"/>
            <w:bottom w:val="none" w:sz="0" w:space="0" w:color="auto"/>
            <w:right w:val="none" w:sz="0" w:space="0" w:color="auto"/>
          </w:divBdr>
        </w:div>
      </w:divsChild>
    </w:div>
    <w:div w:id="1725760667">
      <w:bodyDiv w:val="1"/>
      <w:marLeft w:val="0"/>
      <w:marRight w:val="0"/>
      <w:marTop w:val="0"/>
      <w:marBottom w:val="0"/>
      <w:divBdr>
        <w:top w:val="none" w:sz="0" w:space="0" w:color="auto"/>
        <w:left w:val="none" w:sz="0" w:space="0" w:color="auto"/>
        <w:bottom w:val="none" w:sz="0" w:space="0" w:color="auto"/>
        <w:right w:val="none" w:sz="0" w:space="0" w:color="auto"/>
      </w:divBdr>
    </w:div>
    <w:div w:id="1770928704">
      <w:bodyDiv w:val="1"/>
      <w:marLeft w:val="0"/>
      <w:marRight w:val="0"/>
      <w:marTop w:val="0"/>
      <w:marBottom w:val="0"/>
      <w:divBdr>
        <w:top w:val="none" w:sz="0" w:space="0" w:color="auto"/>
        <w:left w:val="none" w:sz="0" w:space="0" w:color="auto"/>
        <w:bottom w:val="none" w:sz="0" w:space="0" w:color="auto"/>
        <w:right w:val="none" w:sz="0" w:space="0" w:color="auto"/>
      </w:divBdr>
    </w:div>
    <w:div w:id="1782532223">
      <w:bodyDiv w:val="1"/>
      <w:marLeft w:val="0"/>
      <w:marRight w:val="0"/>
      <w:marTop w:val="0"/>
      <w:marBottom w:val="0"/>
      <w:divBdr>
        <w:top w:val="none" w:sz="0" w:space="0" w:color="auto"/>
        <w:left w:val="none" w:sz="0" w:space="0" w:color="auto"/>
        <w:bottom w:val="none" w:sz="0" w:space="0" w:color="auto"/>
        <w:right w:val="none" w:sz="0" w:space="0" w:color="auto"/>
      </w:divBdr>
    </w:div>
    <w:div w:id="1817840485">
      <w:bodyDiv w:val="1"/>
      <w:marLeft w:val="0"/>
      <w:marRight w:val="0"/>
      <w:marTop w:val="0"/>
      <w:marBottom w:val="0"/>
      <w:divBdr>
        <w:top w:val="none" w:sz="0" w:space="0" w:color="auto"/>
        <w:left w:val="none" w:sz="0" w:space="0" w:color="auto"/>
        <w:bottom w:val="none" w:sz="0" w:space="0" w:color="auto"/>
        <w:right w:val="none" w:sz="0" w:space="0" w:color="auto"/>
      </w:divBdr>
    </w:div>
    <w:div w:id="1828546992">
      <w:bodyDiv w:val="1"/>
      <w:marLeft w:val="0"/>
      <w:marRight w:val="0"/>
      <w:marTop w:val="0"/>
      <w:marBottom w:val="0"/>
      <w:divBdr>
        <w:top w:val="none" w:sz="0" w:space="0" w:color="auto"/>
        <w:left w:val="none" w:sz="0" w:space="0" w:color="auto"/>
        <w:bottom w:val="none" w:sz="0" w:space="0" w:color="auto"/>
        <w:right w:val="none" w:sz="0" w:space="0" w:color="auto"/>
      </w:divBdr>
    </w:div>
    <w:div w:id="1848905654">
      <w:bodyDiv w:val="1"/>
      <w:marLeft w:val="0"/>
      <w:marRight w:val="0"/>
      <w:marTop w:val="0"/>
      <w:marBottom w:val="0"/>
      <w:divBdr>
        <w:top w:val="none" w:sz="0" w:space="0" w:color="auto"/>
        <w:left w:val="none" w:sz="0" w:space="0" w:color="auto"/>
        <w:bottom w:val="none" w:sz="0" w:space="0" w:color="auto"/>
        <w:right w:val="none" w:sz="0" w:space="0" w:color="auto"/>
      </w:divBdr>
      <w:divsChild>
        <w:div w:id="1229220935">
          <w:marLeft w:val="0"/>
          <w:marRight w:val="0"/>
          <w:marTop w:val="0"/>
          <w:marBottom w:val="0"/>
          <w:divBdr>
            <w:top w:val="none" w:sz="0" w:space="0" w:color="auto"/>
            <w:left w:val="none" w:sz="0" w:space="0" w:color="auto"/>
            <w:bottom w:val="none" w:sz="0" w:space="0" w:color="auto"/>
            <w:right w:val="none" w:sz="0" w:space="0" w:color="auto"/>
          </w:divBdr>
        </w:div>
        <w:div w:id="143206382">
          <w:marLeft w:val="0"/>
          <w:marRight w:val="0"/>
          <w:marTop w:val="0"/>
          <w:marBottom w:val="0"/>
          <w:divBdr>
            <w:top w:val="none" w:sz="0" w:space="0" w:color="auto"/>
            <w:left w:val="none" w:sz="0" w:space="0" w:color="auto"/>
            <w:bottom w:val="none" w:sz="0" w:space="0" w:color="auto"/>
            <w:right w:val="none" w:sz="0" w:space="0" w:color="auto"/>
          </w:divBdr>
        </w:div>
      </w:divsChild>
    </w:div>
    <w:div w:id="1898398243">
      <w:bodyDiv w:val="1"/>
      <w:marLeft w:val="0"/>
      <w:marRight w:val="0"/>
      <w:marTop w:val="0"/>
      <w:marBottom w:val="0"/>
      <w:divBdr>
        <w:top w:val="none" w:sz="0" w:space="0" w:color="auto"/>
        <w:left w:val="none" w:sz="0" w:space="0" w:color="auto"/>
        <w:bottom w:val="none" w:sz="0" w:space="0" w:color="auto"/>
        <w:right w:val="none" w:sz="0" w:space="0" w:color="auto"/>
      </w:divBdr>
    </w:div>
    <w:div w:id="1935281714">
      <w:bodyDiv w:val="1"/>
      <w:marLeft w:val="0"/>
      <w:marRight w:val="0"/>
      <w:marTop w:val="0"/>
      <w:marBottom w:val="0"/>
      <w:divBdr>
        <w:top w:val="none" w:sz="0" w:space="0" w:color="auto"/>
        <w:left w:val="none" w:sz="0" w:space="0" w:color="auto"/>
        <w:bottom w:val="none" w:sz="0" w:space="0" w:color="auto"/>
        <w:right w:val="none" w:sz="0" w:space="0" w:color="auto"/>
      </w:divBdr>
    </w:div>
    <w:div w:id="2000965502">
      <w:bodyDiv w:val="1"/>
      <w:marLeft w:val="0"/>
      <w:marRight w:val="0"/>
      <w:marTop w:val="0"/>
      <w:marBottom w:val="0"/>
      <w:divBdr>
        <w:top w:val="none" w:sz="0" w:space="0" w:color="auto"/>
        <w:left w:val="none" w:sz="0" w:space="0" w:color="auto"/>
        <w:bottom w:val="none" w:sz="0" w:space="0" w:color="auto"/>
        <w:right w:val="none" w:sz="0" w:space="0" w:color="auto"/>
      </w:divBdr>
    </w:div>
    <w:div w:id="2065370413">
      <w:bodyDiv w:val="1"/>
      <w:marLeft w:val="0"/>
      <w:marRight w:val="0"/>
      <w:marTop w:val="0"/>
      <w:marBottom w:val="0"/>
      <w:divBdr>
        <w:top w:val="none" w:sz="0" w:space="0" w:color="auto"/>
        <w:left w:val="none" w:sz="0" w:space="0" w:color="auto"/>
        <w:bottom w:val="none" w:sz="0" w:space="0" w:color="auto"/>
        <w:right w:val="none" w:sz="0" w:space="0" w:color="auto"/>
      </w:divBdr>
    </w:div>
    <w:div w:id="212279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wfsc.noaa.gov/data/map" TargetMode="External"/><Relationship Id="rId13" Type="http://schemas.openxmlformats.org/officeDocument/2006/relationships/theme" Target="theme/theme1.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dfo-mpo.gc.ca/csas-sccs/Publications/ResDocs-DocRech/2019/2019_041-eng.html"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https://github.com/fate-spatialindicators/spatial-tr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0EF2F-F012-4DED-871F-D31CEC329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34</Pages>
  <Words>8704</Words>
  <Characters>49617</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58205</CharactersWithSpaces>
  <SharedDoc>false</SharedDoc>
  <HLinks>
    <vt:vector size="18" baseType="variant">
      <vt:variant>
        <vt:i4>3473447</vt:i4>
      </vt:variant>
      <vt:variant>
        <vt:i4>204</vt:i4>
      </vt:variant>
      <vt:variant>
        <vt:i4>0</vt:i4>
      </vt:variant>
      <vt:variant>
        <vt:i4>5</vt:i4>
      </vt:variant>
      <vt:variant>
        <vt:lpwstr>https://github.com/fate-spatialindicators/spatial-trend</vt:lpwstr>
      </vt:variant>
      <vt:variant>
        <vt:lpwstr/>
      </vt:variant>
      <vt:variant>
        <vt:i4>2293799</vt:i4>
      </vt:variant>
      <vt:variant>
        <vt:i4>150</vt:i4>
      </vt:variant>
      <vt:variant>
        <vt:i4>0</vt:i4>
      </vt:variant>
      <vt:variant>
        <vt:i4>5</vt:i4>
      </vt:variant>
      <vt:variant>
        <vt:lpwstr>https://www.nwfsc.noaa.gov/data/map</vt:lpwstr>
      </vt:variant>
      <vt:variant>
        <vt:lpwstr/>
      </vt:variant>
      <vt:variant>
        <vt:i4>4849740</vt:i4>
      </vt:variant>
      <vt:variant>
        <vt:i4>0</vt:i4>
      </vt:variant>
      <vt:variant>
        <vt:i4>0</vt:i4>
      </vt:variant>
      <vt:variant>
        <vt:i4>5</vt:i4>
      </vt:variant>
      <vt:variant>
        <vt:lpwstr>https://esajournals.onlinelibrary.wiley.com/doi/abs/10.1002/eap.1767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Barnett</dc:creator>
  <cp:keywords/>
  <dc:description/>
  <cp:lastModifiedBy>Lewis.Barnett</cp:lastModifiedBy>
  <cp:revision>8</cp:revision>
  <dcterms:created xsi:type="dcterms:W3CDTF">2020-07-02T22:27:00Z</dcterms:created>
  <dcterms:modified xsi:type="dcterms:W3CDTF">2020-07-02T23:04:00Z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id="lB8OmsKd"/&gt;&lt;style id="http://www.zotero.org/styles/ecography" hasBibliography="1" bibliographyStyleHasBeenSet="1"/&gt;&lt;prefs&gt;&lt;pref name="fieldType" value="Field"/&gt;&lt;pref name="automaticJournalAbbrevi</vt:lpwstr>
  </property>
  <property fmtid="{D5CDD505-2E9C-101B-9397-08002B2CF9AE}" pid="3" name="ZOTERO_PREF_2">
    <vt:lpwstr>ations" value="true"/&gt;&lt;/prefs&gt;&lt;/data&gt;</vt:lpwstr>
  </property>
</Properties>
</file>