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1" w:before="280" w:after="80"/>
        <w:ind w:hanging="0" w:start="0" w:end="0"/>
        <w:rPr>
          <w:rFonts w:ascii="Arial;sans-serif" w:hAnsi="Arial;sans-serif"/>
          <w:b/>
          <w:i w:val="false"/>
          <w:caps w:val="false"/>
          <w:smallCaps w:val="false"/>
          <w:strike w:val="false"/>
          <w:dstrike w:val="false"/>
          <w:color w:val="2E74B5"/>
          <w:sz w:val="20"/>
          <w:u w:val="none"/>
          <w:effect w:val="none"/>
          <w:shd w:fill="auto" w:val="clear"/>
        </w:rPr>
      </w:pPr>
      <w:bookmarkStart w:id="0" w:name="docs-internal-guid-410108ee-7fff-b0c2-51"/>
      <w:bookmarkEnd w:id="0"/>
      <w:r>
        <w:rPr>
          <w:rFonts w:ascii="Arial;sans-serif" w:hAnsi="Arial;sans-serif"/>
          <w:b/>
          <w:i w:val="false"/>
          <w:caps w:val="false"/>
          <w:smallCaps w:val="false"/>
          <w:strike w:val="false"/>
          <w:dstrike w:val="false"/>
          <w:color w:val="2E74B5"/>
          <w:sz w:val="20"/>
          <w:u w:val="none"/>
          <w:effect w:val="none"/>
          <w:shd w:fill="auto" w:val="clear"/>
        </w:rPr>
        <w:t>PROJECT OUTPUT </w:t>
      </w:r>
    </w:p>
    <w:p>
      <w:pPr>
        <w:pStyle w:val="BodyText"/>
        <w:bidi w:val="0"/>
        <w:spacing w:lineRule="auto" w:line="331" w:before="0" w:after="120"/>
        <w:ind w:hanging="0" w:start="0" w:end="0"/>
        <w:rPr>
          <w:rFonts w:ascii="Arial;sans-serif" w:hAnsi="Arial;sans-serif"/>
          <w:b/>
          <w:i w:val="false"/>
          <w:caps w:val="false"/>
          <w:smallCaps w:val="false"/>
          <w:strike w:val="false"/>
          <w:dstrike w:val="false"/>
          <w:color w:val="000000"/>
          <w:sz w:val="30"/>
          <w:u w:val="none"/>
          <w:effect w:val="none"/>
          <w:shd w:fill="auto" w:val="clear"/>
        </w:rPr>
      </w:pPr>
      <w:r>
        <w:rPr>
          <w:rFonts w:ascii="Arial;sans-serif" w:hAnsi="Arial;sans-serif"/>
          <w:b/>
          <w:i w:val="false"/>
          <w:caps w:val="false"/>
          <w:smallCaps w:val="false"/>
          <w:strike w:val="false"/>
          <w:dstrike w:val="false"/>
          <w:color w:val="000000"/>
          <w:sz w:val="30"/>
          <w:u w:val="none"/>
          <w:effect w:val="none"/>
          <w:shd w:fill="auto" w:val="clear"/>
        </w:rPr>
        <w:t>Minimum-Disruption Security</w:t>
      </w:r>
    </w:p>
    <w:p>
      <w:pPr>
        <w:pStyle w:val="BodyText"/>
        <w:bidi w:val="0"/>
        <w:spacing w:lineRule="auto" w:line="331" w:before="0" w:after="120"/>
        <w:ind w:hanging="0" w:start="0" w:end="0"/>
        <w:rPr>
          <w:rFonts w:ascii="Arial;sans-serif" w:hAnsi="Arial;sans-serif"/>
          <w:b/>
          <w:i w:val="false"/>
          <w:caps w:val="false"/>
          <w:smallCaps w:val="false"/>
          <w:strike w:val="false"/>
          <w:dstrike w:val="false"/>
          <w:color w:val="000000"/>
          <w:sz w:val="30"/>
          <w:u w:val="none"/>
          <w:effect w:val="none"/>
          <w:shd w:fill="auto" w:val="clear"/>
        </w:rPr>
      </w:pPr>
      <w:r>
        <w:rPr>
          <w:rFonts w:ascii="Arial;sans-serif" w:hAnsi="Arial;sans-serif"/>
          <w:b/>
          <w:i w:val="false"/>
          <w:caps w:val="false"/>
          <w:smallCaps w:val="false"/>
          <w:strike w:val="false"/>
          <w:dstrike w:val="false"/>
          <w:color w:val="000000"/>
          <w:sz w:val="30"/>
          <w:u w:val="none"/>
          <w:effect w:val="none"/>
          <w:shd w:fill="auto" w:val="clear"/>
        </w:rPr>
        <w:t>Containment Framework for Multi-Agent AI Systems</w:t>
      </w:r>
    </w:p>
    <w:p>
      <w:pPr>
        <w:pStyle w:val="BodyText"/>
        <w:bidi w:val="0"/>
        <w:spacing w:lineRule="auto" w:line="331" w:before="0" w:after="280"/>
        <w:ind w:hanging="0" w:start="0" w:end="0"/>
        <w:rPr>
          <w:rFonts w:ascii="Arial;sans-serif" w:hAnsi="Arial;sans-serif"/>
          <w:b w:val="false"/>
          <w:i w:val="false"/>
          <w:caps w:val="false"/>
          <w:smallCaps w:val="false"/>
          <w:strike w:val="false"/>
          <w:dstrike w:val="false"/>
          <w:color w:val="5B6573"/>
          <w:sz w:val="26"/>
          <w:u w:val="none"/>
          <w:effect w:val="none"/>
          <w:shd w:fill="auto" w:val="clear"/>
        </w:rPr>
      </w:pPr>
      <w:r>
        <w:rPr>
          <w:rFonts w:ascii="Arial;sans-serif" w:hAnsi="Arial;sans-serif"/>
          <w:b w:val="false"/>
          <w:i w:val="false"/>
          <w:caps w:val="false"/>
          <w:smallCaps w:val="false"/>
          <w:strike w:val="false"/>
          <w:dstrike w:val="false"/>
          <w:color w:val="5B6573"/>
          <w:sz w:val="26"/>
          <w:u w:val="none"/>
          <w:effect w:val="none"/>
          <w:shd w:fill="auto" w:val="clear"/>
        </w:rPr>
        <w:t>What the project will produce, how the framework will operate, and how success will be measured</w:t>
      </w:r>
    </w:p>
    <w:p>
      <w:pPr>
        <w:pStyle w:val="BodyText"/>
        <w:bidi w:val="0"/>
        <w:spacing w:lineRule="auto" w:line="331" w:before="0" w:after="40"/>
        <w:ind w:hanging="0" w:start="0" w:end="0"/>
        <w:rPr>
          <w:b w:val="false"/>
        </w:rPr>
      </w:pPr>
      <w:r>
        <w:rPr>
          <w:rFonts w:ascii="Arial;sans-serif" w:hAnsi="Arial;sans-serif"/>
          <w:b/>
          <w:i w:val="false"/>
          <w:caps w:val="false"/>
          <w:smallCaps w:val="false"/>
          <w:strike w:val="false"/>
          <w:dstrike w:val="false"/>
          <w:color w:val="000000"/>
          <w:sz w:val="20"/>
          <w:u w:val="none"/>
          <w:effect w:val="none"/>
          <w:shd w:fill="auto" w:val="clear"/>
        </w:rPr>
        <w:t xml:space="preserve">Full research title: </w:t>
      </w:r>
      <w:r>
        <w:rPr>
          <w:rFonts w:ascii="Arial;sans-serif" w:hAnsi="Arial;sans-serif"/>
          <w:b w:val="false"/>
          <w:i w:val="false"/>
          <w:caps w:val="false"/>
          <w:smallCaps w:val="false"/>
          <w:strike w:val="false"/>
          <w:dstrike w:val="false"/>
          <w:color w:val="5B6573"/>
          <w:sz w:val="20"/>
          <w:u w:val="none"/>
          <w:effect w:val="none"/>
          <w:shd w:fill="auto" w:val="clear"/>
        </w:rPr>
        <w:t>Design and Development of a Minimum-Disruption Security Containment Framework for Compromised Multi-Agent AI Systems Using Dynamic Capability Graphs</w:t>
      </w:r>
    </w:p>
    <w:p>
      <w:pPr>
        <w:pStyle w:val="BodyText"/>
        <w:bidi w:val="0"/>
        <w:spacing w:lineRule="auto" w:line="331" w:before="0" w:after="40"/>
        <w:ind w:hanging="0" w:start="0" w:end="0"/>
        <w:rPr>
          <w:b w:val="false"/>
        </w:rPr>
      </w:pPr>
      <w:r>
        <w:rPr>
          <w:rFonts w:ascii="Arial;sans-serif" w:hAnsi="Arial;sans-serif"/>
          <w:b/>
          <w:i w:val="false"/>
          <w:caps w:val="false"/>
          <w:smallCaps w:val="false"/>
          <w:strike w:val="false"/>
          <w:dstrike w:val="false"/>
          <w:color w:val="000000"/>
          <w:sz w:val="20"/>
          <w:u w:val="none"/>
          <w:effect w:val="none"/>
          <w:shd w:fill="auto" w:val="clear"/>
        </w:rPr>
        <w:t xml:space="preserve">Primary output: </w:t>
      </w:r>
      <w:r>
        <w:rPr>
          <w:rFonts w:ascii="Arial;sans-serif" w:hAnsi="Arial;sans-serif"/>
          <w:b w:val="false"/>
          <w:i w:val="false"/>
          <w:caps w:val="false"/>
          <w:smallCaps w:val="false"/>
          <w:strike w:val="false"/>
          <w:dstrike w:val="false"/>
          <w:color w:val="5B6573"/>
          <w:sz w:val="20"/>
          <w:u w:val="none"/>
          <w:effect w:val="none"/>
          <w:shd w:fill="auto" w:val="clear"/>
        </w:rPr>
        <w:t>Working software prototype and reusable security framework</w:t>
      </w:r>
    </w:p>
    <w:p>
      <w:pPr>
        <w:pStyle w:val="BodyText"/>
        <w:bidi w:val="0"/>
        <w:spacing w:lineRule="auto" w:line="331" w:before="0" w:after="40"/>
        <w:ind w:hanging="0" w:start="0" w:end="0"/>
        <w:rPr>
          <w:b w:val="false"/>
        </w:rPr>
      </w:pPr>
      <w:r>
        <w:rPr>
          <w:rFonts w:ascii="Arial;sans-serif" w:hAnsi="Arial;sans-serif"/>
          <w:b/>
          <w:i w:val="false"/>
          <w:caps w:val="false"/>
          <w:smallCaps w:val="false"/>
          <w:strike w:val="false"/>
          <w:dstrike w:val="false"/>
          <w:color w:val="000000"/>
          <w:sz w:val="20"/>
          <w:u w:val="none"/>
          <w:effect w:val="none"/>
          <w:shd w:fill="auto" w:val="clear"/>
        </w:rPr>
        <w:t xml:space="preserve">Research focus: </w:t>
      </w:r>
      <w:r>
        <w:rPr>
          <w:rFonts w:ascii="Arial;sans-serif" w:hAnsi="Arial;sans-serif"/>
          <w:b w:val="false"/>
          <w:i w:val="false"/>
          <w:caps w:val="false"/>
          <w:smallCaps w:val="false"/>
          <w:strike w:val="false"/>
          <w:dstrike w:val="false"/>
          <w:color w:val="5B6573"/>
          <w:sz w:val="20"/>
          <w:u w:val="none"/>
          <w:effect w:val="none"/>
          <w:shd w:fill="auto" w:val="clear"/>
        </w:rPr>
        <w:t>Stop the smallest dangerous capability path while preserving safe agent work</w:t>
      </w:r>
    </w:p>
    <w:p>
      <w:pPr>
        <w:pStyle w:val="BodyText"/>
        <w:bidi w:val="0"/>
        <w:spacing w:lineRule="auto" w:line="331" w:before="140" w:after="20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shd w:fill="E8EEF5" w:val="clear"/>
        <w:bidi w:val="0"/>
        <w:spacing w:lineRule="auto" w:line="331" w:before="120" w:after="160"/>
        <w:ind w:hanging="0" w:start="180" w:end="180"/>
        <w:rPr>
          <w:b w:val="false"/>
        </w:rPr>
      </w:pPr>
      <w:r>
        <w:rPr>
          <w:rFonts w:ascii="Arial;sans-serif" w:hAnsi="Arial;sans-serif"/>
          <w:b/>
          <w:i w:val="false"/>
          <w:caps w:val="false"/>
          <w:smallCaps w:val="false"/>
          <w:strike w:val="false"/>
          <w:dstrike w:val="false"/>
          <w:color w:val="1F4D78"/>
          <w:sz w:val="21"/>
          <w:u w:val="none"/>
          <w:effect w:val="none"/>
          <w:shd w:fill="auto" w:val="clear"/>
        </w:rPr>
        <w:t>Executive takeaway</w:t>
        <w:br/>
      </w:r>
      <w:r>
        <w:rPr>
          <w:rFonts w:ascii="Arial;sans-serif" w:hAnsi="Arial;sans-serif"/>
          <w:b w:val="false"/>
          <w:i w:val="false"/>
          <w:caps w:val="false"/>
          <w:smallCaps w:val="false"/>
          <w:strike w:val="false"/>
          <w:dstrike w:val="false"/>
          <w:color w:val="000000"/>
          <w:sz w:val="21"/>
          <w:u w:val="none"/>
          <w:effect w:val="none"/>
          <w:shd w:fill="auto" w:val="clear"/>
        </w:rPr>
        <w:t>The main output is a working proof-of-concept security platform—not only a theoretical model or a notification dashboard. It will observe a multi-agent AI system at runtime, identify dangerous combinations of otherwise legitimate permissions, and apply the least disruptive containment action that prevents the prohibited outcome.</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1. The project in one sentence</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framework sits between autonomous agents and the tools, data and communication channels they use; it continuously evaluates whether their combined actions create an unsafe path and when necessary, blocks only the connection, capability, or agent required to break that path.</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It uses a reusable software layer with defined data structures, decision logic, enforcement interfaces, explanations, and a dashboard. Other agent systems can send events to it through an API and receive a security decision in return.</w:t>
      </w:r>
    </w:p>
    <w:p>
      <w:pPr>
        <w:pStyle w:val="BodyText"/>
        <w:numPr>
          <w:ilvl w:val="0"/>
          <w:numId w:val="2"/>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Runtime monitor: captures actions, permissions, resource access, and agent-to-agent transfers.</w:t>
      </w:r>
    </w:p>
    <w:p>
      <w:pPr>
        <w:pStyle w:val="BodyText"/>
        <w:numPr>
          <w:ilvl w:val="0"/>
          <w:numId w:val="2"/>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Security model: represents agents, data, tools, destinations, and permissions as a changing graph.</w:t>
      </w:r>
    </w:p>
    <w:p>
      <w:pPr>
        <w:pStyle w:val="BodyText"/>
        <w:numPr>
          <w:ilvl w:val="0"/>
          <w:numId w:val="2"/>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Containment engine: chooses the smallest intervention that breaks a dangerous path.</w:t>
      </w:r>
    </w:p>
    <w:p>
      <w:pPr>
        <w:pStyle w:val="BodyText"/>
        <w:numPr>
          <w:ilvl w:val="0"/>
          <w:numId w:val="2"/>
        </w:numPr>
        <w:pBdr/>
        <w:tabs>
          <w:tab w:val="clear" w:pos="709"/>
          <w:tab w:val="left" w:pos="709" w:leader="none"/>
        </w:tabs>
        <w:bidi w:val="0"/>
        <w:spacing w:lineRule="auto" w:line="334" w:before="0" w:after="16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Operator interface: explains what was stopped, why it was stopped, and what work was preserved.</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2. How the framework operates</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Every relevant event updates a dynamic capability graph. The graph is a live representation of what the system can currently do—not merely a log of what has already happened.</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The dynamic capability graph</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graph contains nodes for agents, tools, resources, data classifications, permissions, goals, and external destinations. Directed edges represent possible flows such as “can read,” “can pass to,” “can invoke,” and “can send to.” The graph changes when an agent gains a temporary permission, opens a new tool, delegates work, or transfers data.</w:t>
      </w:r>
    </w:p>
    <w:tbl>
      <w:tblPr>
        <w:tblW w:w="9333" w:type="dxa"/>
        <w:jc w:val="start"/>
        <w:tblInd w:w="-10" w:type="dxa"/>
        <w:tblLayout w:type="fixed"/>
        <w:tblCellMar>
          <w:top w:w="80" w:type="dxa"/>
          <w:start w:w="120" w:type="dxa"/>
          <w:bottom w:w="80" w:type="dxa"/>
          <w:end w:w="120" w:type="dxa"/>
        </w:tblCellMar>
      </w:tblPr>
      <w:tblGrid>
        <w:gridCol w:w="1961"/>
        <w:gridCol w:w="2996"/>
        <w:gridCol w:w="4376"/>
      </w:tblGrid>
      <w:tr>
        <w:trPr/>
        <w:tc>
          <w:tcPr>
            <w:tcW w:w="196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Graph element</w:t>
            </w:r>
          </w:p>
        </w:tc>
        <w:tc>
          <w:tcPr>
            <w:tcW w:w="299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Examples</w:t>
            </w:r>
          </w:p>
        </w:tc>
        <w:tc>
          <w:tcPr>
            <w:tcW w:w="437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Security meaning</w:t>
            </w:r>
          </w:p>
        </w:tc>
      </w:tr>
      <w:tr>
        <w:trPr/>
        <w:tc>
          <w:tcPr>
            <w:tcW w:w="196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Nodes</w:t>
            </w:r>
          </w:p>
        </w:tc>
        <w:tc>
          <w:tcPr>
            <w:tcW w:w="29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Agent, file, API, email address, payment service</w:t>
            </w:r>
          </w:p>
        </w:tc>
        <w:tc>
          <w:tcPr>
            <w:tcW w:w="437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Things that may participate in an action or data flow</w:t>
            </w:r>
          </w:p>
        </w:tc>
      </w:tr>
      <w:tr>
        <w:trPr/>
        <w:tc>
          <w:tcPr>
            <w:tcW w:w="196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Edges</w:t>
            </w:r>
          </w:p>
        </w:tc>
        <w:tc>
          <w:tcPr>
            <w:tcW w:w="299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read, delegate, call, upload, send</w:t>
            </w:r>
          </w:p>
        </w:tc>
        <w:tc>
          <w:tcPr>
            <w:tcW w:w="437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A capability or permitted transfer between nodes</w:t>
            </w:r>
          </w:p>
        </w:tc>
      </w:tr>
      <w:tr>
        <w:trPr/>
        <w:tc>
          <w:tcPr>
            <w:tcW w:w="196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Labels</w:t>
            </w:r>
          </w:p>
        </w:tc>
        <w:tc>
          <w:tcPr>
            <w:tcW w:w="29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confidential, external, temporary, goal-aligned</w:t>
            </w:r>
          </w:p>
        </w:tc>
        <w:tc>
          <w:tcPr>
            <w:tcW w:w="437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Context used to determine whether a path violates policy</w:t>
            </w:r>
          </w:p>
        </w:tc>
      </w:tr>
      <w:tr>
        <w:trPr/>
        <w:tc>
          <w:tcPr>
            <w:tcW w:w="196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Costs</w:t>
            </w:r>
          </w:p>
        </w:tc>
        <w:tc>
          <w:tcPr>
            <w:tcW w:w="299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business impact, disruption, confidence</w:t>
            </w:r>
          </w:p>
        </w:tc>
        <w:tc>
          <w:tcPr>
            <w:tcW w:w="437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Values used to choose the least damaging containment action</w:t>
            </w:r>
          </w:p>
        </w:tc>
      </w:tr>
    </w:tbl>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Runtime decision</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detector searches for an end-to-end path from a protected source to a prohibited destination. If no violating path exists, the action is allowed and logged. If one exists, the optimiser identifies a minimum-cost cut: the smallest set of edges, permissions, tools, or agents whose removal makes the path impossible.</w:t>
      </w:r>
    </w:p>
    <w:p>
      <w:pPr>
        <w:pStyle w:val="BodyText"/>
        <w:shd w:fill="FFF8E8" w:val="clear"/>
        <w:bidi w:val="0"/>
        <w:spacing w:lineRule="auto" w:line="331" w:before="120" w:after="160"/>
        <w:ind w:hanging="0" w:start="180" w:end="180"/>
        <w:rPr>
          <w:b w:val="false"/>
        </w:rPr>
      </w:pPr>
      <w:r>
        <w:rPr>
          <w:rFonts w:ascii="Arial;sans-serif" w:hAnsi="Arial;sans-serif"/>
          <w:b/>
          <w:i w:val="false"/>
          <w:caps w:val="false"/>
          <w:smallCaps w:val="false"/>
          <w:strike w:val="false"/>
          <w:dstrike w:val="false"/>
          <w:color w:val="7A5A00"/>
          <w:sz w:val="21"/>
          <w:u w:val="none"/>
          <w:effect w:val="none"/>
          <w:shd w:fill="auto" w:val="clear"/>
        </w:rPr>
        <w:t>Key distinction</w:t>
        <w:br/>
      </w:r>
      <w:r>
        <w:rPr>
          <w:rFonts w:ascii="Arial;sans-serif" w:hAnsi="Arial;sans-serif"/>
          <w:b w:val="false"/>
          <w:i w:val="false"/>
          <w:caps w:val="false"/>
          <w:smallCaps w:val="false"/>
          <w:strike w:val="false"/>
          <w:dstrike w:val="false"/>
          <w:color w:val="000000"/>
          <w:sz w:val="21"/>
          <w:u w:val="none"/>
          <w:effect w:val="none"/>
          <w:shd w:fill="auto" w:val="clear"/>
        </w:rPr>
        <w:t>A traditional response may disable an entire agent or stop the full workflow. This project attempts to remove only the capability that completes the unsafe chain, preserving as much legitimate activity as possible.</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3. Worked example: a cross-agent data-exfiltration path</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Assume three agents are individually authorised for ordinary work:</w:t>
      </w:r>
    </w:p>
    <w:p>
      <w:pPr>
        <w:pStyle w:val="BodyText"/>
        <w:numPr>
          <w:ilvl w:val="0"/>
          <w:numId w:val="3"/>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File Agent can read confidential internal files.</w:t>
      </w:r>
    </w:p>
    <w:p>
      <w:pPr>
        <w:pStyle w:val="BodyText"/>
        <w:numPr>
          <w:ilvl w:val="0"/>
          <w:numId w:val="3"/>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Analysis Agent can receive and analyse information from other agents.</w:t>
      </w:r>
    </w:p>
    <w:p>
      <w:pPr>
        <w:pStyle w:val="BodyText"/>
        <w:numPr>
          <w:ilvl w:val="0"/>
          <w:numId w:val="3"/>
        </w:numPr>
        <w:pBdr/>
        <w:tabs>
          <w:tab w:val="clear" w:pos="709"/>
          <w:tab w:val="left" w:pos="709" w:leader="none"/>
        </w:tabs>
        <w:bidi w:val="0"/>
        <w:spacing w:lineRule="auto" w:line="334" w:before="0" w:after="16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Email Agent can send messages to external addresses.</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Each permission appears reasonable in isolation. Together, however, they create a path that can move customer records from an internal file to an unauthorised external recipient.</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Framework decision</w:t>
      </w:r>
    </w:p>
    <w:tbl>
      <w:tblPr>
        <w:tblW w:w="9247" w:type="dxa"/>
        <w:jc w:val="start"/>
        <w:tblInd w:w="-10" w:type="dxa"/>
        <w:tblLayout w:type="fixed"/>
        <w:tblCellMar>
          <w:top w:w="80" w:type="dxa"/>
          <w:start w:w="120" w:type="dxa"/>
          <w:bottom w:w="80" w:type="dxa"/>
          <w:end w:w="120" w:type="dxa"/>
        </w:tblCellMar>
      </w:tblPr>
      <w:tblGrid>
        <w:gridCol w:w="2111"/>
        <w:gridCol w:w="7136"/>
      </w:tblGrid>
      <w:tr>
        <w:trPr/>
        <w:tc>
          <w:tcPr>
            <w:tcW w:w="211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Stage</w:t>
            </w:r>
          </w:p>
        </w:tc>
        <w:tc>
          <w:tcPr>
            <w:tcW w:w="713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Result</w:t>
            </w:r>
          </w:p>
        </w:tc>
      </w:tr>
      <w:tr>
        <w:trPr/>
        <w:tc>
          <w:tcPr>
            <w:tcW w:w="21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Observation</w:t>
            </w:r>
          </w:p>
        </w:tc>
        <w:tc>
          <w:tcPr>
            <w:tcW w:w="713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customer_records.csv → File Agent → Analysis Agent → Email Agent → attacker@example.com</w:t>
            </w:r>
          </w:p>
        </w:tc>
      </w:tr>
      <w:tr>
        <w:trPr/>
        <w:tc>
          <w:tcPr>
            <w:tcW w:w="21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Policy finding</w:t>
            </w:r>
          </w:p>
        </w:tc>
        <w:tc>
          <w:tcPr>
            <w:tcW w:w="713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Confidential data would reach an unauthorised external destination through a composed capability path.</w:t>
            </w:r>
          </w:p>
        </w:tc>
      </w:tr>
      <w:tr>
        <w:trPr/>
        <w:tc>
          <w:tcPr>
            <w:tcW w:w="21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Minimum containment</w:t>
            </w:r>
          </w:p>
        </w:tc>
        <w:tc>
          <w:tcPr>
            <w:tcW w:w="713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Block the Analysis Agent → Email Agent transfer for this data context.</w:t>
            </w:r>
          </w:p>
        </w:tc>
      </w:tr>
      <w:tr>
        <w:trPr/>
        <w:tc>
          <w:tcPr>
            <w:tcW w:w="21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Preserved work</w:t>
            </w:r>
          </w:p>
        </w:tc>
        <w:tc>
          <w:tcPr>
            <w:tcW w:w="713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File reading and internal analysis remain available; unrelated email tasks can continue under policy.</w:t>
            </w:r>
          </w:p>
        </w:tc>
      </w:tr>
    </w:tbl>
    <w:p>
      <w:pPr>
        <w:pStyle w:val="BodyText"/>
        <w:shd w:fill="FBEAEA" w:val="clear"/>
        <w:bidi w:val="0"/>
        <w:spacing w:lineRule="auto" w:line="331" w:before="120" w:after="160"/>
        <w:ind w:hanging="0" w:start="180" w:end="180"/>
        <w:rPr>
          <w:b w:val="false"/>
        </w:rPr>
      </w:pPr>
      <w:r>
        <w:rPr>
          <w:rFonts w:ascii="Arial;sans-serif" w:hAnsi="Arial;sans-serif"/>
          <w:b/>
          <w:i w:val="false"/>
          <w:caps w:val="false"/>
          <w:smallCaps w:val="false"/>
          <w:strike w:val="false"/>
          <w:dstrike w:val="false"/>
          <w:color w:val="9B1C1C"/>
          <w:sz w:val="21"/>
          <w:u w:val="none"/>
          <w:effect w:val="none"/>
          <w:shd w:fill="auto" w:val="clear"/>
        </w:rPr>
        <w:t>Example alert</w:t>
        <w:br/>
      </w:r>
      <w:r>
        <w:rPr>
          <w:rFonts w:ascii="Arial;sans-serif" w:hAnsi="Arial;sans-serif"/>
          <w:b w:val="false"/>
          <w:i w:val="false"/>
          <w:caps w:val="false"/>
          <w:smallCaps w:val="false"/>
          <w:strike w:val="false"/>
          <w:dstrike w:val="false"/>
          <w:color w:val="000000"/>
          <w:sz w:val="21"/>
          <w:u w:val="none"/>
          <w:effect w:val="none"/>
          <w:shd w:fill="auto" w:val="clear"/>
        </w:rPr>
        <w:t>CRITICAL — Compositional privilege escalation detected. Confidential customer data was about to reach an external email address through three individually authorised agents. The Analysis Agent → Email Agent connection was blocked. Remaining safe workflow continued.</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4. What the system produces during operation</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4.1 An enforcement decision</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For every evaluated action or path, the framework returns a machine-readable and human-readable result. The possible outcomes are deliberately broader than “alert” or “shutdown.”</w:t>
      </w:r>
    </w:p>
    <w:tbl>
      <w:tblPr>
        <w:tblW w:w="9262" w:type="dxa"/>
        <w:jc w:val="start"/>
        <w:tblInd w:w="-10" w:type="dxa"/>
        <w:tblLayout w:type="fixed"/>
        <w:tblCellMar>
          <w:top w:w="80" w:type="dxa"/>
          <w:start w:w="120" w:type="dxa"/>
          <w:bottom w:w="80" w:type="dxa"/>
          <w:end w:w="120" w:type="dxa"/>
        </w:tblCellMar>
      </w:tblPr>
      <w:tblGrid>
        <w:gridCol w:w="2396"/>
        <w:gridCol w:w="6866"/>
      </w:tblGrid>
      <w:tr>
        <w:trPr/>
        <w:tc>
          <w:tcPr>
            <w:tcW w:w="239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Decision</w:t>
            </w:r>
          </w:p>
        </w:tc>
        <w:tc>
          <w:tcPr>
            <w:tcW w:w="686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Effect</w:t>
            </w:r>
          </w:p>
        </w:tc>
      </w:tr>
      <w:tr>
        <w:trPr/>
        <w:tc>
          <w:tcPr>
            <w:tcW w:w="23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Allow</w:t>
            </w:r>
          </w:p>
        </w:tc>
        <w:tc>
          <w:tcPr>
            <w:tcW w:w="686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Permit the action and record the decision.</w:t>
            </w:r>
          </w:p>
        </w:tc>
      </w:tr>
      <w:tr>
        <w:trPr/>
        <w:tc>
          <w:tcPr>
            <w:tcW w:w="239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Restrict</w:t>
            </w:r>
          </w:p>
        </w:tc>
        <w:tc>
          <w:tcPr>
            <w:tcW w:w="686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Remove a temporary permission, narrow the destination, or redact a sensitive field.</w:t>
            </w:r>
          </w:p>
        </w:tc>
      </w:tr>
      <w:tr>
        <w:trPr/>
        <w:tc>
          <w:tcPr>
            <w:tcW w:w="23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Block connection</w:t>
            </w:r>
          </w:p>
        </w:tc>
        <w:tc>
          <w:tcPr>
            <w:tcW w:w="686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Prevent one agent-to-agent or agent-to-tool transfer.</w:t>
            </w:r>
          </w:p>
        </w:tc>
      </w:tr>
      <w:tr>
        <w:trPr/>
        <w:tc>
          <w:tcPr>
            <w:tcW w:w="239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Isolate</w:t>
            </w:r>
          </w:p>
        </w:tc>
        <w:tc>
          <w:tcPr>
            <w:tcW w:w="686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Quarantine one agent or capability when an edge-level block is insufficient.</w:t>
            </w:r>
          </w:p>
        </w:tc>
      </w:tr>
      <w:tr>
        <w:trPr/>
        <w:tc>
          <w:tcPr>
            <w:tcW w:w="23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Emergency stop</w:t>
            </w:r>
          </w:p>
        </w:tc>
        <w:tc>
          <w:tcPr>
            <w:tcW w:w="686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Suspend the full workflow only when no lower-disruption action can make it safe.</w:t>
            </w:r>
          </w:p>
        </w:tc>
      </w:tr>
    </w:tbl>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4.2 A structured incident record</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record can be stored, displayed in the dashboard, or forwarded to an existing security system. A representative response is shown below.</w:t>
      </w:r>
    </w:p>
    <w:p>
      <w:pPr>
        <w:pStyle w:val="BodyText"/>
        <w:shd w:fill="F2F4F7" w:val="clear"/>
        <w:bidi w:val="0"/>
        <w:spacing w:lineRule="auto" w:line="331" w:before="80" w:after="160"/>
        <w:ind w:hanging="0" w:start="220" w:end="220"/>
        <w:rPr>
          <w:b w:val="false"/>
        </w:rPr>
      </w:pPr>
      <w:r>
        <w:rPr>
          <w:rFonts w:ascii="Courier New;monospace" w:hAnsi="Courier New;monospace"/>
          <w:b w:val="false"/>
          <w:i w:val="false"/>
          <w:caps w:val="false"/>
          <w:smallCaps w:val="false"/>
          <w:strike w:val="false"/>
          <w:dstrike w:val="false"/>
          <w:color w:val="000000"/>
          <w:sz w:val="16"/>
          <w:u w:val="none"/>
          <w:effect w:val="none"/>
          <w:shd w:fill="auto" w:val="clear"/>
        </w:rPr>
        <w:t>{</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"incident_id": "INC-0042",</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"severity": "critical",</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"violation": "compositional_privilege_escalation",</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"dangerous_path": [</w:t>
        <w:br/>
        <w:t>"customer_records.csv", "file_agent", "analysis_agent",</w:t>
        <w:br/>
        <w:t>"email_agent", "external_email"</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"containment_action": {</w:t>
        <w:br/>
        <w:t>"action": "block_connection",</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"source": "analysis_agent",</w:t>
        <w:br/>
        <w:t>"target": "email_agent"</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"attack_prevented": true,</w:t>
        <w:br/>
      </w:r>
      <w:r>
        <w:rPr>
          <w:b w:val="false"/>
          <w:caps w:val="false"/>
          <w:smallCaps w:val="false"/>
          <w:strike w:val="false"/>
          <w:dstrike w:val="false"/>
          <w:color w:val="000000"/>
          <w:u w:val="none"/>
          <w:effect w:val="none"/>
          <w:shd w:fill="auto" w:val="clear"/>
        </w:rPr>
        <w:t xml:space="preserve">  </w:t>
      </w:r>
      <w:r>
        <w:rPr>
          <w:rFonts w:ascii="Courier New;monospace" w:hAnsi="Courier New;monospace"/>
          <w:b w:val="false"/>
          <w:i w:val="false"/>
          <w:caps w:val="false"/>
          <w:smallCaps w:val="false"/>
          <w:strike w:val="false"/>
          <w:dstrike w:val="false"/>
          <w:color w:val="000000"/>
          <w:sz w:val="16"/>
          <w:u w:val="none"/>
          <w:effect w:val="none"/>
          <w:shd w:fill="auto" w:val="clear"/>
        </w:rPr>
        <w:t>"safe_workflow_continues": true</w:t>
        <w:br/>
        <w:t>}</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4.3 An explanation and evidence trail</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explanation identifies the protected source, the complete capability path, the policy rule, the selected containment action, rejected alternatives, confidence, and the legitimate workflow that remains available. This makes the decision auditable rather than presenting a severity label without context.</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5. Dashboard and user-facing outputs</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dashboard is an operator interface for understanding and testing the framework; it is not the framework’s only output. A security decision is still available through the API even when the interface is not open.</w:t>
      </w:r>
    </w:p>
    <w:tbl>
      <w:tblPr>
        <w:tblW w:w="9348" w:type="dxa"/>
        <w:jc w:val="start"/>
        <w:tblInd w:w="-10" w:type="dxa"/>
        <w:tblLayout w:type="fixed"/>
        <w:tblCellMar>
          <w:top w:w="80" w:type="dxa"/>
          <w:start w:w="120" w:type="dxa"/>
          <w:bottom w:w="80" w:type="dxa"/>
          <w:end w:w="120" w:type="dxa"/>
        </w:tblCellMar>
      </w:tblPr>
      <w:tblGrid>
        <w:gridCol w:w="1856"/>
        <w:gridCol w:w="2486"/>
        <w:gridCol w:w="5006"/>
      </w:tblGrid>
      <w:tr>
        <w:trPr/>
        <w:tc>
          <w:tcPr>
            <w:tcW w:w="185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Page</w:t>
            </w:r>
          </w:p>
        </w:tc>
        <w:tc>
          <w:tcPr>
            <w:tcW w:w="248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Purpose</w:t>
            </w:r>
          </w:p>
        </w:tc>
        <w:tc>
          <w:tcPr>
            <w:tcW w:w="500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Key information</w:t>
            </w:r>
          </w:p>
        </w:tc>
      </w:tr>
      <w:tr>
        <w:trPr/>
        <w:tc>
          <w:tcPr>
            <w:tcW w:w="18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Overview</w:t>
            </w:r>
          </w:p>
        </w:tc>
        <w:tc>
          <w:tcPr>
            <w:tcW w:w="248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Summarise system risk</w:t>
            </w:r>
          </w:p>
        </w:tc>
        <w:tc>
          <w:tcPr>
            <w:tcW w:w="500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Active incidents, contained paths, isolated capabilities, preserved workflows</w:t>
            </w:r>
          </w:p>
        </w:tc>
      </w:tr>
      <w:tr>
        <w:trPr/>
        <w:tc>
          <w:tcPr>
            <w:tcW w:w="18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Live capability graph</w:t>
            </w:r>
          </w:p>
        </w:tc>
        <w:tc>
          <w:tcPr>
            <w:tcW w:w="248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Show current reachability</w:t>
            </w:r>
          </w:p>
        </w:tc>
        <w:tc>
          <w:tcPr>
            <w:tcW w:w="500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Agents, data, tools, destinations, edges, risk labels, blocked edges</w:t>
            </w:r>
          </w:p>
        </w:tc>
      </w:tr>
      <w:tr>
        <w:trPr/>
        <w:tc>
          <w:tcPr>
            <w:tcW w:w="18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Incident detail</w:t>
            </w:r>
          </w:p>
        </w:tc>
        <w:tc>
          <w:tcPr>
            <w:tcW w:w="248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Explain one decision</w:t>
            </w:r>
          </w:p>
        </w:tc>
        <w:tc>
          <w:tcPr>
            <w:tcW w:w="500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Original goal, event sequence, violated rule, alternatives, selected containment</w:t>
            </w:r>
          </w:p>
        </w:tc>
      </w:tr>
      <w:tr>
        <w:trPr/>
        <w:tc>
          <w:tcPr>
            <w:tcW w:w="18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Agent activity</w:t>
            </w:r>
          </w:p>
        </w:tc>
        <w:tc>
          <w:tcPr>
            <w:tcW w:w="248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Provide an audit trail</w:t>
            </w:r>
          </w:p>
        </w:tc>
        <w:tc>
          <w:tcPr>
            <w:tcW w:w="500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All actions, transfers, tool calls, permissions, and decisions</w:t>
            </w:r>
          </w:p>
        </w:tc>
      </w:tr>
      <w:tr>
        <w:trPr/>
        <w:tc>
          <w:tcPr>
            <w:tcW w:w="18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Policy configuration</w:t>
            </w:r>
          </w:p>
        </w:tc>
        <w:tc>
          <w:tcPr>
            <w:tcW w:w="248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Define acceptable behaviour</w:t>
            </w:r>
          </w:p>
        </w:tc>
        <w:tc>
          <w:tcPr>
            <w:tcW w:w="500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Protected sources, prohibited sinks, risk weights, containment constraints</w:t>
            </w:r>
          </w:p>
        </w:tc>
      </w:tr>
      <w:tr>
        <w:trPr/>
        <w:tc>
          <w:tcPr>
            <w:tcW w:w="18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Scenario testing</w:t>
            </w:r>
          </w:p>
        </w:tc>
        <w:tc>
          <w:tcPr>
            <w:tcW w:w="248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Run controlled experiments</w:t>
            </w:r>
          </w:p>
        </w:tc>
        <w:tc>
          <w:tcPr>
            <w:tcW w:w="500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Benign and malicious trajectories, expected result, actual result, metrics</w:t>
            </w:r>
          </w:p>
        </w:tc>
      </w:tr>
    </w:tbl>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Reusable software interface</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prototype can expose a small REST API so that different multi-agent platforms can integrate without adopting a specific agent framework.</w:t>
      </w:r>
    </w:p>
    <w:tbl>
      <w:tblPr>
        <w:tblW w:w="9262" w:type="dxa"/>
        <w:jc w:val="start"/>
        <w:tblInd w:w="-10" w:type="dxa"/>
        <w:tblLayout w:type="fixed"/>
        <w:tblCellMar>
          <w:top w:w="80" w:type="dxa"/>
          <w:start w:w="120" w:type="dxa"/>
          <w:bottom w:w="80" w:type="dxa"/>
          <w:end w:w="120" w:type="dxa"/>
        </w:tblCellMar>
      </w:tblPr>
      <w:tblGrid>
        <w:gridCol w:w="2651"/>
        <w:gridCol w:w="6611"/>
      </w:tblGrid>
      <w:tr>
        <w:trPr/>
        <w:tc>
          <w:tcPr>
            <w:tcW w:w="265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Endpoint</w:t>
            </w:r>
          </w:p>
        </w:tc>
        <w:tc>
          <w:tcPr>
            <w:tcW w:w="661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Function</w:t>
            </w:r>
          </w:p>
        </w:tc>
      </w:tr>
      <w:tr>
        <w:trPr/>
        <w:tc>
          <w:tcPr>
            <w:tcW w:w="265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POST /events</w:t>
            </w:r>
          </w:p>
        </w:tc>
        <w:tc>
          <w:tcPr>
            <w:tcW w:w="66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Submit an action, transfer, permission change, or tool invocation.</w:t>
            </w:r>
          </w:p>
        </w:tc>
      </w:tr>
      <w:tr>
        <w:trPr/>
        <w:tc>
          <w:tcPr>
            <w:tcW w:w="265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POST /evaluate</w:t>
            </w:r>
          </w:p>
        </w:tc>
        <w:tc>
          <w:tcPr>
            <w:tcW w:w="66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Evaluate a proposed action or composed path before execution.</w:t>
            </w:r>
          </w:p>
        </w:tc>
      </w:tr>
      <w:tr>
        <w:trPr/>
        <w:tc>
          <w:tcPr>
            <w:tcW w:w="265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GET /graph</w:t>
            </w:r>
          </w:p>
        </w:tc>
        <w:tc>
          <w:tcPr>
            <w:tcW w:w="66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Retrieve the current dynamic capability graph.</w:t>
            </w:r>
          </w:p>
        </w:tc>
      </w:tr>
      <w:tr>
        <w:trPr/>
        <w:tc>
          <w:tcPr>
            <w:tcW w:w="265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POST /contain</w:t>
            </w:r>
          </w:p>
        </w:tc>
        <w:tc>
          <w:tcPr>
            <w:tcW w:w="66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Apply or simulate the recommended containment action.</w:t>
            </w:r>
          </w:p>
        </w:tc>
      </w:tr>
      <w:tr>
        <w:trPr/>
        <w:tc>
          <w:tcPr>
            <w:tcW w:w="265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GET /incidents</w:t>
            </w:r>
          </w:p>
        </w:tc>
        <w:tc>
          <w:tcPr>
            <w:tcW w:w="66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Retrieve decisions, explanations, and evidence.</w:t>
            </w:r>
          </w:p>
        </w:tc>
      </w:tr>
      <w:tr>
        <w:trPr/>
        <w:tc>
          <w:tcPr>
            <w:tcW w:w="265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PATCH /policies</w:t>
            </w:r>
          </w:p>
        </w:tc>
        <w:tc>
          <w:tcPr>
            <w:tcW w:w="66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Update policies, risk weights, or preservation constraints.</w:t>
            </w:r>
          </w:p>
        </w:tc>
      </w:tr>
    </w:tbl>
    <w:p>
      <w:pPr>
        <w:pStyle w:val="BodyText"/>
        <w:shd w:fill="E8EEF5" w:val="clear"/>
        <w:bidi w:val="0"/>
        <w:spacing w:lineRule="auto" w:line="331" w:before="120" w:after="160"/>
        <w:ind w:hanging="0" w:start="180" w:end="180"/>
        <w:rPr>
          <w:b w:val="false"/>
        </w:rPr>
      </w:pPr>
      <w:r>
        <w:rPr>
          <w:rFonts w:ascii="Arial;sans-serif" w:hAnsi="Arial;sans-serif"/>
          <w:b/>
          <w:i w:val="false"/>
          <w:caps w:val="false"/>
          <w:smallCaps w:val="false"/>
          <w:strike w:val="false"/>
          <w:dstrike w:val="false"/>
          <w:color w:val="1F4D78"/>
          <w:sz w:val="21"/>
          <w:u w:val="none"/>
          <w:effect w:val="none"/>
          <w:shd w:fill="auto" w:val="clear"/>
        </w:rPr>
        <w:t>Practical packaging</w:t>
        <w:br/>
      </w:r>
      <w:r>
        <w:rPr>
          <w:rFonts w:ascii="Arial;sans-serif" w:hAnsi="Arial;sans-serif"/>
          <w:b w:val="false"/>
          <w:i w:val="false"/>
          <w:caps w:val="false"/>
          <w:smallCaps w:val="false"/>
          <w:strike w:val="false"/>
          <w:dstrike w:val="false"/>
          <w:color w:val="000000"/>
          <w:sz w:val="21"/>
          <w:u w:val="none"/>
          <w:effect w:val="none"/>
          <w:shd w:fill="auto" w:val="clear"/>
        </w:rPr>
        <w:t>The deliverable can be distributed as a Python service or container with a documented event schema, policy format, enforcement adapter, and web dashboard. This allows it to be demonstrated with the project simulator and reused with another agent platform.</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6. Software components to be implemented</w:t>
      </w:r>
    </w:p>
    <w:tbl>
      <w:tblPr>
        <w:tblW w:w="9348" w:type="dxa"/>
        <w:jc w:val="start"/>
        <w:tblInd w:w="-10" w:type="dxa"/>
        <w:tblLayout w:type="fixed"/>
        <w:tblCellMar>
          <w:top w:w="80" w:type="dxa"/>
          <w:start w:w="120" w:type="dxa"/>
          <w:bottom w:w="80" w:type="dxa"/>
          <w:end w:w="120" w:type="dxa"/>
        </w:tblCellMar>
      </w:tblPr>
      <w:tblGrid>
        <w:gridCol w:w="2321"/>
        <w:gridCol w:w="4256"/>
        <w:gridCol w:w="2771"/>
      </w:tblGrid>
      <w:tr>
        <w:trPr/>
        <w:tc>
          <w:tcPr>
            <w:tcW w:w="232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Component</w:t>
            </w:r>
          </w:p>
        </w:tc>
        <w:tc>
          <w:tcPr>
            <w:tcW w:w="425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Responsibility</w:t>
            </w:r>
          </w:p>
        </w:tc>
        <w:tc>
          <w:tcPr>
            <w:tcW w:w="277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Concrete output</w:t>
            </w:r>
          </w:p>
        </w:tc>
      </w:tr>
      <w:tr>
        <w:trPr/>
        <w:tc>
          <w:tcPr>
            <w:tcW w:w="232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Multi-Agent Simulator</w:t>
            </w:r>
          </w:p>
        </w:tc>
        <w:tc>
          <w:tcPr>
            <w:tcW w:w="42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Runs Planner, File, Analysis, Email, Web, Finance, and Security agents in controlled scenarios.</w:t>
            </w:r>
          </w:p>
        </w:tc>
        <w:tc>
          <w:tcPr>
            <w:tcW w:w="277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Repeatable benign and attack trajectories</w:t>
            </w:r>
          </w:p>
        </w:tc>
      </w:tr>
      <w:tr>
        <w:trPr/>
        <w:tc>
          <w:tcPr>
            <w:tcW w:w="232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Event Collector</w:t>
            </w:r>
          </w:p>
        </w:tc>
        <w:tc>
          <w:tcPr>
            <w:tcW w:w="42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Normalises actions, transfers, goals, destinations, permissions, and results.</w:t>
            </w:r>
          </w:p>
        </w:tc>
        <w:tc>
          <w:tcPr>
            <w:tcW w:w="277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Standard event stream</w:t>
            </w:r>
          </w:p>
        </w:tc>
      </w:tr>
      <w:tr>
        <w:trPr/>
        <w:tc>
          <w:tcPr>
            <w:tcW w:w="232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Policy and Data Classifier</w:t>
            </w:r>
          </w:p>
        </w:tc>
        <w:tc>
          <w:tcPr>
            <w:tcW w:w="42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Labels protected resources, prohibited sinks, goal constraints, and policy exceptions.</w:t>
            </w:r>
          </w:p>
        </w:tc>
        <w:tc>
          <w:tcPr>
            <w:tcW w:w="277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Context and rule labels</w:t>
            </w:r>
          </w:p>
        </w:tc>
      </w:tr>
      <w:tr>
        <w:trPr/>
        <w:tc>
          <w:tcPr>
            <w:tcW w:w="232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Dynamic Capability Graph</w:t>
            </w:r>
          </w:p>
        </w:tc>
        <w:tc>
          <w:tcPr>
            <w:tcW w:w="42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Maintains current nodes, edges, reachability, provenance, and risk/cost values.</w:t>
            </w:r>
          </w:p>
        </w:tc>
        <w:tc>
          <w:tcPr>
            <w:tcW w:w="277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Live graph state</w:t>
            </w:r>
          </w:p>
        </w:tc>
      </w:tr>
      <w:tr>
        <w:trPr/>
        <w:tc>
          <w:tcPr>
            <w:tcW w:w="232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Compositional Risk Detector</w:t>
            </w:r>
          </w:p>
        </w:tc>
        <w:tc>
          <w:tcPr>
            <w:tcW w:w="42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Finds unsafe paths that emerge from multiple individually allowed capabilities.</w:t>
            </w:r>
          </w:p>
        </w:tc>
        <w:tc>
          <w:tcPr>
            <w:tcW w:w="277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Violation and dangerous path</w:t>
            </w:r>
          </w:p>
        </w:tc>
      </w:tr>
      <w:tr>
        <w:trPr/>
        <w:tc>
          <w:tcPr>
            <w:tcW w:w="232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Minimum-Disruption Optimiser</w:t>
            </w:r>
          </w:p>
        </w:tc>
        <w:tc>
          <w:tcPr>
            <w:tcW w:w="42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Compares valid cuts and selects the lowest-cost action subject to safety constraints.</w:t>
            </w:r>
          </w:p>
        </w:tc>
        <w:tc>
          <w:tcPr>
            <w:tcW w:w="277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Containment recommendation</w:t>
            </w:r>
          </w:p>
        </w:tc>
      </w:tr>
      <w:tr>
        <w:trPr/>
        <w:tc>
          <w:tcPr>
            <w:tcW w:w="232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Enforcement Engine</w:t>
            </w:r>
          </w:p>
        </w:tc>
        <w:tc>
          <w:tcPr>
            <w:tcW w:w="425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Blocks an edge, removes permission, pauses a tool, isolates an agent, or stops the system.</w:t>
            </w:r>
          </w:p>
        </w:tc>
        <w:tc>
          <w:tcPr>
            <w:tcW w:w="277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Applied runtime control</w:t>
            </w:r>
          </w:p>
        </w:tc>
      </w:tr>
      <w:tr>
        <w:trPr/>
        <w:tc>
          <w:tcPr>
            <w:tcW w:w="232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Explanation and Dashboard Layer</w:t>
            </w:r>
          </w:p>
        </w:tc>
        <w:tc>
          <w:tcPr>
            <w:tcW w:w="425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Converts the decision and evidence into progressive, operator-friendly views.</w:t>
            </w:r>
          </w:p>
        </w:tc>
        <w:tc>
          <w:tcPr>
            <w:tcW w:w="277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6"/>
                <w:u w:val="none"/>
                <w:effect w:val="none"/>
                <w:shd w:fill="auto" w:val="clear"/>
              </w:rPr>
            </w:pPr>
            <w:r>
              <w:rPr>
                <w:rFonts w:ascii="Arial;sans-serif" w:hAnsi="Arial;sans-serif"/>
                <w:b w:val="false"/>
                <w:i w:val="false"/>
                <w:caps w:val="false"/>
                <w:smallCaps w:val="false"/>
                <w:strike w:val="false"/>
                <w:dstrike w:val="false"/>
                <w:color w:val="000000"/>
                <w:sz w:val="16"/>
                <w:u w:val="none"/>
                <w:effect w:val="none"/>
                <w:shd w:fill="auto" w:val="clear"/>
              </w:rPr>
              <w:t>Alert, incident report, graph view</w:t>
            </w:r>
          </w:p>
        </w:tc>
      </w:tr>
    </w:tbl>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Algorithmic core</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core can be implemented without machine learning. Graph reachability identifies whether a prohibited source-to-sink path exists. A constrained minimum-cut or optimisation algorithm then selects the intervention with the lowest expected disruption while satisfying the security policy.</w:t>
      </w:r>
    </w:p>
    <w:p>
      <w:pPr>
        <w:pStyle w:val="BodyText"/>
        <w:numPr>
          <w:ilvl w:val="0"/>
          <w:numId w:val="4"/>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Security constraint: every prohibited path must be broken.</w:t>
      </w:r>
    </w:p>
    <w:p>
      <w:pPr>
        <w:pStyle w:val="BodyText"/>
        <w:numPr>
          <w:ilvl w:val="0"/>
          <w:numId w:val="4"/>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Preservation objective: minimise lost capabilities, interrupted tasks, and affected agents.</w:t>
      </w:r>
    </w:p>
    <w:p>
      <w:pPr>
        <w:pStyle w:val="BodyText"/>
        <w:numPr>
          <w:ilvl w:val="0"/>
          <w:numId w:val="4"/>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Operational constraint: containment must be enforceable within the available adapters.</w:t>
      </w:r>
    </w:p>
    <w:p>
      <w:pPr>
        <w:pStyle w:val="BodyText"/>
        <w:numPr>
          <w:ilvl w:val="0"/>
          <w:numId w:val="4"/>
        </w:numPr>
        <w:pBdr/>
        <w:tabs>
          <w:tab w:val="clear" w:pos="709"/>
          <w:tab w:val="left" w:pos="709" w:leader="none"/>
        </w:tabs>
        <w:bidi w:val="0"/>
        <w:spacing w:lineRule="auto" w:line="334" w:before="0" w:after="16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Accountability constraint: the system must retain the evidence used for its decision.</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Optional machine-learning support</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Machine learning can enrich risk labels—for example, by detecting goal mismatch, classifying sensitive data, scoring suspicious transfers, or identifying previously unseen behaviour. The final safety decision should remain constrained by explicit policy and graph structure: ML estimates risk, the graph proves the dangerous path, and the optimiser chooses the containment action.</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7. Research contribution and evaluation</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Proposed research gap</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proposed gap is the combination of three capabilities in one runtime system: detecting security risk that exists only through the composition of multiple agents; computing a provably sufficient but minimum-disruption intervention; and explaining both the blocked attack path and the legitimate workflow preserved by that intervention.</w:t>
      </w:r>
    </w:p>
    <w:p>
      <w:pPr>
        <w:pStyle w:val="BodyText"/>
        <w:shd w:fill="FFF8E8" w:val="clear"/>
        <w:bidi w:val="0"/>
        <w:spacing w:lineRule="auto" w:line="331" w:before="120" w:after="160"/>
        <w:ind w:hanging="0" w:start="180" w:end="180"/>
        <w:rPr>
          <w:b w:val="false"/>
        </w:rPr>
      </w:pPr>
      <w:r>
        <w:rPr>
          <w:rFonts w:ascii="Arial;sans-serif" w:hAnsi="Arial;sans-serif"/>
          <w:b/>
          <w:i w:val="false"/>
          <w:caps w:val="false"/>
          <w:smallCaps w:val="false"/>
          <w:strike w:val="false"/>
          <w:dstrike w:val="false"/>
          <w:color w:val="7A5A00"/>
          <w:sz w:val="21"/>
          <w:u w:val="none"/>
          <w:effect w:val="none"/>
          <w:shd w:fill="auto" w:val="clear"/>
        </w:rPr>
        <w:t>Academic caution</w:t>
        <w:br/>
      </w:r>
      <w:r>
        <w:rPr>
          <w:rFonts w:ascii="Arial;sans-serif" w:hAnsi="Arial;sans-serif"/>
          <w:b w:val="false"/>
          <w:i w:val="false"/>
          <w:caps w:val="false"/>
          <w:smallCaps w:val="false"/>
          <w:strike w:val="false"/>
          <w:dstrike w:val="false"/>
          <w:color w:val="000000"/>
          <w:sz w:val="21"/>
          <w:u w:val="none"/>
          <w:effect w:val="none"/>
          <w:shd w:fill="auto" w:val="clear"/>
        </w:rPr>
        <w:t>This is a defensible proposed contribution, not a claim that no related work exists. The final thesis should validate novelty through a structured literature review covering multi-agent security, information-flow control, attack graphs, least privilege, runtime enforcement, and graph-cut containment.</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Research questions</w:t>
      </w:r>
    </w:p>
    <w:p>
      <w:pPr>
        <w:pStyle w:val="BodyText"/>
        <w:numPr>
          <w:ilvl w:val="0"/>
          <w:numId w:val="5"/>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How accurately can a dynamic capability graph detect prohibited paths that span several autonomous agents?</w:t>
      </w:r>
    </w:p>
    <w:p>
      <w:pPr>
        <w:pStyle w:val="BodyText"/>
        <w:numPr>
          <w:ilvl w:val="0"/>
          <w:numId w:val="5"/>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How much operational disruption does minimum-cut containment avoid compared with whole-agent or whole-system shutdown?</w:t>
      </w:r>
    </w:p>
    <w:p>
      <w:pPr>
        <w:pStyle w:val="BodyText"/>
        <w:numPr>
          <w:ilvl w:val="0"/>
          <w:numId w:val="5"/>
        </w:numPr>
        <w:pBdr/>
        <w:tabs>
          <w:tab w:val="clear" w:pos="709"/>
          <w:tab w:val="left" w:pos="709" w:leader="none"/>
        </w:tabs>
        <w:bidi w:val="0"/>
        <w:spacing w:lineRule="auto" w:line="334"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How quickly can the framework detect and contain a path as capabilities change at runtime?</w:t>
      </w:r>
    </w:p>
    <w:p>
      <w:pPr>
        <w:pStyle w:val="BodyText"/>
        <w:numPr>
          <w:ilvl w:val="0"/>
          <w:numId w:val="5"/>
        </w:numPr>
        <w:pBdr/>
        <w:tabs>
          <w:tab w:val="clear" w:pos="709"/>
          <w:tab w:val="left" w:pos="709" w:leader="none"/>
        </w:tabs>
        <w:bidi w:val="0"/>
        <w:spacing w:lineRule="auto" w:line="334" w:before="0" w:after="16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Do the generated explanations help users understand and verify the containment decision?</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Evaluation plan</w:t>
      </w:r>
    </w:p>
    <w:tbl>
      <w:tblPr>
        <w:tblW w:w="9262" w:type="dxa"/>
        <w:jc w:val="start"/>
        <w:tblInd w:w="-10" w:type="dxa"/>
        <w:tblLayout w:type="fixed"/>
        <w:tblCellMar>
          <w:top w:w="80" w:type="dxa"/>
          <w:start w:w="120" w:type="dxa"/>
          <w:bottom w:w="80" w:type="dxa"/>
          <w:end w:w="120" w:type="dxa"/>
        </w:tblCellMar>
      </w:tblPr>
      <w:tblGrid>
        <w:gridCol w:w="2396"/>
        <w:gridCol w:w="6866"/>
      </w:tblGrid>
      <w:tr>
        <w:trPr/>
        <w:tc>
          <w:tcPr>
            <w:tcW w:w="239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Dimension</w:t>
            </w:r>
          </w:p>
        </w:tc>
        <w:tc>
          <w:tcPr>
            <w:tcW w:w="686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Example measure</w:t>
            </w:r>
          </w:p>
        </w:tc>
      </w:tr>
      <w:tr>
        <w:trPr/>
        <w:tc>
          <w:tcPr>
            <w:tcW w:w="23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Security effectiveness</w:t>
            </w:r>
          </w:p>
        </w:tc>
        <w:tc>
          <w:tcPr>
            <w:tcW w:w="686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Attack success rate after containment; path coverage; false-negative rate</w:t>
            </w:r>
          </w:p>
        </w:tc>
      </w:tr>
      <w:tr>
        <w:trPr/>
        <w:tc>
          <w:tcPr>
            <w:tcW w:w="239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Detection quality</w:t>
            </w:r>
          </w:p>
        </w:tc>
        <w:tc>
          <w:tcPr>
            <w:tcW w:w="686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Precision, recall, false-positive rate across benign and malicious trajectories</w:t>
            </w:r>
          </w:p>
        </w:tc>
      </w:tr>
      <w:tr>
        <w:trPr/>
        <w:tc>
          <w:tcPr>
            <w:tcW w:w="23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Disruption</w:t>
            </w:r>
          </w:p>
        </w:tc>
        <w:tc>
          <w:tcPr>
            <w:tcW w:w="686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Agents stopped, permissions removed, tasks interrupted, percentage of workflow preserved</w:t>
            </w:r>
          </w:p>
        </w:tc>
      </w:tr>
      <w:tr>
        <w:trPr/>
        <w:tc>
          <w:tcPr>
            <w:tcW w:w="239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Performance</w:t>
            </w:r>
          </w:p>
        </w:tc>
        <w:tc>
          <w:tcPr>
            <w:tcW w:w="686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Graph-update latency, decision latency, time to containment, throughput</w:t>
            </w:r>
          </w:p>
        </w:tc>
      </w:tr>
      <w:tr>
        <w:trPr/>
        <w:tc>
          <w:tcPr>
            <w:tcW w:w="239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Explanation quality</w:t>
            </w:r>
          </w:p>
        </w:tc>
        <w:tc>
          <w:tcPr>
            <w:tcW w:w="686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Correctness, completeness, user comprehension, agreement with expert judgement</w:t>
            </w:r>
          </w:p>
        </w:tc>
      </w:tr>
    </w:tbl>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Scenario set</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Experiments should include benign cooperation and multiple attacks: confidential-data exfiltration, credential relay, unauthorised purchase, indirect external upload, malicious delegation, tool-chain privilege escalation, and cases where the cheapest cut is not the first suspicious edge.</w:t>
      </w:r>
    </w:p>
    <w:p>
      <w:pPr>
        <w:pStyle w:val="BodyText"/>
        <w:bidi w:val="0"/>
        <w:rPr/>
      </w:pPr>
      <w:r>
        <w:rPr/>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r>
        <w:rPr>
          <w:rFonts w:ascii="Arial;sans-serif" w:hAnsi="Arial;sans-serif"/>
          <w:b/>
          <w:i w:val="false"/>
          <w:caps w:val="false"/>
          <w:smallCaps w:val="false"/>
          <w:strike w:val="false"/>
          <w:dstrike w:val="false"/>
          <w:color w:val="000000"/>
          <w:sz w:val="46"/>
          <w:u w:val="none"/>
          <w:effect w:val="none"/>
          <w:shd w:fill="auto" w:val="clear"/>
        </w:rPr>
        <w:t>8. Final project deliverables</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multi-agent simulator containing benign tasks and controlled attack scenarios.</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standard event schema and event-collection service.</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reusable security framework and documented integration API.</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dynamic capability-graph engine with provenance and policy labels.</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compositional-risk detector that returns the complete unsafe path.</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minimum-disruption containment algorithm and enforcement adapter.</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web dashboard with overview, graph, incident, activity, policy, and scenario-testing pages.</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 dataset of benign and malicious multi-agent trajectories generated by the simulator.</w:t>
      </w:r>
    </w:p>
    <w:p>
      <w:pPr>
        <w:pStyle w:val="BodyText"/>
        <w:numPr>
          <w:ilvl w:val="0"/>
          <w:numId w:val="6"/>
        </w:numPr>
        <w:pBdr/>
        <w:tabs>
          <w:tab w:val="clear" w:pos="709"/>
          <w:tab w:val="left" w:pos="709" w:leader="none"/>
        </w:tabs>
        <w:bidi w:val="0"/>
        <w:spacing w:lineRule="auto" w:line="307" w:before="0" w:after="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An experimental evaluation comparing minimum-disruption containment with broader shutdown baselines.</w:t>
      </w:r>
    </w:p>
    <w:p>
      <w:pPr>
        <w:pStyle w:val="BodyText"/>
        <w:numPr>
          <w:ilvl w:val="0"/>
          <w:numId w:val="6"/>
        </w:numPr>
        <w:pBdr/>
        <w:tabs>
          <w:tab w:val="clear" w:pos="709"/>
          <w:tab w:val="left" w:pos="709" w:leader="none"/>
        </w:tabs>
        <w:bidi w:val="0"/>
        <w:spacing w:lineRule="auto" w:line="307" w:before="0" w:after="80"/>
        <w:ind w:hanging="283" w:start="709"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Source code, setup instructions, API documentation, test cases, thesis, and research paper or report.</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Definition of done</w:t>
      </w:r>
    </w:p>
    <w:p>
      <w:pPr>
        <w:pStyle w:val="BodyText"/>
        <w:shd w:fill="EAF5EF" w:val="clear"/>
        <w:bidi w:val="0"/>
        <w:spacing w:lineRule="auto" w:line="331" w:before="120" w:after="160"/>
        <w:ind w:hanging="0" w:start="180" w:end="180"/>
        <w:rPr>
          <w:b w:val="false"/>
        </w:rPr>
      </w:pPr>
      <w:r>
        <w:rPr>
          <w:rFonts w:ascii="Arial;sans-serif" w:hAnsi="Arial;sans-serif"/>
          <w:b/>
          <w:i w:val="false"/>
          <w:caps w:val="false"/>
          <w:smallCaps w:val="false"/>
          <w:strike w:val="false"/>
          <w:dstrike w:val="false"/>
          <w:color w:val="2E6B4F"/>
          <w:sz w:val="21"/>
          <w:u w:val="none"/>
          <w:effect w:val="none"/>
          <w:shd w:fill="auto" w:val="clear"/>
        </w:rPr>
        <w:t>Proof-of-concept success statement</w:t>
        <w:br/>
      </w:r>
      <w:r>
        <w:rPr>
          <w:rFonts w:ascii="Arial;sans-serif" w:hAnsi="Arial;sans-serif"/>
          <w:b w:val="false"/>
          <w:i w:val="false"/>
          <w:caps w:val="false"/>
          <w:smallCaps w:val="false"/>
          <w:strike w:val="false"/>
          <w:dstrike w:val="false"/>
          <w:color w:val="000000"/>
          <w:sz w:val="21"/>
          <w:u w:val="none"/>
          <w:effect w:val="none"/>
          <w:shd w:fill="auto" w:val="clear"/>
        </w:rPr>
        <w:t>The project is complete when a demonstrated multi-agent attack is detected as a composed capability path, the framework automatically applies a sufficient low-disruption containment action, the prohibited outcome is prevented, safe parts of the workflow continue, and the system produces an auditable explanation of the decision.</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What the final demonstration should show</w:t>
      </w:r>
    </w:p>
    <w:tbl>
      <w:tblPr>
        <w:tblW w:w="9247" w:type="dxa"/>
        <w:jc w:val="start"/>
        <w:tblInd w:w="-10" w:type="dxa"/>
        <w:tblLayout w:type="fixed"/>
        <w:tblCellMar>
          <w:top w:w="80" w:type="dxa"/>
          <w:start w:w="120" w:type="dxa"/>
          <w:bottom w:w="80" w:type="dxa"/>
          <w:end w:w="120" w:type="dxa"/>
        </w:tblCellMar>
      </w:tblPr>
      <w:tblGrid>
        <w:gridCol w:w="2111"/>
        <w:gridCol w:w="7136"/>
      </w:tblGrid>
      <w:tr>
        <w:trPr/>
        <w:tc>
          <w:tcPr>
            <w:tcW w:w="2111"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Checkpoint</w:t>
            </w:r>
          </w:p>
        </w:tc>
        <w:tc>
          <w:tcPr>
            <w:tcW w:w="7136" w:type="dxa"/>
            <w:tcBorders>
              <w:top w:val="single" w:sz="8" w:space="0" w:color="D5DAE1"/>
              <w:start w:val="single" w:sz="8" w:space="0" w:color="D5DAE1"/>
              <w:bottom w:val="single" w:sz="8" w:space="0" w:color="D5DAE1"/>
              <w:end w:val="single" w:sz="8" w:space="0" w:color="D5DAE1"/>
            </w:tcBorders>
            <w:shd w:fill="F2F4F7" w:val="clear"/>
            <w:vAlign w:val="center"/>
          </w:tcPr>
          <w:p>
            <w:pPr>
              <w:pStyle w:val="TableContents"/>
              <w:bidi w:val="0"/>
              <w:spacing w:lineRule="auto" w:line="307" w:before="0" w:after="0"/>
              <w:ind w:hanging="0" w:start="0" w:end="0"/>
              <w:rPr>
                <w:rFonts w:ascii="Arial;sans-serif" w:hAnsi="Arial;sans-serif"/>
                <w:b/>
                <w:i w:val="false"/>
                <w:caps w:val="false"/>
                <w:smallCaps w:val="false"/>
                <w:strike w:val="false"/>
                <w:dstrike w:val="false"/>
                <w:color w:val="000000"/>
                <w:sz w:val="18"/>
                <w:u w:val="none"/>
                <w:effect w:val="none"/>
                <w:shd w:fill="auto" w:val="clear"/>
              </w:rPr>
            </w:pPr>
            <w:r>
              <w:rPr>
                <w:rFonts w:ascii="Arial;sans-serif" w:hAnsi="Arial;sans-serif"/>
                <w:b/>
                <w:i w:val="false"/>
                <w:caps w:val="false"/>
                <w:smallCaps w:val="false"/>
                <w:strike w:val="false"/>
                <w:dstrike w:val="false"/>
                <w:color w:val="000000"/>
                <w:sz w:val="18"/>
                <w:u w:val="none"/>
                <w:effect w:val="none"/>
                <w:shd w:fill="auto" w:val="clear"/>
              </w:rPr>
              <w:t>Evidence in the demonstration</w:t>
            </w:r>
          </w:p>
        </w:tc>
      </w:tr>
      <w:tr>
        <w:trPr/>
        <w:tc>
          <w:tcPr>
            <w:tcW w:w="21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Before</w:t>
            </w:r>
          </w:p>
        </w:tc>
        <w:tc>
          <w:tcPr>
            <w:tcW w:w="713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 prohibited source-to-destination path is reachable.</w:t>
            </w:r>
          </w:p>
        </w:tc>
      </w:tr>
      <w:tr>
        <w:trPr/>
        <w:tc>
          <w:tcPr>
            <w:tcW w:w="21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Decision</w:t>
            </w:r>
          </w:p>
        </w:tc>
        <w:tc>
          <w:tcPr>
            <w:tcW w:w="713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The path is identified, alternatives are compared, and the minimum action is selected.</w:t>
            </w:r>
          </w:p>
        </w:tc>
      </w:tr>
      <w:tr>
        <w:trPr/>
        <w:tc>
          <w:tcPr>
            <w:tcW w:w="21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After</w:t>
            </w:r>
          </w:p>
        </w:tc>
        <w:tc>
          <w:tcPr>
            <w:tcW w:w="713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The dangerous path is no longer reachable.</w:t>
            </w:r>
          </w:p>
        </w:tc>
      </w:tr>
      <w:tr>
        <w:trPr/>
        <w:tc>
          <w:tcPr>
            <w:tcW w:w="2111"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Preservation</w:t>
            </w:r>
          </w:p>
        </w:tc>
        <w:tc>
          <w:tcPr>
            <w:tcW w:w="7136" w:type="dxa"/>
            <w:tcBorders>
              <w:top w:val="single" w:sz="8" w:space="0" w:color="D5DAE1"/>
              <w:start w:val="single" w:sz="8" w:space="0" w:color="D5DAE1"/>
              <w:bottom w:val="single" w:sz="8" w:space="0" w:color="D5DAE1"/>
              <w:end w:val="single" w:sz="8" w:space="0" w:color="D5DAE1"/>
            </w:tcBorders>
            <w:shd w:fill="FAFBFC" w:val="clear"/>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Unrelated agents and authorised tasks remain operational.</w:t>
            </w:r>
          </w:p>
        </w:tc>
      </w:tr>
      <w:tr>
        <w:trPr/>
        <w:tc>
          <w:tcPr>
            <w:tcW w:w="2111"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Audit</w:t>
            </w:r>
          </w:p>
        </w:tc>
        <w:tc>
          <w:tcPr>
            <w:tcW w:w="7136" w:type="dxa"/>
            <w:tcBorders>
              <w:top w:val="single" w:sz="8" w:space="0" w:color="D5DAE1"/>
              <w:start w:val="single" w:sz="8" w:space="0" w:color="D5DAE1"/>
              <w:bottom w:val="single" w:sz="8" w:space="0" w:color="D5DAE1"/>
              <w:end w:val="single" w:sz="8" w:space="0" w:color="D5DAE1"/>
            </w:tcBorders>
            <w:vAlign w:val="center"/>
          </w:tcPr>
          <w:p>
            <w:pPr>
              <w:pStyle w:val="TableContents"/>
              <w:bidi w:val="0"/>
              <w:spacing w:lineRule="auto" w:line="307" w:before="0" w:after="0"/>
              <w:ind w:hanging="0" w:start="120" w:end="0"/>
              <w:rPr>
                <w:rFonts w:ascii="Arial;sans-serif" w:hAnsi="Arial;sans-serif"/>
                <w:b w:val="false"/>
                <w:i w:val="false"/>
                <w:caps w:val="false"/>
                <w:smallCaps w:val="false"/>
                <w:strike w:val="false"/>
                <w:dstrike w:val="false"/>
                <w:color w:val="000000"/>
                <w:sz w:val="17"/>
                <w:u w:val="none"/>
                <w:effect w:val="none"/>
                <w:shd w:fill="auto" w:val="clear"/>
              </w:rPr>
            </w:pPr>
            <w:r>
              <w:rPr>
                <w:rFonts w:ascii="Arial;sans-serif" w:hAnsi="Arial;sans-serif"/>
                <w:b w:val="false"/>
                <w:i w:val="false"/>
                <w:caps w:val="false"/>
                <w:smallCaps w:val="false"/>
                <w:strike w:val="false"/>
                <w:dstrike w:val="false"/>
                <w:color w:val="000000"/>
                <w:sz w:val="17"/>
                <w:u w:val="none"/>
                <w:effect w:val="none"/>
                <w:shd w:fill="auto" w:val="clear"/>
              </w:rPr>
              <w:t>The incident record explains the violation, action, and preserved workflow.</w:t>
            </w:r>
          </w:p>
        </w:tc>
      </w:tr>
    </w:tbl>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Scope boundary</w:t>
      </w:r>
    </w:p>
    <w:p>
      <w:pPr>
        <w:pStyle w:val="BodyText"/>
        <w:bidi w:val="0"/>
        <w:spacing w:lineRule="auto" w:line="331" w:before="0" w:after="12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expected academic output is a research prototype for controlled evaluation, not a production-certified security product. Production use would additionally require hardened identity, tamper-resistant logging, policy governance, platform-specific enforcement guarantees, red-team testing, and operational assurance.</w:t>
      </w:r>
    </w:p>
    <w:p>
      <w:pPr>
        <w:pStyle w:val="BodyText"/>
        <w:bidi w:val="0"/>
        <w:spacing w:before="0" w:after="140"/>
        <w:rPr/>
      </w:pPr>
      <w:r>
        <w:rPr>
          <w:b w:val="false"/>
        </w:rP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altName w:val="sans-serif"/>
    <w:charset w:val="01"/>
    <w:family w:val="auto"/>
    <w:pitch w:val="default"/>
  </w:font>
  <w:font w:name="Courier New">
    <w:altName w:val="monospace"/>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ages>9</Pages>
  <Words>1902</Words>
  <Characters>12385</Characters>
  <CharactersWithSpaces>14089</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2026-09-10T09:57:44Z</dcterms:created>
  <dc:creator/>
  <dc:description/>
  <dc:language>en-US</dc:language>
  <cp:lastModifiedBy/>
  <dcterms:modified xsi:type="dcterms:W3CDTF">2026-09-10T09:58:17Z</dcterms:modified>
  <cp:revision>1</cp:revision>
  <dc:subject/>
  <dc:title/>
</cp:coreProperties>
</file>