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SUPPLY CHAIN ANALYTICS REPORT</w:t>
      </w:r>
    </w:p>
    <w:p>
      <w:pPr>
        <w:pBdr>
          <w:bottom w:val="single" w:color="1565C0" w:sz="10" w:space="2"/>
        </w:pBdr>
        <w:spacing w:after="280" w:before="12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Delivery Performance &amp; Profitability Analysis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Prepared by: Fateh Mohammed Sayyed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Date: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Dataset: DataCo Global Supply Chain  |  Records: 172,765 orders (cancelled removed)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EXECUTIVE SUMMARY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report presents a comprehensive analysis of supply chain performance across 172,765 orders (after removing cancelled shipments from the original 180,519-record dataset), examining delivery delays, regional disparities, and financial exposure. The dataset spans multiple global regions and covers key operational metrics including order profitability, shipment timeliness, and processing efficiency.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Key findings at a glance: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Over half of all orders (53.8%) experience late delivery, posing a critical operational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$2.13 million in profit is directly at risk due to delayed shipments — representing 53.6% of total profit.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African and Asian regions consistently show the highest delay rates (60%+), while Western Europe performs best.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Orders delayed by even 1 day generate net losses, indicating a sharp profitability cliff at the zero-delay threshold.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36.1% of orders result in a loss, underlining a need for margin-protection strategies.</w:t>
      </w: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KEY PERFORMANCE INDICATORS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2.1  Delivery KPIs</w:t>
      </w:r>
    </w:p>
    <w:p>
      <w:pPr>
        <w:jc w:val="center"/>
      </w:pPr>
      <w:r>
        <w:drawing>
          <wp:inline distT="0" distB="0" distL="0" distR="0">
            <wp:extent cx="5905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Figure 1 — Delivery performance KPI cards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2.2  Financial KPIs</w:t>
      </w:r>
    </w:p>
    <w:p>
      <w:pPr>
        <w:jc w:val="center"/>
      </w:pPr>
      <w:r>
        <w:drawing>
          <wp:inline distT="0" distB="0" distL="0" distR="0">
            <wp:extent cx="5905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Figure 2 — Financial performance KPI cards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2.3  KPI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2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Total Orders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172,765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Full dataset after removing cancelled shipments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Late Deliveries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97,108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Orders that arrived after scheduled date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Late Rate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53.8%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Majority of orders are delayed — critical risk flag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On-Time Rate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46.2%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Less than half of orders delivered on schedule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Total Profit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$3.97 M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Cumulative net profit across all orders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Profit at Risk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$2.13 M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Profit from delayed orders — exposed to churn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Avg Delay Time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2.4 days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Average extra days beyond scheduled shipment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Avg Order Profit</w:t>
            </w:r>
          </w:p>
        </w:tc>
        <w:tc>
          <w:tcPr>
            <w:tcW w:type="dxa" w:w="22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$22.02</w:t>
            </w:r>
          </w:p>
        </w:tc>
        <w:tc>
          <w:tcPr>
            <w:tcW w:type="dxa" w:w="3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Mean profit per single order</w:t>
            </w:r>
          </w:p>
        </w:tc>
      </w:tr>
    </w:tbl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PROFITABILITY ANALYSIS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pie chart below breaks down the proportion of orders by financial outcome. The analysis reveals that while 61.4% of orders are profitable, a substantial 36.1% generate losses — raising concerns about pricing strategy, discount policies, and operational costs.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35242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Figure 3 — Profitability distribution across all orders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3.1  Problem Identified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significant 36.1% loss rate indicates systemic margin erosion. Contributing factors likely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Excessive discount rates applied during promotional campaigns without threshold controls.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High order-level shipping costs for low-value products in distant regions.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 mix — certain categories consistently underperform on margin.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3.2  Recommended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 a minimum margin guard: prevent discounts that push order-level profit below zero.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Introduce product-level profitability scoring to identify chronically loss-making SKUs.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Re-evaluate shipping cost allocation, especially for remote regions, and consider order minimums.</w:t>
      </w: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DELIVERY DELAY ANALYSIS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following chart shows the distribution of all orders by delay days. Negative values represent early or on-time deliveries; positive values represent late shipments. The distribution is right-skewed, meaning delays cluster between 1–3 days but extend up to 7+ days.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Figure 4 — Percentage of orders by delay days (negative = early, positive = late)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4.1  Problem Identified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With 53.8% of orders delivered late and the most common delay band falling at 1–3 days, the supply chain exhibits a systemic scheduling failure. Key issues: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Inaccurate scheduled shipment day estimates — the model used to predict delivery times is poorly calibrated.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Last-mile delivery bottlenecks that add unexpected days post-dispatch.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surges during peak periods that stretch warehouse and carrier capacity.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4.2  Recommended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Recalibrate shipment day estimates using historical actuals per route, carrier, and product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buffer days into customer-facing promised delivery dates for high-risk corridors.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Establish carrier SLA monitoring dashboards to flag chronic under-performers in real time.</w:t>
      </w: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PROFIT vs. DELAY CORRELATION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chart below quantifies the financial cost of delays. Orders arriving on time or early generate positive profits; orders delayed by even a single day produce net losses. This establishes a clear, sharp profitability threshold at the zero-delay line.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Figure 5 — Total profit (millions $) grouped by delay days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 Problem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Orders with delay &gt; 0 generate cumulative losses of approximately $2.13M.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steepest loss occurs at +1 and +2 delay days — suggesting that even marginal lateness carries significant cost (likely customer penalties, refunds, or re-shipments).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profit recovery is observed beyond day 0, indicating that delay never 'catches up' financially.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 Recommended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Prioritize on-time fulfillment as a hard KPI tied to team bonuses and carrier contracts.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Introduce delay-based pricing penalties in vendor contracts to offset financial exposure.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Model the ROI of same-day and next-day fulfillment investments against the $2.13M at-risk figure.</w:t>
      </w: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REGIONAL DELAY ANALYSIS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horizontal bar chart below shows the percentage of late deliveries per order region, sorted from lowest to highest. Regions coloured red exceed the 55% delay threshold, indicating structurally challenged delivery corridors.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Figure 6 — Delay percentage by order region (red bars exceed 55% threshold)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6.1  Problem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African regions (Central, Northern, Western) record the highest delay rates at 62–66%, suggesting infrastructural and carrier reliability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Asian regions (Eastern, Southeast, Southern) follow closely at 54–58%, reflecting long transit distances and complex cross-border logistics.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Western and Eastern Europe deliver the best performance (41–44%), benefiting from mature logistics networks.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6.2  Recommended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Deploy regional logistics partners with local expertise in Africa and Asia to reduce last-mile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Consider regional distribution centres (DCs) in high-volume, high-delay markets to shorten inbound transit.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Segment customers in high-delay regions to offer adjusted delivery promises that reduce penalty exposure.</w:t>
      </w: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CONSOLIDATED RECOMMENDATIONS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160"/>
      </w:tblGrid>
      <w:tr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Area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1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Delivery Rate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Recalibrate shipment day estimates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2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Delivery Rate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Buffer days for high-risk corridors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3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Profit Erosion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Minimum margin guard on discounts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4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Profit Erosion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Loss-making SKU identification &amp; review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5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Delay-Profit Link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Carrier SLA monitoring dashboard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6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Delay-Profit Link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Delay-based penalty clauses in vendor contracts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7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Regional Gaps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Regional DC investment in Africa / Asia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1"/>
                <w:szCs w:val="21"/>
              </w:rPr>
              <w:t xml:space="preserve">8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Regional Gaps</w:t>
            </w:r>
          </w:p>
        </w:tc>
        <w:tc>
          <w:tcPr>
            <w:tcW w:type="dxa" w:w="28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Segment customers by delay-risk region</w:t>
            </w:r>
          </w:p>
        </w:tc>
        <w:tc>
          <w:tcPr>
            <w:tcW w:type="dxa" w:w="2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CONCLUSION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supply chain analysis reveals a business under significant operational stress. With over half of all orders arriving late and more than one-third generating losses, the data makes a compelling case for targeted intervention across three fronts: delivery scheduling, profitability management, and regional logistics maturity.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urgent priority is closing the gap between scheduled and actual shipment times. The tight correlation between delay and profit loss — with every positive delay day producing net negative financial outcomes — means that even modest improvements in on-time performance would have an outsized positive impact on the bottom line.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recommendations outlined in Section 7 are ordered by impact and feasibility. Immediate implementation of the Critical-priority items (margin guards and shipment recalibration) is strongly advised, while the Medium-priority regional strategies can be phased over a 6–12 month horizon aligned with infrastructure investment cycles.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1565C0" w:sz="8" w:space="1"/>
        </w:pBdr>
        <w:spacing w:after="2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Supply Chain Analytics Report  |  Fateh Mohammed Sayyed  | 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spacing w:before="100"/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1565C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1565C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spacing w:after="12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Supply Chain Analytics Report</w:t>
    </w:r>
    <w:r>
      <w:rPr>
        <w:rFonts w:ascii="Arial" w:cs="Arial" w:eastAsia="Arial" w:hAnsi="Arial"/>
        <w:color w:val="546E7A"/>
        <w:sz w:val="18"/>
        <w:szCs w:val="18"/>
      </w:rPr>
      <w:t xml:space="preserve">     |     Fateh Mohammed Sayyed     | 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de8dfd021761578cefece51c54f50893055d28.png"/><Relationship Id="rId10" Type="http://schemas.openxmlformats.org/officeDocument/2006/relationships/image" Target="media/a982c6fa4815541b47b278f0709ad0e948d0f601.png"/><Relationship Id="rId11" Type="http://schemas.openxmlformats.org/officeDocument/2006/relationships/image" Target="media/ef5c16ebc0a29fa86614799f212c777f927b97d4.png"/><Relationship Id="rId12" Type="http://schemas.openxmlformats.org/officeDocument/2006/relationships/image" Target="media/cd70896bb9ab4007a3dea8a3e783aed3c993acfc.png"/><Relationship Id="rId13" Type="http://schemas.openxmlformats.org/officeDocument/2006/relationships/image" Target="media/7ad48da7b39766dd8065303926ab79f33310ab7e.png"/><Relationship Id="rId14" Type="http://schemas.openxmlformats.org/officeDocument/2006/relationships/image" Target="media/951bef88cc3cc055692ec6a2c014775c6789b87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2026-04-19T18:40:56.181Z</dcterms:created>
  <dcterms:modified xsi:type="dcterms:W3CDTF">2026-04-19T18:40:56.181Z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