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D97706"/>
          <w:sz w:val="120"/>
          <w:szCs w:val="120"/>
        </w:rPr>
        <w:t xml:space="preserve">◈</w:t>
      </w:r>
    </w:p>
    <w:p>
      <w:pPr>
        <w:spacing w:after="0" w:before="240"/>
        <w:jc w:val="center"/>
      </w:pPr>
      <w:r>
        <w:rPr>
          <w:rFonts w:ascii="Arial" w:cs="Arial" w:eastAsia="Arial" w:hAnsi="Arial"/>
          <w:b/>
          <w:bCs/>
          <w:color w:val="0A1628"/>
          <w:sz w:val="64"/>
          <w:szCs w:val="64"/>
        </w:rPr>
        <w:t xml:space="preserve">SOVEREIGN AI WORKFORCE</w:t>
      </w:r>
    </w:p>
    <w:p>
      <w:pPr>
        <w:spacing w:after="0" w:before="80"/>
        <w:jc w:val="center"/>
      </w:pPr>
      <w:r>
        <w:rPr>
          <w:rFonts w:ascii="Arial" w:cs="Arial" w:eastAsia="Arial" w:hAnsi="Arial"/>
          <w:b/>
          <w:bCs/>
          <w:color w:val="1E3A5F"/>
          <w:sz w:val="32"/>
          <w:szCs w:val="32"/>
        </w:rPr>
        <w:t xml:space="preserve">Product Strategy &amp; Investment Thesis</w:t>
      </w:r>
    </w:p>
    <w:p>
      <w:pPr>
        <w:pBdr>
          <w:bottom w:val="single" w:color="D97706" w:sz="8"/>
        </w:pBdr>
        <w:spacing w:after="80" w:before="80"/>
      </w:pPr>
      <w:r>
        <w:t xml:space="preserve"/>
      </w:r>
    </w:p>
    <w:p>
      <w:pPr>
        <w:spacing w:after="120" w:before="120"/>
      </w:pPr>
      <w:r>
        <w:t xml:space="preserve"/>
      </w:r>
    </w:p>
    <w:p>
      <w:pPr>
        <w:spacing w:after="60" w:before="0"/>
        <w:jc w:val="center"/>
      </w:pPr>
      <w:r>
        <w:rPr>
          <w:rFonts w:ascii="Arial" w:cs="Arial" w:eastAsia="Arial" w:hAnsi="Arial"/>
          <w:i/>
          <w:iCs/>
          <w:color w:val="64748B"/>
          <w:sz w:val="26"/>
          <w:szCs w:val="26"/>
        </w:rPr>
        <w:t xml:space="preserve">Autonomous AI Workforce Platform</w:t>
      </w:r>
    </w:p>
    <w:p>
      <w:pPr>
        <w:spacing w:after="60" w:before="0"/>
        <w:jc w:val="center"/>
      </w:pPr>
      <w:r>
        <w:rPr>
          <w:rFonts w:ascii="Arial" w:cs="Arial" w:eastAsia="Arial" w:hAnsi="Arial"/>
          <w:i/>
          <w:iCs/>
          <w:color w:val="64748B"/>
          <w:sz w:val="24"/>
          <w:szCs w:val="24"/>
        </w:rPr>
        <w:t xml:space="preserve">For Smart Organizations, Smart Governments, Smart Nations</w:t>
      </w:r>
    </w:p>
    <w:p>
      <w:pPr>
        <w:spacing w:after="120" w:before="600"/>
      </w:pPr>
      <w:r>
        <w:t xml:space="preserve"/>
      </w:r>
    </w:p>
    <w:p>
      <w:pPr>
        <w:spacing w:after="60" w:before="0"/>
        <w:jc w:val="center"/>
      </w:pPr>
      <w:r>
        <w:rPr>
          <w:rFonts w:ascii="Arial" w:cs="Arial" w:eastAsia="Arial" w:hAnsi="Arial"/>
          <w:b/>
          <w:bCs/>
          <w:color w:val="0A1628"/>
          <w:sz w:val="28"/>
          <w:szCs w:val="28"/>
        </w:rPr>
        <w:t xml:space="preserve">Boukhalfa Fateh Abderrahim</w:t>
      </w:r>
    </w:p>
    <w:p>
      <w:pPr>
        <w:spacing w:after="60" w:before="0"/>
        <w:jc w:val="center"/>
      </w:pPr>
      <w:r>
        <w:rPr>
          <w:rFonts w:ascii="Arial" w:cs="Arial" w:eastAsia="Arial" w:hAnsi="Arial"/>
          <w:color w:val="64748B"/>
          <w:sz w:val="24"/>
          <w:szCs w:val="24"/>
        </w:rPr>
        <w:t xml:space="preserve">Sovereign AI Engineer  ·  USTHB  ·  Algeria  🇩🇿</w:t>
      </w:r>
    </w:p>
    <w:p>
      <w:pPr>
        <w:spacing w:after="60" w:before="0"/>
        <w:jc w:val="center"/>
      </w:pPr>
      <w:r>
        <w:rPr>
          <w:rFonts w:ascii="Arial" w:cs="Arial" w:eastAsia="Arial" w:hAnsi="Arial"/>
          <w:b/>
          <w:bCs/>
          <w:color w:val="D97706"/>
          <w:sz w:val="24"/>
          <w:szCs w:val="24"/>
        </w:rPr>
        <w:t xml:space="preserve">USAII Global AI Hackathon 2026</w:t>
      </w:r>
    </w:p>
    <w:p>
      <w:pPr>
        <w:spacing w:after="0" w:before="60"/>
        <w:jc w:val="center"/>
      </w:pPr>
      <w:r>
        <w:rPr>
          <w:rFonts w:ascii="Arial" w:cs="Arial" w:eastAsia="Arial" w:hAnsi="Arial"/>
          <w:color w:val="9CA3AF"/>
          <w:sz w:val="18"/>
          <w:szCs w:val="18"/>
        </w:rPr>
        <w:t xml:space="preserve">CONFIDENTIAL — FOR EVALUATION PURPOSES</w:t>
      </w:r>
    </w:p>
    <w:p>
      <w:r>
        <w:br w:type="page"/>
      </w:r>
    </w:p>
    <w:p>
      <w:pPr>
        <w:pStyle w:val="Heading1"/>
        <w:spacing w:after="120" w:before="360"/>
      </w:pPr>
      <w:r>
        <w:rPr>
          <w:rFonts w:ascii="Arial" w:cs="Arial" w:eastAsia="Arial" w:hAnsi="Arial"/>
          <w:b/>
          <w:bCs/>
          <w:color w:val="D97706"/>
          <w:sz w:val="32"/>
          <w:szCs w:val="32"/>
        </w:rPr>
        <w:t xml:space="preserve">1. </w:t>
      </w:r>
      <w:r>
        <w:rPr>
          <w:rFonts w:ascii="Arial" w:cs="Arial" w:eastAsia="Arial" w:hAnsi="Arial"/>
          <w:b/>
          <w:bCs/>
          <w:color w:val="0A1628"/>
          <w:sz w:val="32"/>
          <w:szCs w:val="32"/>
        </w:rPr>
        <w:t xml:space="preserve">Executive Summary</w:t>
      </w:r>
    </w:p>
    <w:p>
      <w:pPr>
        <w:pBdr>
          <w:bottom w:val="single" w:color="D97706" w:sz="8"/>
        </w:pBdr>
        <w:spacing w:after="80" w:before="80"/>
      </w:pPr>
      <w:r>
        <w:t xml:space="preserve"/>
      </w:r>
    </w:p>
    <w:p>
      <w:pPr>
        <w:spacing w:after="120" w:before="60"/>
      </w:pPr>
      <w:r>
        <w:t xml:space="preserve"/>
      </w:r>
    </w:p>
    <w:p>
      <w:pPr>
        <w:spacing w:after="80" w:before="60"/>
      </w:pPr>
      <w:r>
        <w:rPr>
          <w:rFonts w:ascii="Arial" w:cs="Arial" w:eastAsia="Arial" w:hAnsi="Arial"/>
          <w:color w:val="2D3748"/>
          <w:sz w:val="22"/>
          <w:szCs w:val="22"/>
        </w:rPr>
        <w:t xml:space="preserve">Sovereign AI Workforce is an autonomous workforce platform that deploys specialized AI agents to handle the repetitive, high-volume operational tasks that consume an organization's most valuable resource: human time. Unlike conventional automation tools that replace individual workflows, Sovereign AI Workforce replaces entire functional roles — email operator, scheduling coordinator, finance processor, reporting analyst, compliance reviewer — with AI agents that collaborate, remember, and act with the same accountability structures as human employees.</w:t>
      </w:r>
    </w:p>
    <w:p>
      <w:pPr>
        <w:spacing w:after="120" w:before="80"/>
      </w:pPr>
      <w:r>
        <w:t xml:space="preserve"/>
      </w:r>
    </w:p>
    <w:p>
      <w:pPr>
        <w:spacing w:after="80" w:before="60"/>
      </w:pPr>
      <w:r>
        <w:rPr>
          <w:rFonts w:ascii="Arial" w:cs="Arial" w:eastAsia="Arial" w:hAnsi="Arial"/>
          <w:color w:val="2D3748"/>
          <w:sz w:val="22"/>
          <w:szCs w:val="22"/>
        </w:rPr>
        <w:t xml:space="preserve">The platform is built on three architectural convictions: (1) specialization produces better outputs than generalism — each agent is narrowly focused and deeply prompted; (2) orchestration multiplies value — an Executive Agent routes tasks across specialists and synthesizes their outputs; (3) trust requires control — no agent executes a real-world action without explicit human approval. This design gives organizations the productivity of automation with the accountability of oversight.</w:t>
      </w:r>
    </w:p>
    <w:p>
      <w:pPr>
        <w:spacing w:after="120" w:before="80"/>
      </w:pPr>
      <w:r>
        <w:t xml:space="preserve"/>
      </w:r>
    </w:p>
    <w:p>
      <w:pPr>
        <w:spacing w:after="80" w:before="60"/>
      </w:pPr>
      <w:r>
        <w:rPr>
          <w:rFonts w:ascii="Arial" w:cs="Arial" w:eastAsia="Arial" w:hAnsi="Arial"/>
          <w:color w:val="2D3748"/>
          <w:sz w:val="22"/>
          <w:szCs w:val="22"/>
        </w:rPr>
        <w:t xml:space="preserve">In its current form, the platform demonstrates seven live agents (Email, Calendar, Finance, Reporting, Research, Compliance, Executive), a long-term memory layer backed by a vector database for semantic retrieval, a real-time orchestration pipeline with WebSocket streaming, a custom Agent Builder for organization-specific roles, Google Workspace integrations that execute on approval, and a monitoring layer for observability. The backend is deployable via Docker in under five minutes.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$47B</w:t>
            </w:r>
          </w:p>
          <w:p>
            <w:pPr>
              <w:spacing w:after="40" w:before="0"/>
              <w:jc w:val="center"/>
            </w:pPr>
            <w:r>
              <w:rPr>
                <w:rFonts w:ascii="Arial" w:cs="Arial" w:eastAsia="Arial" w:hAnsi="Arial"/>
                <w:b/>
                <w:bCs/>
                <w:color w:val="FFFFFF"/>
                <w:sz w:val="20"/>
                <w:szCs w:val="20"/>
              </w:rPr>
              <w:t xml:space="preserve">Addressable Market</w:t>
            </w:r>
          </w:p>
          <w:p>
            <w:pPr>
              <w:spacing w:after="0" w:before="0"/>
              <w:jc w:val="center"/>
            </w:pPr>
            <w:r>
              <w:rPr>
                <w:rFonts w:ascii="Arial" w:cs="Arial" w:eastAsia="Arial" w:hAnsi="Arial"/>
                <w:color w:val="C7D7F0"/>
                <w:sz w:val="18"/>
                <w:szCs w:val="18"/>
              </w:rPr>
              <w:t xml:space="preserve">AI in enterprise ops by 2030</w:t>
            </w:r>
          </w:p>
        </w:tc>
        <w:tc>
          <w:tcPr>
            <w:tcW w:type="dxa" w:w="234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13+</w:t>
            </w:r>
          </w:p>
          <w:p>
            <w:pPr>
              <w:spacing w:after="40" w:before="0"/>
              <w:jc w:val="center"/>
            </w:pPr>
            <w:r>
              <w:rPr>
                <w:rFonts w:ascii="Arial" w:cs="Arial" w:eastAsia="Arial" w:hAnsi="Arial"/>
                <w:b/>
                <w:bCs/>
                <w:color w:val="FFFFFF"/>
                <w:sz w:val="20"/>
                <w:szCs w:val="20"/>
              </w:rPr>
              <w:t xml:space="preserve">Hours Saved Weekly</w:t>
            </w:r>
          </w:p>
          <w:p>
            <w:pPr>
              <w:spacing w:after="0" w:before="0"/>
              <w:jc w:val="center"/>
            </w:pPr>
            <w:r>
              <w:rPr>
                <w:rFonts w:ascii="Arial" w:cs="Arial" w:eastAsia="Arial" w:hAnsi="Arial"/>
                <w:color w:val="C7D7F0"/>
                <w:sz w:val="18"/>
                <w:szCs w:val="18"/>
              </w:rPr>
              <w:t xml:space="preserve">per knowledge worker</w:t>
            </w:r>
          </w:p>
        </w:tc>
        <w:tc>
          <w:tcPr>
            <w:tcW w:type="dxa" w:w="234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7</w:t>
            </w:r>
          </w:p>
          <w:p>
            <w:pPr>
              <w:spacing w:after="40" w:before="0"/>
              <w:jc w:val="center"/>
            </w:pPr>
            <w:r>
              <w:rPr>
                <w:rFonts w:ascii="Arial" w:cs="Arial" w:eastAsia="Arial" w:hAnsi="Arial"/>
                <w:b/>
                <w:bCs/>
                <w:color w:val="FFFFFF"/>
                <w:sz w:val="20"/>
                <w:szCs w:val="20"/>
              </w:rPr>
              <w:t xml:space="preserve">Specialized Agents</w:t>
            </w:r>
          </w:p>
          <w:p>
            <w:pPr>
              <w:spacing w:after="0" w:before="0"/>
              <w:jc w:val="center"/>
            </w:pPr>
            <w:r>
              <w:rPr>
                <w:rFonts w:ascii="Arial" w:cs="Arial" w:eastAsia="Arial" w:hAnsi="Arial"/>
                <w:color w:val="C7D7F0"/>
                <w:sz w:val="18"/>
                <w:szCs w:val="18"/>
              </w:rPr>
              <w:t xml:space="preserve">live in current build</w:t>
            </w:r>
          </w:p>
        </w:tc>
        <w:tc>
          <w:tcPr>
            <w:tcW w:type="dxa" w:w="234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0</w:t>
            </w:r>
          </w:p>
          <w:p>
            <w:pPr>
              <w:spacing w:after="40" w:before="0"/>
              <w:jc w:val="center"/>
            </w:pPr>
            <w:r>
              <w:rPr>
                <w:rFonts w:ascii="Arial" w:cs="Arial" w:eastAsia="Arial" w:hAnsi="Arial"/>
                <w:b/>
                <w:bCs/>
                <w:color w:val="FFFFFF"/>
                <w:sz w:val="20"/>
                <w:szCs w:val="20"/>
              </w:rPr>
              <w:t xml:space="preserve">Code Required</w:t>
            </w:r>
          </w:p>
          <w:p>
            <w:pPr>
              <w:spacing w:after="0" w:before="0"/>
              <w:jc w:val="center"/>
            </w:pPr>
            <w:r>
              <w:rPr>
                <w:rFonts w:ascii="Arial" w:cs="Arial" w:eastAsia="Arial" w:hAnsi="Arial"/>
                <w:color w:val="C7D7F0"/>
                <w:sz w:val="18"/>
                <w:szCs w:val="18"/>
              </w:rPr>
              <w:t xml:space="preserve">for end users</w:t>
            </w:r>
          </w:p>
        </w:tc>
      </w:tr>
    </w:tbl>
    <w:p>
      <w:pPr>
        <w:spacing w:after="120" w:before="160"/>
      </w:pPr>
      <w:r>
        <w:t xml:space="preserve"/>
      </w:r>
    </w:p>
    <w:p>
      <w:pPr>
        <w:pStyle w:val="Heading1"/>
        <w:spacing w:after="120" w:before="360"/>
      </w:pPr>
      <w:r>
        <w:rPr>
          <w:rFonts w:ascii="Arial" w:cs="Arial" w:eastAsia="Arial" w:hAnsi="Arial"/>
          <w:b/>
          <w:bCs/>
          <w:color w:val="D97706"/>
          <w:sz w:val="32"/>
          <w:szCs w:val="32"/>
        </w:rPr>
        <w:t xml:space="preserve">2. </w:t>
      </w:r>
      <w:r>
        <w:rPr>
          <w:rFonts w:ascii="Arial" w:cs="Arial" w:eastAsia="Arial" w:hAnsi="Arial"/>
          <w:b/>
          <w:bCs/>
          <w:color w:val="0A1628"/>
          <w:sz w:val="32"/>
          <w:szCs w:val="32"/>
        </w:rPr>
        <w:t xml:space="preserve">Mission Statement</w:t>
      </w:r>
    </w:p>
    <w:p>
      <w:pPr>
        <w:pBdr>
          <w:bottom w:val="single" w:color="D97706" w:sz="8"/>
        </w:pBdr>
        <w:spacing w:after="80" w:before="80"/>
      </w:pPr>
      <w:r>
        <w:t xml:space="preserve"/>
      </w:r>
    </w:p>
    <w:p>
      <w:pPr>
        <w:spacing w:after="120" w:before="80"/>
      </w:pPr>
      <w:r>
        <w:t xml:space="preserve"/>
      </w:r>
    </w:p>
    <w:p>
      <w:pPr>
        <w:pBdr>
          <w:left w:val="single" w:color="D97706" w:sz="20"/>
        </w:pBdr>
        <w:spacing w:after="120" w:before="120"/>
        <w:ind w:left="720"/>
      </w:pPr>
      <w:r>
        <w:rPr>
          <w:rFonts w:ascii="Arial" w:cs="Arial" w:eastAsia="Arial" w:hAnsi="Arial"/>
          <w:i/>
          <w:iCs/>
          <w:color w:val="1E3A5F"/>
          <w:sz w:val="24"/>
          <w:szCs w:val="24"/>
        </w:rPr>
        <w:t xml:space="preserve">To liberate human talent from repetitive operational work by deploying autonomous AI agents that think, collaborate, and act on behalf of organizations — while keeping every consequential decision in human hands.</w:t>
      </w:r>
    </w:p>
    <w:p>
      <w:pPr>
        <w:spacing w:after="120" w:before="120"/>
      </w:pPr>
      <w:r>
        <w:t xml:space="preserve"/>
      </w:r>
    </w:p>
    <w:p>
      <w:pPr>
        <w:pStyle w:val="Heading1"/>
        <w:spacing w:after="120" w:before="360"/>
      </w:pPr>
      <w:r>
        <w:rPr>
          <w:rFonts w:ascii="Arial" w:cs="Arial" w:eastAsia="Arial" w:hAnsi="Arial"/>
          <w:b/>
          <w:bCs/>
          <w:color w:val="D97706"/>
          <w:sz w:val="32"/>
          <w:szCs w:val="32"/>
        </w:rPr>
        <w:t xml:space="preserve">3. </w:t>
      </w:r>
      <w:r>
        <w:rPr>
          <w:rFonts w:ascii="Arial" w:cs="Arial" w:eastAsia="Arial" w:hAnsi="Arial"/>
          <w:b/>
          <w:bCs/>
          <w:color w:val="0A1628"/>
          <w:sz w:val="32"/>
          <w:szCs w:val="32"/>
        </w:rPr>
        <w:t xml:space="preserve">Vision Statement</w:t>
      </w:r>
    </w:p>
    <w:p>
      <w:pPr>
        <w:pBdr>
          <w:bottom w:val="single" w:color="D97706" w:sz="8"/>
        </w:pBdr>
        <w:spacing w:after="80" w:before="80"/>
      </w:pPr>
      <w:r>
        <w:t xml:space="preserve"/>
      </w:r>
    </w:p>
    <w:p>
      <w:pPr>
        <w:spacing w:after="120" w:before="80"/>
      </w:pPr>
      <w:r>
        <w:t xml:space="preserve"/>
      </w:r>
    </w:p>
    <w:p>
      <w:pPr>
        <w:pBdr>
          <w:left w:val="single" w:color="D97706" w:sz="20"/>
        </w:pBdr>
        <w:spacing w:after="120" w:before="120"/>
        <w:ind w:left="720"/>
      </w:pPr>
      <w:r>
        <w:rPr>
          <w:rFonts w:ascii="Arial" w:cs="Arial" w:eastAsia="Arial" w:hAnsi="Arial"/>
          <w:i/>
          <w:iCs/>
          <w:color w:val="1E3A5F"/>
          <w:sz w:val="24"/>
          <w:szCs w:val="24"/>
        </w:rPr>
        <w:t xml:space="preserve">A world where every organization — from a five-person startup in Algiers to a 50,000-employee ministry in Riyadh — can deploy a fully functional digital workforce in minutes, and redirect every human hour saved toward the work that only humans can do.</w:t>
      </w:r>
    </w:p>
    <w:p>
      <w:pPr>
        <w:spacing w:after="120" w:before="80"/>
      </w:pPr>
      <w:r>
        <w:t xml:space="preserve"/>
      </w:r>
    </w:p>
    <w:p>
      <w:pPr>
        <w:spacing w:after="80" w:before="60"/>
      </w:pPr>
      <w:r>
        <w:rPr>
          <w:rFonts w:ascii="Arial" w:cs="Arial" w:eastAsia="Arial" w:hAnsi="Arial"/>
          <w:color w:val="2D3748"/>
          <w:sz w:val="22"/>
          <w:szCs w:val="22"/>
        </w:rPr>
        <w:t xml:space="preserve">The long-term vision is not just enterprise software. It is national infrastructure. Sovereign AI Workforce is designed from the ground up to power what we call the Sovereign Digital State — a government or institution that has embedded AI agents into its operational fabric at the organizational level, without dependency on foreign data brokers, without surrendering sensitive information to third-party AI products, and without requiring its operators to write a line of code.</w:t>
      </w:r>
    </w:p>
    <w:p>
      <w:pPr>
        <w:spacing w:after="120" w:before="120"/>
      </w:pPr>
      <w:r>
        <w:t xml:space="preserve"/>
      </w:r>
    </w:p>
    <w:p>
      <w:pPr>
        <w:pStyle w:val="Heading1"/>
        <w:spacing w:after="120" w:before="360"/>
      </w:pPr>
      <w:r>
        <w:rPr>
          <w:rFonts w:ascii="Arial" w:cs="Arial" w:eastAsia="Arial" w:hAnsi="Arial"/>
          <w:b/>
          <w:bCs/>
          <w:color w:val="D97706"/>
          <w:sz w:val="32"/>
          <w:szCs w:val="32"/>
        </w:rPr>
        <w:t xml:space="preserve">4. </w:t>
      </w:r>
      <w:r>
        <w:rPr>
          <w:rFonts w:ascii="Arial" w:cs="Arial" w:eastAsia="Arial" w:hAnsi="Arial"/>
          <w:b/>
          <w:bCs/>
          <w:color w:val="0A1628"/>
          <w:sz w:val="32"/>
          <w:szCs w:val="32"/>
        </w:rPr>
        <w:t xml:space="preserve">Problem Statement</w:t>
      </w:r>
    </w:p>
    <w:p>
      <w:pPr>
        <w:pBdr>
          <w:bottom w:val="single" w:color="D97706" w:sz="8"/>
        </w:pBdr>
        <w:spacing w:after="80" w:before="80"/>
      </w:pPr>
      <w:r>
        <w:t xml:space="preserve"/>
      </w:r>
    </w:p>
    <w:p>
      <w:pPr>
        <w:spacing w:after="120" w:before="80"/>
      </w:pPr>
      <w:r>
        <w:t xml:space="preserve"/>
      </w:r>
    </w:p>
    <w:p>
      <w:pPr>
        <w:pStyle w:val="Heading2"/>
        <w:spacing w:after="80" w:before="200"/>
      </w:pPr>
      <w:r>
        <w:rPr>
          <w:rFonts w:ascii="Arial" w:cs="Arial" w:eastAsia="Arial" w:hAnsi="Arial"/>
          <w:b/>
          <w:bCs/>
          <w:color w:val="1E3A5F"/>
          <w:sz w:val="26"/>
          <w:szCs w:val="26"/>
        </w:rPr>
        <w:t xml:space="preserve">The Administrative Burden Crisis</w:t>
      </w:r>
    </w:p>
    <w:p>
      <w:pPr>
        <w:spacing w:after="80" w:before="60"/>
      </w:pPr>
      <w:r>
        <w:rPr>
          <w:rFonts w:ascii="Arial" w:cs="Arial" w:eastAsia="Arial" w:hAnsi="Arial"/>
          <w:color w:val="2D3748"/>
          <w:sz w:val="22"/>
          <w:szCs w:val="22"/>
        </w:rPr>
        <w:t xml:space="preserve">Knowledge workers — the most expensive and creative employees in any organization — spend the majority of their working hours not on strategy, innovation, or decision-making, but on coordination overhead. Email management, meeting scheduling, invoice processing, status reporting: these tasks are necessary, but they are not the reason an organization hired its best people.</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28%</w:t>
            </w:r>
          </w:p>
          <w:p>
            <w:pPr>
              <w:spacing w:after="40" w:before="0"/>
              <w:jc w:val="center"/>
            </w:pPr>
            <w:r>
              <w:rPr>
                <w:rFonts w:ascii="Arial" w:cs="Arial" w:eastAsia="Arial" w:hAnsi="Arial"/>
                <w:b/>
                <w:bCs/>
                <w:color w:val="FFFFFF"/>
                <w:sz w:val="20"/>
                <w:szCs w:val="20"/>
              </w:rPr>
              <w:t xml:space="preserve">Time lost to email</w:t>
            </w:r>
          </w:p>
          <w:p>
            <w:pPr>
              <w:spacing w:after="0" w:before="0"/>
              <w:jc w:val="center"/>
            </w:pPr>
            <w:r>
              <w:rPr>
                <w:rFonts w:ascii="Arial" w:cs="Arial" w:eastAsia="Arial" w:hAnsi="Arial"/>
                <w:color w:val="C7D7F0"/>
                <w:sz w:val="18"/>
                <w:szCs w:val="18"/>
              </w:rPr>
              <w:t xml:space="preserve">McKinsey Global Institute</w:t>
            </w:r>
          </w:p>
        </w:tc>
        <w:tc>
          <w:tcPr>
            <w:tcW w:type="dxa" w:w="234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43%</w:t>
            </w:r>
          </w:p>
          <w:p>
            <w:pPr>
              <w:spacing w:after="40" w:before="0"/>
              <w:jc w:val="center"/>
            </w:pPr>
            <w:r>
              <w:rPr>
                <w:rFonts w:ascii="Arial" w:cs="Arial" w:eastAsia="Arial" w:hAnsi="Arial"/>
                <w:b/>
                <w:bCs/>
                <w:color w:val="FFFFFF"/>
                <w:sz w:val="20"/>
                <w:szCs w:val="20"/>
              </w:rPr>
              <w:t xml:space="preserve">Managers on scheduling</w:t>
            </w:r>
          </w:p>
          <w:p>
            <w:pPr>
              <w:spacing w:after="0" w:before="0"/>
              <w:jc w:val="center"/>
            </w:pPr>
            <w:r>
              <w:rPr>
                <w:rFonts w:ascii="Arial" w:cs="Arial" w:eastAsia="Arial" w:hAnsi="Arial"/>
                <w:color w:val="C7D7F0"/>
                <w:sz w:val="18"/>
                <w:szCs w:val="18"/>
              </w:rPr>
              <w:t xml:space="preserve">3+ hours per week</w:t>
            </w:r>
          </w:p>
        </w:tc>
        <w:tc>
          <w:tcPr>
            <w:tcW w:type="dxa" w:w="234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4hrs</w:t>
            </w:r>
          </w:p>
          <w:p>
            <w:pPr>
              <w:spacing w:after="40" w:before="0"/>
              <w:jc w:val="center"/>
            </w:pPr>
            <w:r>
              <w:rPr>
                <w:rFonts w:ascii="Arial" w:cs="Arial" w:eastAsia="Arial" w:hAnsi="Arial"/>
                <w:b/>
                <w:bCs/>
                <w:color w:val="FFFFFF"/>
                <w:sz w:val="20"/>
                <w:szCs w:val="20"/>
              </w:rPr>
              <w:t xml:space="preserve">Weekly report prep</w:t>
            </w:r>
          </w:p>
          <w:p>
            <w:pPr>
              <w:spacing w:after="0" w:before="0"/>
              <w:jc w:val="center"/>
            </w:pPr>
            <w:r>
              <w:rPr>
                <w:rFonts w:ascii="Arial" w:cs="Arial" w:eastAsia="Arial" w:hAnsi="Arial"/>
                <w:color w:val="C7D7F0"/>
                <w:sz w:val="18"/>
                <w:szCs w:val="18"/>
              </w:rPr>
              <w:t xml:space="preserve">per analyst, per report</w:t>
            </w:r>
          </w:p>
        </w:tc>
        <w:tc>
          <w:tcPr>
            <w:tcW w:type="dxa" w:w="234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$1.8T</w:t>
            </w:r>
          </w:p>
          <w:p>
            <w:pPr>
              <w:spacing w:after="40" w:before="0"/>
              <w:jc w:val="center"/>
            </w:pPr>
            <w:r>
              <w:rPr>
                <w:rFonts w:ascii="Arial" w:cs="Arial" w:eastAsia="Arial" w:hAnsi="Arial"/>
                <w:b/>
                <w:bCs/>
                <w:color w:val="FFFFFF"/>
                <w:sz w:val="20"/>
                <w:szCs w:val="20"/>
              </w:rPr>
              <w:t xml:space="preserve">Annual cost (US alone)</w:t>
            </w:r>
          </w:p>
          <w:p>
            <w:pPr>
              <w:spacing w:after="0" w:before="0"/>
              <w:jc w:val="center"/>
            </w:pPr>
            <w:r>
              <w:rPr>
                <w:rFonts w:ascii="Arial" w:cs="Arial" w:eastAsia="Arial" w:hAnsi="Arial"/>
                <w:color w:val="C7D7F0"/>
                <w:sz w:val="18"/>
                <w:szCs w:val="18"/>
              </w:rPr>
              <w:t xml:space="preserve">of administrative overhead</w:t>
            </w:r>
          </w:p>
        </w:tc>
      </w:tr>
    </w:tbl>
    <w:p>
      <w:pPr>
        <w:spacing w:after="120" w:before="160"/>
      </w:pPr>
      <w:r>
        <w:t xml:space="preserve"/>
      </w:r>
    </w:p>
    <w:p>
      <w:pPr>
        <w:pStyle w:val="Heading2"/>
        <w:spacing w:after="80" w:before="200"/>
      </w:pPr>
      <w:r>
        <w:rPr>
          <w:rFonts w:ascii="Arial" w:cs="Arial" w:eastAsia="Arial" w:hAnsi="Arial"/>
          <w:b/>
          <w:bCs/>
          <w:color w:val="1E3A5F"/>
          <w:sz w:val="26"/>
          <w:szCs w:val="26"/>
        </w:rPr>
        <w:t xml:space="preserve">Why Existing Solutions Fail</w:t>
      </w:r>
    </w:p>
    <w:p>
      <w:pPr>
        <w:pStyle w:val="ListParagraph"/>
        <w:numPr>
          <w:ilvl w:val="0"/>
          <w:numId w:val="2"/>
        </w:numPr>
        <w:spacing w:after="40" w:before="40"/>
      </w:pPr>
      <w:r>
        <w:rPr>
          <w:rFonts w:ascii="Arial" w:cs="Arial" w:eastAsia="Arial" w:hAnsi="Arial"/>
          <w:color w:val="2D3748"/>
          <w:sz w:val="22"/>
          <w:szCs w:val="22"/>
        </w:rPr>
        <w:t xml:space="preserve">RPA (Robotic Process Automation) is brittle, rule-based, and collapses when interfaces change. It automates steps, not judgment.</w:t>
      </w:r>
    </w:p>
    <w:p>
      <w:pPr>
        <w:pStyle w:val="ListParagraph"/>
        <w:numPr>
          <w:ilvl w:val="0"/>
          <w:numId w:val="2"/>
        </w:numPr>
        <w:spacing w:after="40" w:before="40"/>
      </w:pPr>
      <w:r>
        <w:rPr>
          <w:rFonts w:ascii="Arial" w:cs="Arial" w:eastAsia="Arial" w:hAnsi="Arial"/>
          <w:color w:val="2D3748"/>
          <w:sz w:val="22"/>
          <w:szCs w:val="22"/>
        </w:rPr>
        <w:t xml:space="preserve">General-purpose AI assistants (ChatGPT, Copilot) are conversational, not operational. They require constant human prompting and produce no autonomous action.</w:t>
      </w:r>
    </w:p>
    <w:p>
      <w:pPr>
        <w:pStyle w:val="ListParagraph"/>
        <w:numPr>
          <w:ilvl w:val="0"/>
          <w:numId w:val="2"/>
        </w:numPr>
        <w:spacing w:after="40" w:before="40"/>
      </w:pPr>
      <w:r>
        <w:rPr>
          <w:rFonts w:ascii="Arial" w:cs="Arial" w:eastAsia="Arial" w:hAnsi="Arial"/>
          <w:color w:val="2D3748"/>
          <w:sz w:val="22"/>
          <w:szCs w:val="22"/>
        </w:rPr>
        <w:t xml:space="preserve">Point solutions (Calendly, Expensify, Grammarly) address single tasks in isolation. They do not coordinate, do not remember cross-task context, and do not produce organizational intelligence.</w:t>
      </w:r>
    </w:p>
    <w:p>
      <w:pPr>
        <w:pStyle w:val="ListParagraph"/>
        <w:numPr>
          <w:ilvl w:val="0"/>
          <w:numId w:val="2"/>
        </w:numPr>
        <w:spacing w:after="40" w:before="40"/>
      </w:pPr>
      <w:r>
        <w:rPr>
          <w:rFonts w:ascii="Arial" w:cs="Arial" w:eastAsia="Arial" w:hAnsi="Arial"/>
          <w:color w:val="2D3748"/>
          <w:sz w:val="22"/>
          <w:szCs w:val="22"/>
        </w:rPr>
        <w:t xml:space="preserve">Enterprise workflow tools (Zapier, Make) require technical setup, ongoing maintenance, and cannot handle unstructured inputs like email prose or meeting notes.</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The Core Gap</w:t>
      </w:r>
    </w:p>
    <w:p>
      <w:pPr>
        <w:spacing w:after="80" w:before="60"/>
      </w:pPr>
      <w:r>
        <w:rPr>
          <w:rFonts w:ascii="Arial" w:cs="Arial" w:eastAsia="Arial" w:hAnsi="Arial"/>
          <w:color w:val="2D3748"/>
          <w:sz w:val="22"/>
          <w:szCs w:val="22"/>
        </w:rPr>
        <w:t xml:space="preserve">No existing product deploys a coordinated team of specialized AI agents with shared long-term memory, real-world execution capability, and a human-in-the-loop governance layer — at a price point and complexity level accessible to organizations below the Fortune 500. That gap is the market Sovereign AI Workforce is built to fill.</w:t>
      </w:r>
    </w:p>
    <w:p>
      <w:pPr>
        <w:spacing w:after="120" w:before="120"/>
      </w:pPr>
      <w:r>
        <w:t xml:space="preserve"/>
      </w:r>
    </w:p>
    <w:p>
      <w:r>
        <w:br w:type="page"/>
      </w:r>
    </w:p>
    <w:p>
      <w:pPr>
        <w:pStyle w:val="Heading1"/>
        <w:spacing w:after="120" w:before="360"/>
      </w:pPr>
      <w:r>
        <w:rPr>
          <w:rFonts w:ascii="Arial" w:cs="Arial" w:eastAsia="Arial" w:hAnsi="Arial"/>
          <w:b/>
          <w:bCs/>
          <w:color w:val="D97706"/>
          <w:sz w:val="32"/>
          <w:szCs w:val="32"/>
        </w:rPr>
        <w:t xml:space="preserve">5. </w:t>
      </w:r>
      <w:r>
        <w:rPr>
          <w:rFonts w:ascii="Arial" w:cs="Arial" w:eastAsia="Arial" w:hAnsi="Arial"/>
          <w:b/>
          <w:bCs/>
          <w:color w:val="0A1628"/>
          <w:sz w:val="32"/>
          <w:szCs w:val="32"/>
        </w:rPr>
        <w:t xml:space="preserve">Market Opportunity</w:t>
      </w:r>
    </w:p>
    <w:p>
      <w:pPr>
        <w:pBdr>
          <w:bottom w:val="single" w:color="D97706" w:sz="8"/>
        </w:pBdr>
        <w:spacing w:after="80" w:before="80"/>
      </w:pPr>
      <w:r>
        <w:t xml:space="preserve"/>
      </w:r>
    </w:p>
    <w:p>
      <w:pPr>
        <w:spacing w:after="120" w:before="80"/>
      </w:pPr>
      <w:r>
        <w:t xml:space="preserve"/>
      </w:r>
    </w:p>
    <w:p>
      <w:pPr>
        <w:pStyle w:val="Heading2"/>
        <w:spacing w:after="80" w:before="200"/>
      </w:pPr>
      <w:r>
        <w:rPr>
          <w:rFonts w:ascii="Arial" w:cs="Arial" w:eastAsia="Arial" w:hAnsi="Arial"/>
          <w:b/>
          <w:bCs/>
          <w:color w:val="1E3A5F"/>
          <w:sz w:val="26"/>
          <w:szCs w:val="26"/>
        </w:rPr>
        <w:t xml:space="preserve">Total Addressable Market (TAM)</w:t>
      </w:r>
    </w:p>
    <w:p>
      <w:pPr>
        <w:spacing w:after="80" w:before="60"/>
      </w:pPr>
      <w:r>
        <w:rPr>
          <w:rFonts w:ascii="Arial" w:cs="Arial" w:eastAsia="Arial" w:hAnsi="Arial"/>
          <w:color w:val="2D3748"/>
          <w:sz w:val="22"/>
          <w:szCs w:val="22"/>
        </w:rPr>
        <w:t xml:space="preserve">The global market for AI in enterprise operations is projected to reach $47.1 billion by 2030, growing at a CAGR of 34.2% (Grand View Research, 2024). This encompasses workflow automation, intelligent document processing, AI-powered ERP, and agentic AI platforms — all segments where Sovereign AI Workforce competes or creates a new category.</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Serviceable Addressable Market (SAM)</w:t>
      </w:r>
    </w:p>
    <w:p>
      <w:pPr>
        <w:spacing w:after="80" w:before="60"/>
      </w:pPr>
      <w:r>
        <w:rPr>
          <w:rFonts w:ascii="Arial" w:cs="Arial" w:eastAsia="Arial" w:hAnsi="Arial"/>
          <w:color w:val="2D3748"/>
          <w:sz w:val="22"/>
          <w:szCs w:val="22"/>
        </w:rPr>
        <w:t xml:space="preserve">Our initial focus is mid-market organizations (50–5,000 employees) across the MENA region, with particular emphasis on Algeria, Saudi Arabia, UAE, and Egypt — markets undergoing significant digital transformation investment, where government mandates for technology adoption create strong institutional demand. Estimated SAM: $3.2B by 2028.</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Serviceable Obtainable Market (SOM)</w:t>
      </w:r>
    </w:p>
    <w:p>
      <w:pPr>
        <w:spacing w:after="80" w:before="60"/>
      </w:pPr>
      <w:r>
        <w:rPr>
          <w:rFonts w:ascii="Arial" w:cs="Arial" w:eastAsia="Arial" w:hAnsi="Arial"/>
          <w:color w:val="2D3748"/>
          <w:sz w:val="22"/>
          <w:szCs w:val="22"/>
        </w:rPr>
        <w:t xml:space="preserve">Targeting 0.5% of SAM in the first three years post-launch, through direct enterprise sales, government partnerships, and platform channels: $16M ARR by Year 3.</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2"/>
                <w:szCs w:val="22"/>
              </w:rPr>
              <w:t xml:space="preserve">Market Segment</w:t>
            </w:r>
          </w:p>
        </w:tc>
        <w:tc>
          <w:tcPr>
            <w:tcW w:type="dxa" w:w="468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2"/>
                <w:szCs w:val="22"/>
              </w:rPr>
              <w:t xml:space="preserve">Estimate / Rationale</w:t>
            </w:r>
          </w:p>
        </w:tc>
      </w:tr>
      <w:tr>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TAM — Global AI enterprise ops</w:t>
            </w:r>
          </w:p>
        </w:tc>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$47.1B by 2030, 34.2% CAGR</w:t>
            </w:r>
          </w:p>
        </w:tc>
      </w:tr>
      <w:tr>
        <w:tc>
          <w:tcPr>
            <w:tcW w:type="dxa" w:w="468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SAM — MENA mid-market + government</w:t>
            </w:r>
          </w:p>
        </w:tc>
        <w:tc>
          <w:tcPr>
            <w:tcW w:type="dxa" w:w="468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$3.2B by 2028</w:t>
            </w:r>
          </w:p>
        </w:tc>
      </w:tr>
      <w:tr>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SOM — Realistic 3-year capture</w:t>
            </w:r>
          </w:p>
        </w:tc>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$16M ARR</w:t>
            </w:r>
          </w:p>
        </w:tc>
      </w:tr>
      <w:tr>
        <w:tc>
          <w:tcPr>
            <w:tcW w:type="dxa" w:w="468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Sovereign Digital State contracts</w:t>
            </w:r>
          </w:p>
        </w:tc>
        <w:tc>
          <w:tcPr>
            <w:tcW w:type="dxa" w:w="468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5–10 national pilots in scope</w:t>
            </w:r>
          </w:p>
        </w:tc>
      </w:tr>
      <w:tr>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Emerging agentic AI platforms category</w:t>
            </w:r>
          </w:p>
        </w:tc>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First-mover advantage window: 18 months</w:t>
            </w:r>
          </w:p>
        </w:tc>
      </w:tr>
    </w:tbl>
    <w:p>
      <w:pPr>
        <w:spacing w:after="120" w:before="160"/>
      </w:pPr>
      <w:r>
        <w:t xml:space="preserve"/>
      </w:r>
    </w:p>
    <w:p>
      <w:pPr>
        <w:pStyle w:val="Heading1"/>
        <w:spacing w:after="120" w:before="360"/>
      </w:pPr>
      <w:r>
        <w:rPr>
          <w:rFonts w:ascii="Arial" w:cs="Arial" w:eastAsia="Arial" w:hAnsi="Arial"/>
          <w:b/>
          <w:bCs/>
          <w:color w:val="D97706"/>
          <w:sz w:val="32"/>
          <w:szCs w:val="32"/>
        </w:rPr>
        <w:t xml:space="preserve">6. </w:t>
      </w:r>
      <w:r>
        <w:rPr>
          <w:rFonts w:ascii="Arial" w:cs="Arial" w:eastAsia="Arial" w:hAnsi="Arial"/>
          <w:b/>
          <w:bCs/>
          <w:color w:val="0A1628"/>
          <w:sz w:val="32"/>
          <w:szCs w:val="32"/>
        </w:rPr>
        <w:t xml:space="preserve">Target Customers</w:t>
      </w:r>
    </w:p>
    <w:p>
      <w:pPr>
        <w:pBdr>
          <w:bottom w:val="single" w:color="D97706" w:sz="8"/>
        </w:pBdr>
        <w:spacing w:after="80" w:before="80"/>
      </w:pPr>
      <w:r>
        <w:t xml:space="preserve"/>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Primary Segments</w:t>
      </w:r>
    </w:p>
    <w:p>
      <w:pPr>
        <w:pStyle w:val="ListParagraph"/>
        <w:numPr>
          <w:ilvl w:val="0"/>
          <w:numId w:val="2"/>
        </w:numPr>
        <w:spacing w:after="40" w:before="40"/>
      </w:pPr>
      <w:r>
        <w:rPr>
          <w:rFonts w:ascii="Arial" w:cs="Arial" w:eastAsia="Arial" w:hAnsi="Arial"/>
          <w:b/>
          <w:bCs/>
          <w:color w:val="0A1628"/>
          <w:sz w:val="22"/>
          <w:szCs w:val="22"/>
        </w:rPr>
        <w:t xml:space="preserve">Mid-market enterprises (50–2,000 employees): </w:t>
      </w:r>
      <w:r>
        <w:rPr>
          <w:rFonts w:ascii="Arial" w:cs="Arial" w:eastAsia="Arial" w:hAnsi="Arial"/>
          <w:color w:val="2D3748"/>
          <w:sz w:val="22"/>
          <w:szCs w:val="22"/>
        </w:rPr>
        <w:t xml:space="preserve">Operations-intensive companies in sectors with high administrative load: professional services, logistics, finance, healthcare administration. These organizations have the need but lack the IT budget for custom enterprise AI.</w:t>
      </w:r>
    </w:p>
    <w:p>
      <w:pPr>
        <w:pStyle w:val="ListParagraph"/>
        <w:numPr>
          <w:ilvl w:val="0"/>
          <w:numId w:val="2"/>
        </w:numPr>
        <w:spacing w:after="40" w:before="40"/>
      </w:pPr>
      <w:r>
        <w:rPr>
          <w:rFonts w:ascii="Arial" w:cs="Arial" w:eastAsia="Arial" w:hAnsi="Arial"/>
          <w:b/>
          <w:bCs/>
          <w:color w:val="0A1628"/>
          <w:sz w:val="22"/>
          <w:szCs w:val="22"/>
        </w:rPr>
        <w:t xml:space="preserve">Government ministries and public agencies: </w:t>
      </w:r>
      <w:r>
        <w:rPr>
          <w:rFonts w:ascii="Arial" w:cs="Arial" w:eastAsia="Arial" w:hAnsi="Arial"/>
          <w:color w:val="2D3748"/>
          <w:sz w:val="22"/>
          <w:szCs w:val="22"/>
        </w:rPr>
        <w:t xml:space="preserve">Particularly in the MENA region, where Vision 2030-type digital transformation mandates create direct procurement pathways. Use cases: citizen communications, inter-ministry reporting, procurement workflows.</w:t>
      </w:r>
    </w:p>
    <w:p>
      <w:pPr>
        <w:pStyle w:val="ListParagraph"/>
        <w:numPr>
          <w:ilvl w:val="0"/>
          <w:numId w:val="2"/>
        </w:numPr>
        <w:spacing w:after="40" w:before="40"/>
      </w:pPr>
      <w:r>
        <w:rPr>
          <w:rFonts w:ascii="Arial" w:cs="Arial" w:eastAsia="Arial" w:hAnsi="Arial"/>
          <w:b/>
          <w:bCs/>
          <w:color w:val="0A1628"/>
          <w:sz w:val="22"/>
          <w:szCs w:val="22"/>
        </w:rPr>
        <w:t xml:space="preserve">Startups and scale-ups (10–50 employees): </w:t>
      </w:r>
      <w:r>
        <w:rPr>
          <w:rFonts w:ascii="Arial" w:cs="Arial" w:eastAsia="Arial" w:hAnsi="Arial"/>
          <w:color w:val="2D3748"/>
          <w:sz w:val="22"/>
          <w:szCs w:val="22"/>
        </w:rPr>
        <w:t xml:space="preserve">Organizations that cannot afford to hire specialists for every operational function and need a full operational layer at fractional cost.</w:t>
      </w:r>
    </w:p>
    <w:p>
      <w:pPr>
        <w:pStyle w:val="ListParagraph"/>
        <w:numPr>
          <w:ilvl w:val="0"/>
          <w:numId w:val="2"/>
        </w:numPr>
        <w:spacing w:after="40" w:before="40"/>
      </w:pPr>
      <w:r>
        <w:rPr>
          <w:rFonts w:ascii="Arial" w:cs="Arial" w:eastAsia="Arial" w:hAnsi="Arial"/>
          <w:b/>
          <w:bCs/>
          <w:color w:val="0A1628"/>
          <w:sz w:val="22"/>
          <w:szCs w:val="22"/>
        </w:rPr>
        <w:t xml:space="preserve">Higher education institutions: </w:t>
      </w:r>
      <w:r>
        <w:rPr>
          <w:rFonts w:ascii="Arial" w:cs="Arial" w:eastAsia="Arial" w:hAnsi="Arial"/>
          <w:color w:val="2D3748"/>
          <w:sz w:val="22"/>
          <w:szCs w:val="22"/>
        </w:rPr>
        <w:t xml:space="preserve">Universities managing large volumes of student communications, scheduling, reporting, and compliance documentation — with limited administrative staff.</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Secondary Segments</w:t>
      </w:r>
    </w:p>
    <w:p>
      <w:pPr>
        <w:pStyle w:val="ListParagraph"/>
        <w:numPr>
          <w:ilvl w:val="0"/>
          <w:numId w:val="2"/>
        </w:numPr>
        <w:spacing w:after="40" w:before="40"/>
      </w:pPr>
      <w:r>
        <w:rPr>
          <w:rFonts w:ascii="Arial" w:cs="Arial" w:eastAsia="Arial" w:hAnsi="Arial"/>
          <w:color w:val="2D3748"/>
          <w:sz w:val="22"/>
          <w:szCs w:val="22"/>
        </w:rPr>
        <w:t xml:space="preserve">Legal and consulting firms (high-value knowledge work with extreme administrative overhead)</w:t>
      </w:r>
    </w:p>
    <w:p>
      <w:pPr>
        <w:pStyle w:val="ListParagraph"/>
        <w:numPr>
          <w:ilvl w:val="0"/>
          <w:numId w:val="2"/>
        </w:numPr>
        <w:spacing w:after="40" w:before="40"/>
      </w:pPr>
      <w:r>
        <w:rPr>
          <w:rFonts w:ascii="Arial" w:cs="Arial" w:eastAsia="Arial" w:hAnsi="Arial"/>
          <w:color w:val="2D3748"/>
          <w:sz w:val="22"/>
          <w:szCs w:val="22"/>
        </w:rPr>
        <w:t xml:space="preserve">NGOs and international development organizations (complex multi-stakeholder reporting requirements)</w:t>
      </w:r>
    </w:p>
    <w:p>
      <w:pPr>
        <w:pStyle w:val="ListParagraph"/>
        <w:numPr>
          <w:ilvl w:val="0"/>
          <w:numId w:val="2"/>
        </w:numPr>
        <w:spacing w:after="40" w:before="40"/>
      </w:pPr>
      <w:r>
        <w:rPr>
          <w:rFonts w:ascii="Arial" w:cs="Arial" w:eastAsia="Arial" w:hAnsi="Arial"/>
          <w:color w:val="2D3748"/>
          <w:sz w:val="22"/>
          <w:szCs w:val="22"/>
        </w:rPr>
        <w:t xml:space="preserve">Family offices and private equity funds (investor reporting, portfolio monitoring)</w:t>
      </w:r>
    </w:p>
    <w:p>
      <w:pPr>
        <w:spacing w:after="120" w:before="120"/>
      </w:pPr>
      <w:r>
        <w:t xml:space="preserve"/>
      </w:r>
    </w:p>
    <w:p>
      <w:r>
        <w:br w:type="page"/>
      </w:r>
    </w:p>
    <w:p>
      <w:pPr>
        <w:pStyle w:val="Heading1"/>
        <w:spacing w:after="120" w:before="360"/>
      </w:pPr>
      <w:r>
        <w:rPr>
          <w:rFonts w:ascii="Arial" w:cs="Arial" w:eastAsia="Arial" w:hAnsi="Arial"/>
          <w:b/>
          <w:bCs/>
          <w:color w:val="D97706"/>
          <w:sz w:val="32"/>
          <w:szCs w:val="32"/>
        </w:rPr>
        <w:t xml:space="preserve">7. </w:t>
      </w:r>
      <w:r>
        <w:rPr>
          <w:rFonts w:ascii="Arial" w:cs="Arial" w:eastAsia="Arial" w:hAnsi="Arial"/>
          <w:b/>
          <w:bCs/>
          <w:color w:val="0A1628"/>
          <w:sz w:val="32"/>
          <w:szCs w:val="32"/>
        </w:rPr>
        <w:t xml:space="preserve">User Personas</w:t>
      </w:r>
    </w:p>
    <w:p>
      <w:pPr>
        <w:pBdr>
          <w:bottom w:val="single" w:color="D97706" w:sz="8"/>
        </w:pBdr>
        <w:spacing w:after="80" w:before="80"/>
      </w:pPr>
      <w:r>
        <w:t xml:space="preserve"/>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Persona 1 — Yasmine, COO of a 200-person logistics company (Algiers)</w:t>
      </w:r>
    </w:p>
    <w:p>
      <w:pPr>
        <w:spacing w:after="80" w:before="60"/>
      </w:pPr>
      <w:r>
        <w:rPr>
          <w:rFonts w:ascii="Arial" w:cs="Arial" w:eastAsia="Arial" w:hAnsi="Arial"/>
          <w:color w:val="2D3748"/>
          <w:sz w:val="22"/>
          <w:szCs w:val="22"/>
        </w:rPr>
        <w:t xml:space="preserve">Yasmine oversees operations for a regional freight company growing at 40% year-over-year. She manages 12 direct reports, fields 150+ emails daily, and spends her Sunday afternoons writing the weekly board report. She has no time to evaluate AI tools, no budget for a $200K enterprise contract, and no IT team to implement anything requiring code. She needs something that works in 15 minutes and proves its value in the first week.</w:t>
      </w:r>
    </w:p>
    <w:p>
      <w:pPr>
        <w:pStyle w:val="ListParagraph"/>
        <w:numPr>
          <w:ilvl w:val="0"/>
          <w:numId w:val="2"/>
        </w:numPr>
        <w:spacing w:after="40" w:before="40"/>
      </w:pPr>
      <w:r>
        <w:rPr>
          <w:rFonts w:ascii="Arial" w:cs="Arial" w:eastAsia="Arial" w:hAnsi="Arial"/>
          <w:b/>
          <w:bCs/>
          <w:color w:val="0A1628"/>
          <w:sz w:val="22"/>
          <w:szCs w:val="22"/>
        </w:rPr>
        <w:t xml:space="preserve">Pain: </w:t>
      </w:r>
      <w:r>
        <w:rPr>
          <w:rFonts w:ascii="Arial" w:cs="Arial" w:eastAsia="Arial" w:hAnsi="Arial"/>
          <w:color w:val="2D3748"/>
          <w:sz w:val="22"/>
          <w:szCs w:val="22"/>
        </w:rPr>
        <w:t xml:space="preserve">18 hours per week lost to email, reporting, and scheduling coordination.</w:t>
      </w:r>
    </w:p>
    <w:p>
      <w:pPr>
        <w:pStyle w:val="ListParagraph"/>
        <w:numPr>
          <w:ilvl w:val="0"/>
          <w:numId w:val="2"/>
        </w:numPr>
        <w:spacing w:after="40" w:before="40"/>
      </w:pPr>
      <w:r>
        <w:rPr>
          <w:rFonts w:ascii="Arial" w:cs="Arial" w:eastAsia="Arial" w:hAnsi="Arial"/>
          <w:b/>
          <w:bCs/>
          <w:color w:val="0A1628"/>
          <w:sz w:val="22"/>
          <w:szCs w:val="22"/>
        </w:rPr>
        <w:t xml:space="preserve">Jobs to be done: </w:t>
      </w:r>
      <w:r>
        <w:rPr>
          <w:rFonts w:ascii="Arial" w:cs="Arial" w:eastAsia="Arial" w:hAnsi="Arial"/>
          <w:color w:val="2D3748"/>
          <w:sz w:val="22"/>
          <w:szCs w:val="22"/>
        </w:rPr>
        <w:t xml:space="preserve">Inbox triage, weekly KPI report generation, meeting scheduling with external clients.</w:t>
      </w:r>
    </w:p>
    <w:p>
      <w:pPr>
        <w:pStyle w:val="ListParagraph"/>
        <w:numPr>
          <w:ilvl w:val="0"/>
          <w:numId w:val="2"/>
        </w:numPr>
        <w:spacing w:after="40" w:before="40"/>
      </w:pPr>
      <w:r>
        <w:rPr>
          <w:rFonts w:ascii="Arial" w:cs="Arial" w:eastAsia="Arial" w:hAnsi="Arial"/>
          <w:b/>
          <w:bCs/>
          <w:color w:val="0A1628"/>
          <w:sz w:val="22"/>
          <w:szCs w:val="22"/>
        </w:rPr>
        <w:t xml:space="preserve">Success metric: </w:t>
      </w:r>
      <w:r>
        <w:rPr>
          <w:rFonts w:ascii="Arial" w:cs="Arial" w:eastAsia="Arial" w:hAnsi="Arial"/>
          <w:color w:val="2D3748"/>
          <w:sz w:val="22"/>
          <w:szCs w:val="22"/>
        </w:rPr>
        <w:t xml:space="preserve">Board report writes itself. Meeting invites go out without her touching a calendar.</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Persona 2 — Omar, Director of Digital Transformation, Ministry of Finance (Riyadh)</w:t>
      </w:r>
    </w:p>
    <w:p>
      <w:pPr>
        <w:spacing w:after="80" w:before="60"/>
      </w:pPr>
      <w:r>
        <w:rPr>
          <w:rFonts w:ascii="Arial" w:cs="Arial" w:eastAsia="Arial" w:hAnsi="Arial"/>
          <w:color w:val="2D3748"/>
          <w:sz w:val="22"/>
          <w:szCs w:val="22"/>
        </w:rPr>
        <w:t xml:space="preserve">Omar is responsible for a national mandate: digitize 80% of internal ministry operations by 2027. He has budget (SAR 12M allocated), a team of 6 engineers, and intense pressure from above. He evaluates vendors on data sovereignty, integration with existing government systems, and auditability of AI decisions. He cannot use US-hosted AI products for classified workflows — he needs a platform that can run on-premise or in a national cloud.</w:t>
      </w:r>
    </w:p>
    <w:p>
      <w:pPr>
        <w:pStyle w:val="ListParagraph"/>
        <w:numPr>
          <w:ilvl w:val="0"/>
          <w:numId w:val="2"/>
        </w:numPr>
        <w:spacing w:after="40" w:before="40"/>
      </w:pPr>
      <w:r>
        <w:rPr>
          <w:rFonts w:ascii="Arial" w:cs="Arial" w:eastAsia="Arial" w:hAnsi="Arial"/>
          <w:b/>
          <w:bCs/>
          <w:color w:val="0A1628"/>
          <w:sz w:val="22"/>
          <w:szCs w:val="22"/>
        </w:rPr>
        <w:t xml:space="preserve">Pain: </w:t>
      </w:r>
      <w:r>
        <w:rPr>
          <w:rFonts w:ascii="Arial" w:cs="Arial" w:eastAsia="Arial" w:hAnsi="Arial"/>
          <w:color w:val="2D3748"/>
          <w:sz w:val="22"/>
          <w:szCs w:val="22"/>
        </w:rPr>
        <w:t xml:space="preserve">No AI product that meets government data sovereignty requirements while being genuinely autonomous.</w:t>
      </w:r>
    </w:p>
    <w:p>
      <w:pPr>
        <w:pStyle w:val="ListParagraph"/>
        <w:numPr>
          <w:ilvl w:val="0"/>
          <w:numId w:val="2"/>
        </w:numPr>
        <w:spacing w:after="40" w:before="40"/>
      </w:pPr>
      <w:r>
        <w:rPr>
          <w:rFonts w:ascii="Arial" w:cs="Arial" w:eastAsia="Arial" w:hAnsi="Arial"/>
          <w:b/>
          <w:bCs/>
          <w:color w:val="0A1628"/>
          <w:sz w:val="22"/>
          <w:szCs w:val="22"/>
        </w:rPr>
        <w:t xml:space="preserve">Jobs to be done: </w:t>
      </w:r>
      <w:r>
        <w:rPr>
          <w:rFonts w:ascii="Arial" w:cs="Arial" w:eastAsia="Arial" w:hAnsi="Arial"/>
          <w:color w:val="2D3748"/>
          <w:sz w:val="22"/>
          <w:szCs w:val="22"/>
        </w:rPr>
        <w:t xml:space="preserve">Inter-departmental reporting automation, compliance verification, correspondence management.</w:t>
      </w:r>
    </w:p>
    <w:p>
      <w:pPr>
        <w:pStyle w:val="ListParagraph"/>
        <w:numPr>
          <w:ilvl w:val="0"/>
          <w:numId w:val="2"/>
        </w:numPr>
        <w:spacing w:after="40" w:before="40"/>
      </w:pPr>
      <w:r>
        <w:rPr>
          <w:rFonts w:ascii="Arial" w:cs="Arial" w:eastAsia="Arial" w:hAnsi="Arial"/>
          <w:b/>
          <w:bCs/>
          <w:color w:val="0A1628"/>
          <w:sz w:val="22"/>
          <w:szCs w:val="22"/>
        </w:rPr>
        <w:t xml:space="preserve">Success metric: </w:t>
      </w:r>
      <w:r>
        <w:rPr>
          <w:rFonts w:ascii="Arial" w:cs="Arial" w:eastAsia="Arial" w:hAnsi="Arial"/>
          <w:color w:val="2D3748"/>
          <w:sz w:val="22"/>
          <w:szCs w:val="22"/>
        </w:rPr>
        <w:t xml:space="preserve">Demonstrable 30% reduction in administrative FTE hours in a 6-month pilot.</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Persona 3 — Lina, Founder of a 25-person SaaS startup (Dubai)</w:t>
      </w:r>
    </w:p>
    <w:p>
      <w:pPr>
        <w:spacing w:after="80" w:before="60"/>
      </w:pPr>
      <w:r>
        <w:rPr>
          <w:rFonts w:ascii="Arial" w:cs="Arial" w:eastAsia="Arial" w:hAnsi="Arial"/>
          <w:color w:val="2D3748"/>
          <w:sz w:val="22"/>
          <w:szCs w:val="22"/>
        </w:rPr>
        <w:t xml:space="preserve">Lina's company is growing fast but her team is stretched. She has two people managing all customer success, finance, and operations — roles that should each be full-time positions. She spends $2,000/month on a patchwork of Zapier, Notion, and Calendly. She is technical enough to connect an API but not technical enough to build custom AI agents. She needs a workforce, not another tool.</w:t>
      </w:r>
    </w:p>
    <w:p>
      <w:pPr>
        <w:pStyle w:val="ListParagraph"/>
        <w:numPr>
          <w:ilvl w:val="0"/>
          <w:numId w:val="2"/>
        </w:numPr>
        <w:spacing w:after="40" w:before="40"/>
      </w:pPr>
      <w:r>
        <w:rPr>
          <w:rFonts w:ascii="Arial" w:cs="Arial" w:eastAsia="Arial" w:hAnsi="Arial"/>
          <w:b/>
          <w:bCs/>
          <w:color w:val="0A1628"/>
          <w:sz w:val="22"/>
          <w:szCs w:val="22"/>
        </w:rPr>
        <w:t xml:space="preserve">Pain: </w:t>
      </w:r>
      <w:r>
        <w:rPr>
          <w:rFonts w:ascii="Arial" w:cs="Arial" w:eastAsia="Arial" w:hAnsi="Arial"/>
          <w:color w:val="2D3748"/>
          <w:sz w:val="22"/>
          <w:szCs w:val="22"/>
        </w:rPr>
        <w:t xml:space="preserve">Operating costs of a 5-person ops team on the budget of a 0.5-person team.</w:t>
      </w:r>
    </w:p>
    <w:p>
      <w:pPr>
        <w:pStyle w:val="ListParagraph"/>
        <w:numPr>
          <w:ilvl w:val="0"/>
          <w:numId w:val="2"/>
        </w:numPr>
        <w:spacing w:after="40" w:before="40"/>
      </w:pPr>
      <w:r>
        <w:rPr>
          <w:rFonts w:ascii="Arial" w:cs="Arial" w:eastAsia="Arial" w:hAnsi="Arial"/>
          <w:b/>
          <w:bCs/>
          <w:color w:val="0A1628"/>
          <w:sz w:val="22"/>
          <w:szCs w:val="22"/>
        </w:rPr>
        <w:t xml:space="preserve">Jobs to be done: </w:t>
      </w:r>
      <w:r>
        <w:rPr>
          <w:rFonts w:ascii="Arial" w:cs="Arial" w:eastAsia="Arial" w:hAnsi="Arial"/>
          <w:color w:val="2D3748"/>
          <w:sz w:val="22"/>
          <w:szCs w:val="22"/>
        </w:rPr>
        <w:t xml:space="preserve">Automated investor reporting, client email management, invoice processing.</w:t>
      </w:r>
    </w:p>
    <w:p>
      <w:pPr>
        <w:pStyle w:val="ListParagraph"/>
        <w:numPr>
          <w:ilvl w:val="0"/>
          <w:numId w:val="2"/>
        </w:numPr>
        <w:spacing w:after="40" w:before="40"/>
      </w:pPr>
      <w:r>
        <w:rPr>
          <w:rFonts w:ascii="Arial" w:cs="Arial" w:eastAsia="Arial" w:hAnsi="Arial"/>
          <w:b/>
          <w:bCs/>
          <w:color w:val="0A1628"/>
          <w:sz w:val="22"/>
          <w:szCs w:val="22"/>
        </w:rPr>
        <w:t xml:space="preserve">Success metric: </w:t>
      </w:r>
      <w:r>
        <w:rPr>
          <w:rFonts w:ascii="Arial" w:cs="Arial" w:eastAsia="Arial" w:hAnsi="Arial"/>
          <w:color w:val="2D3748"/>
          <w:sz w:val="22"/>
          <w:szCs w:val="22"/>
        </w:rPr>
        <w:t xml:space="preserve">Two operational roles eliminated or repurposed to revenue-generating functions.</w:t>
      </w:r>
    </w:p>
    <w:p>
      <w:pPr>
        <w:spacing w:after="120" w:before="120"/>
      </w:pPr>
      <w:r>
        <w:t xml:space="preserve"/>
      </w:r>
    </w:p>
    <w:p>
      <w:r>
        <w:br w:type="page"/>
      </w:r>
    </w:p>
    <w:p>
      <w:pPr>
        <w:pStyle w:val="Heading1"/>
        <w:spacing w:after="120" w:before="360"/>
      </w:pPr>
      <w:r>
        <w:rPr>
          <w:rFonts w:ascii="Arial" w:cs="Arial" w:eastAsia="Arial" w:hAnsi="Arial"/>
          <w:b/>
          <w:bCs/>
          <w:color w:val="D97706"/>
          <w:sz w:val="32"/>
          <w:szCs w:val="32"/>
        </w:rPr>
        <w:t xml:space="preserve">8. </w:t>
      </w:r>
      <w:r>
        <w:rPr>
          <w:rFonts w:ascii="Arial" w:cs="Arial" w:eastAsia="Arial" w:hAnsi="Arial"/>
          <w:b/>
          <w:bCs/>
          <w:color w:val="0A1628"/>
          <w:sz w:val="32"/>
          <w:szCs w:val="32"/>
        </w:rPr>
        <w:t xml:space="preserve">Value Proposition</w:t>
      </w:r>
    </w:p>
    <w:p>
      <w:pPr>
        <w:pBdr>
          <w:bottom w:val="single" w:color="D97706" w:sz="8"/>
        </w:pBdr>
        <w:spacing w:after="80" w:before="80"/>
      </w:pPr>
      <w:r>
        <w:t xml:space="preserve"/>
      </w:r>
    </w:p>
    <w:p>
      <w:pPr>
        <w:spacing w:after="120" w:before="80"/>
      </w:pPr>
      <w:r>
        <w:t xml:space="preserve"/>
      </w:r>
    </w:p>
    <w:p>
      <w:pPr>
        <w:pBdr>
          <w:left w:val="single" w:color="D97706" w:sz="20"/>
        </w:pBdr>
        <w:spacing w:after="120" w:before="120"/>
        <w:ind w:left="720"/>
      </w:pPr>
      <w:r>
        <w:rPr>
          <w:rFonts w:ascii="Arial" w:cs="Arial" w:eastAsia="Arial" w:hAnsi="Arial"/>
          <w:i/>
          <w:iCs/>
          <w:color w:val="1E3A5F"/>
          <w:sz w:val="24"/>
          <w:szCs w:val="24"/>
        </w:rPr>
        <w:t xml:space="preserve">Deploy a full operational workforce — email agent, calendar agent, finance agent, reporting agent, compliance agent — in under 15 minutes. Your team approves the work. The agents do it.</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Core Value Drivers</w:t>
      </w:r>
    </w:p>
    <w:p>
      <w:pPr>
        <w:pStyle w:val="ListParagraph"/>
        <w:numPr>
          <w:ilvl w:val="0"/>
          <w:numId w:val="2"/>
        </w:numPr>
        <w:spacing w:after="40" w:before="40"/>
      </w:pPr>
      <w:r>
        <w:rPr>
          <w:rFonts w:ascii="Arial" w:cs="Arial" w:eastAsia="Arial" w:hAnsi="Arial"/>
          <w:b/>
          <w:bCs/>
          <w:color w:val="0A1628"/>
          <w:sz w:val="22"/>
          <w:szCs w:val="22"/>
        </w:rPr>
        <w:t xml:space="preserve">Time recapture: </w:t>
      </w:r>
      <w:r>
        <w:rPr>
          <w:rFonts w:ascii="Arial" w:cs="Arial" w:eastAsia="Arial" w:hAnsi="Arial"/>
          <w:color w:val="2D3748"/>
          <w:sz w:val="22"/>
          <w:szCs w:val="22"/>
        </w:rPr>
        <w:t xml:space="preserve">13+ hours per knowledge worker per week, returned to strategic activity. At a $35/hr blended rate, this is $23,660 in recovered value per employee per year.</w:t>
      </w:r>
    </w:p>
    <w:p>
      <w:pPr>
        <w:pStyle w:val="ListParagraph"/>
        <w:numPr>
          <w:ilvl w:val="0"/>
          <w:numId w:val="2"/>
        </w:numPr>
        <w:spacing w:after="40" w:before="40"/>
      </w:pPr>
      <w:r>
        <w:rPr>
          <w:rFonts w:ascii="Arial" w:cs="Arial" w:eastAsia="Arial" w:hAnsi="Arial"/>
          <w:b/>
          <w:bCs/>
          <w:color w:val="0A1628"/>
          <w:sz w:val="22"/>
          <w:szCs w:val="22"/>
        </w:rPr>
        <w:t xml:space="preserve">Institutional memory: </w:t>
      </w:r>
      <w:r>
        <w:rPr>
          <w:rFonts w:ascii="Arial" w:cs="Arial" w:eastAsia="Arial" w:hAnsi="Arial"/>
          <w:color w:val="2D3748"/>
          <w:sz w:val="22"/>
          <w:szCs w:val="22"/>
        </w:rPr>
        <w:t xml:space="preserve">The platform remembers every client interaction, decision, communication style preference, and meeting outcome. It is the first AI system in most organizations that actually gets smarter over time — because it retrieves, not just generates.</w:t>
      </w:r>
    </w:p>
    <w:p>
      <w:pPr>
        <w:pStyle w:val="ListParagraph"/>
        <w:numPr>
          <w:ilvl w:val="0"/>
          <w:numId w:val="2"/>
        </w:numPr>
        <w:spacing w:after="40" w:before="40"/>
      </w:pPr>
      <w:r>
        <w:rPr>
          <w:rFonts w:ascii="Arial" w:cs="Arial" w:eastAsia="Arial" w:hAnsi="Arial"/>
          <w:b/>
          <w:bCs/>
          <w:color w:val="0A1628"/>
          <w:sz w:val="22"/>
          <w:szCs w:val="22"/>
        </w:rPr>
        <w:t xml:space="preserve">Zero-code deployment: </w:t>
      </w:r>
      <w:r>
        <w:rPr>
          <w:rFonts w:ascii="Arial" w:cs="Arial" w:eastAsia="Arial" w:hAnsi="Arial"/>
          <w:color w:val="2D3748"/>
          <w:sz w:val="22"/>
          <w:szCs w:val="22"/>
        </w:rPr>
        <w:t xml:space="preserve">A COO or operations manager can configure and activate the workforce with no engineering support. The onboarding flow takes 15 minutes.</w:t>
      </w:r>
    </w:p>
    <w:p>
      <w:pPr>
        <w:pStyle w:val="ListParagraph"/>
        <w:numPr>
          <w:ilvl w:val="0"/>
          <w:numId w:val="2"/>
        </w:numPr>
        <w:spacing w:after="40" w:before="40"/>
      </w:pPr>
      <w:r>
        <w:rPr>
          <w:rFonts w:ascii="Arial" w:cs="Arial" w:eastAsia="Arial" w:hAnsi="Arial"/>
          <w:b/>
          <w:bCs/>
          <w:color w:val="0A1628"/>
          <w:sz w:val="22"/>
          <w:szCs w:val="22"/>
        </w:rPr>
        <w:t xml:space="preserve">Human-in-the-loop by design: </w:t>
      </w:r>
      <w:r>
        <w:rPr>
          <w:rFonts w:ascii="Arial" w:cs="Arial" w:eastAsia="Arial" w:hAnsi="Arial"/>
          <w:color w:val="2D3748"/>
          <w:sz w:val="22"/>
          <w:szCs w:val="22"/>
        </w:rPr>
        <w:t xml:space="preserve">Every consequential action is gated behind explicit approval. This is not a disclaimer — it is the product's core trust mechanism and the differentiator from automation tools that scare decision-makers.</w:t>
      </w:r>
    </w:p>
    <w:p>
      <w:pPr>
        <w:pStyle w:val="ListParagraph"/>
        <w:numPr>
          <w:ilvl w:val="0"/>
          <w:numId w:val="2"/>
        </w:numPr>
        <w:spacing w:after="40" w:before="40"/>
      </w:pPr>
      <w:r>
        <w:rPr>
          <w:rFonts w:ascii="Arial" w:cs="Arial" w:eastAsia="Arial" w:hAnsi="Arial"/>
          <w:b/>
          <w:bCs/>
          <w:color w:val="0A1628"/>
          <w:sz w:val="22"/>
          <w:szCs w:val="22"/>
        </w:rPr>
        <w:t xml:space="preserve">Data sovereignty: </w:t>
      </w:r>
      <w:r>
        <w:rPr>
          <w:rFonts w:ascii="Arial" w:cs="Arial" w:eastAsia="Arial" w:hAnsi="Arial"/>
          <w:color w:val="2D3748"/>
          <w:sz w:val="22"/>
          <w:szCs w:val="22"/>
        </w:rPr>
        <w:t xml:space="preserve">On-premise or private cloud deployment available. No organization data leaves the operator's infrastructure. Designed specifically for government and regulated enterprise segments.</w:t>
      </w:r>
    </w:p>
    <w:p>
      <w:pPr>
        <w:spacing w:after="120" w:before="120"/>
      </w:pPr>
      <w:r>
        <w:t xml:space="preserve"/>
      </w:r>
    </w:p>
    <w:p>
      <w:pPr>
        <w:pStyle w:val="Heading1"/>
        <w:spacing w:after="120" w:before="360"/>
      </w:pPr>
      <w:r>
        <w:rPr>
          <w:rFonts w:ascii="Arial" w:cs="Arial" w:eastAsia="Arial" w:hAnsi="Arial"/>
          <w:b/>
          <w:bCs/>
          <w:color w:val="D97706"/>
          <w:sz w:val="32"/>
          <w:szCs w:val="32"/>
        </w:rPr>
        <w:t xml:space="preserve">9. </w:t>
      </w:r>
      <w:r>
        <w:rPr>
          <w:rFonts w:ascii="Arial" w:cs="Arial" w:eastAsia="Arial" w:hAnsi="Arial"/>
          <w:b/>
          <w:bCs/>
          <w:color w:val="0A1628"/>
          <w:sz w:val="32"/>
          <w:szCs w:val="32"/>
        </w:rPr>
        <w:t xml:space="preserve">Competitive Advantages</w:t>
      </w:r>
    </w:p>
    <w:p>
      <w:pPr>
        <w:pBdr>
          <w:bottom w:val="single" w:color="D97706" w:sz="8"/>
        </w:pBdr>
        <w:spacing w:after="80" w:before="80"/>
      </w:pPr>
      <w:r>
        <w:t xml:space="preserve"/>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Sovereign AI Workforce</w:t>
            </w:r>
          </w:p>
        </w:tc>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Alternatives</w:t>
            </w:r>
          </w:p>
        </w:tc>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Why It Matters</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Orchestrated multi-agent system</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Single-agent tools, general assistants</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Compound output: agents share context, correct each other, produce better plans than any single model</w:t>
            </w:r>
          </w:p>
        </w:tc>
      </w:tr>
      <w:tr>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Semantic long-term memory (pgvector)</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Stateless chatbots, session-only context</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Agents know your clients, your style, your decisions — without being told every time</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Human-in-the-loop approval gate</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Full automation (risky) or no automation</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Enterprise-grade trust: AI does the thinking, human makes the call</w:t>
            </w:r>
          </w:p>
        </w:tc>
      </w:tr>
      <w:tr>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Agent Builder for custom roles</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Fixed feature sets from vendors</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Organizations define their own workforce — a legal agent, a procurement agent, an HR agent</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MENA-first, data-sovereign design</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US-centric products requiring data export</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Government and regulated enterprise segments that cannot use foreign-hosted AI</w:t>
            </w:r>
          </w:p>
        </w:tc>
      </w:tr>
      <w:tr>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Open deployment (Docker + self-hosted)</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SaaS-only, vendor-locked</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Institutional buyers control their own infrastructure and data pipeline</w:t>
            </w:r>
          </w:p>
        </w:tc>
      </w:tr>
    </w:tbl>
    <w:p>
      <w:pPr>
        <w:spacing w:after="120" w:before="160"/>
      </w:pPr>
      <w:r>
        <w:t xml:space="preserve"/>
      </w:r>
    </w:p>
    <w:p>
      <w:r>
        <w:br w:type="page"/>
      </w:r>
    </w:p>
    <w:p>
      <w:pPr>
        <w:pStyle w:val="Heading1"/>
        <w:spacing w:after="120" w:before="360"/>
      </w:pPr>
      <w:r>
        <w:rPr>
          <w:rFonts w:ascii="Arial" w:cs="Arial" w:eastAsia="Arial" w:hAnsi="Arial"/>
          <w:b/>
          <w:bCs/>
          <w:color w:val="D97706"/>
          <w:sz w:val="32"/>
          <w:szCs w:val="32"/>
        </w:rPr>
        <w:t xml:space="preserve">10. </w:t>
      </w:r>
      <w:r>
        <w:rPr>
          <w:rFonts w:ascii="Arial" w:cs="Arial" w:eastAsia="Arial" w:hAnsi="Arial"/>
          <w:b/>
          <w:bCs/>
          <w:color w:val="0A1628"/>
          <w:sz w:val="32"/>
          <w:szCs w:val="32"/>
        </w:rPr>
        <w:t xml:space="preserve">Product Positioning</w:t>
      </w:r>
    </w:p>
    <w:p>
      <w:pPr>
        <w:pBdr>
          <w:bottom w:val="single" w:color="D97706" w:sz="8"/>
        </w:pBdr>
        <w:spacing w:after="80" w:before="80"/>
      </w:pPr>
      <w:r>
        <w:t xml:space="preserve"/>
      </w:r>
    </w:p>
    <w:p>
      <w:pPr>
        <w:spacing w:after="120" w:before="80"/>
      </w:pPr>
      <w:r>
        <w:t xml:space="preserve"/>
      </w:r>
    </w:p>
    <w:p>
      <w:pPr>
        <w:pStyle w:val="Heading2"/>
        <w:spacing w:after="80" w:before="200"/>
      </w:pPr>
      <w:r>
        <w:rPr>
          <w:rFonts w:ascii="Arial" w:cs="Arial" w:eastAsia="Arial" w:hAnsi="Arial"/>
          <w:b/>
          <w:bCs/>
          <w:color w:val="1E3A5F"/>
          <w:sz w:val="26"/>
          <w:szCs w:val="26"/>
        </w:rPr>
        <w:t xml:space="preserve">Category Creation</w:t>
      </w:r>
    </w:p>
    <w:p>
      <w:pPr>
        <w:spacing w:after="80" w:before="60"/>
      </w:pPr>
      <w:r>
        <w:rPr>
          <w:rFonts w:ascii="Arial" w:cs="Arial" w:eastAsia="Arial" w:hAnsi="Arial"/>
          <w:color w:val="2D3748"/>
          <w:sz w:val="22"/>
          <w:szCs w:val="22"/>
        </w:rPr>
        <w:t xml:space="preserve">Sovereign AI Workforce does not position itself as a better chatbot, a smarter automation tool, or an AI copilot. It creates and owns a new category: Autonomous AI Workforce — a platform that deploys, manages, and scales digital employees, not software features.</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Positioning Statement</w:t>
      </w:r>
    </w:p>
    <w:p>
      <w:pPr>
        <w:pBdr>
          <w:left w:val="single" w:color="D97706" w:sz="20"/>
        </w:pBdr>
        <w:spacing w:after="120" w:before="120"/>
        <w:ind w:left="720"/>
      </w:pPr>
      <w:r>
        <w:rPr>
          <w:rFonts w:ascii="Arial" w:cs="Arial" w:eastAsia="Arial" w:hAnsi="Arial"/>
          <w:i/>
          <w:iCs/>
          <w:color w:val="1E3A5F"/>
          <w:sz w:val="24"/>
          <w:szCs w:val="24"/>
        </w:rPr>
        <w:t xml:space="preserve">For mid-market organizations and governments who are losing competitive ground to administrative overhead, Sovereign AI Workforce is the autonomous workforce platform that deploys specialized AI agents to handle your operations — unlike general AI assistants that require constant prompting, or enterprise automation tools that require constant maintenance, our platform coordinates a team of agents that remember, collaborate, and act, while keeping every decision accountable to the humans who lead the organization.</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Competitive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2"/>
                <w:szCs w:val="22"/>
              </w:rPr>
              <w:t xml:space="preserve">Competitor</w:t>
            </w:r>
          </w:p>
        </w:tc>
        <w:tc>
          <w:tcPr>
            <w:tcW w:type="dxa" w:w="468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2"/>
                <w:szCs w:val="22"/>
              </w:rPr>
              <w:t xml:space="preserve">Sovereign AI Workforce Differentiation</w:t>
            </w:r>
          </w:p>
        </w:tc>
      </w:tr>
      <w:tr>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vs. Microsoft Copilot</w:t>
            </w:r>
          </w:p>
        </w:tc>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Copilot augments individual tasks. SAW replaces entire operational functions with coordinated agents that share memory and produce outcomes.</w:t>
            </w:r>
          </w:p>
        </w:tc>
      </w:tr>
      <w:tr>
        <w:tc>
          <w:tcPr>
            <w:tcW w:type="dxa" w:w="468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vs. Zapier / Make</w:t>
            </w:r>
          </w:p>
        </w:tc>
        <w:tc>
          <w:tcPr>
            <w:tcW w:type="dxa" w:w="468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These are rule-based trigger systems. SAW handles unstructured inputs (emails, meeting notes) and applies judgment, not just conditional logic.</w:t>
            </w:r>
          </w:p>
        </w:tc>
      </w:tr>
      <w:tr>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vs. Salesforce Einstein</w:t>
            </w:r>
          </w:p>
        </w:tc>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Einstein is CRM-specific, expensive, and requires Salesforce. SAW is workflow-agnostic, affordable, and deployable on any infrastructure.</w:t>
            </w:r>
          </w:p>
        </w:tc>
      </w:tr>
      <w:tr>
        <w:tc>
          <w:tcPr>
            <w:tcW w:type="dxa" w:w="468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vs. CrewAI / LangGraph</w:t>
            </w:r>
          </w:p>
        </w:tc>
        <w:tc>
          <w:tcPr>
            <w:tcW w:type="dxa" w:w="468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1"/>
                <w:szCs w:val="21"/>
              </w:rPr>
              <w:t xml:space="preserve">These are developer frameworks, not products. SAW is a deployable platform with UI, memory, approval workflows, and monitoring — built for operators, not engineers.</w:t>
            </w:r>
          </w:p>
        </w:tc>
      </w:tr>
      <w:tr>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vs. Custom-built AI agents</w:t>
            </w:r>
          </w:p>
        </w:tc>
        <w:tc>
          <w:tcPr>
            <w:tcW w:type="dxa" w:w="468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1"/>
                <w:szCs w:val="21"/>
              </w:rPr>
              <w:t xml:space="preserve">Custom builds cost $200K+ and take 6–12 months. SAW delivers 80% of the functionality in 15 minutes, with extensibility via the Agent Builder.</w:t>
            </w:r>
          </w:p>
        </w:tc>
      </w:tr>
    </w:tbl>
    <w:p>
      <w:pPr>
        <w:spacing w:after="120" w:before="160"/>
      </w:pPr>
      <w:r>
        <w:t xml:space="preserve"/>
      </w:r>
    </w:p>
    <w:p>
      <w:r>
        <w:br w:type="page"/>
      </w:r>
    </w:p>
    <w:p>
      <w:pPr>
        <w:pStyle w:val="Heading1"/>
        <w:spacing w:after="120" w:before="360"/>
      </w:pPr>
      <w:r>
        <w:rPr>
          <w:rFonts w:ascii="Arial" w:cs="Arial" w:eastAsia="Arial" w:hAnsi="Arial"/>
          <w:b/>
          <w:bCs/>
          <w:color w:val="D97706"/>
          <w:sz w:val="32"/>
          <w:szCs w:val="32"/>
        </w:rPr>
        <w:t xml:space="preserve">11. </w:t>
      </w:r>
      <w:r>
        <w:rPr>
          <w:rFonts w:ascii="Arial" w:cs="Arial" w:eastAsia="Arial" w:hAnsi="Arial"/>
          <w:b/>
          <w:bCs/>
          <w:color w:val="0A1628"/>
          <w:sz w:val="32"/>
          <w:szCs w:val="32"/>
        </w:rPr>
        <w:t xml:space="preserve">Business Model</w:t>
      </w:r>
    </w:p>
    <w:p>
      <w:pPr>
        <w:pBdr>
          <w:bottom w:val="single" w:color="D97706" w:sz="8"/>
        </w:pBdr>
        <w:spacing w:after="80" w:before="80"/>
      </w:pPr>
      <w:r>
        <w:t xml:space="preserve"/>
      </w:r>
    </w:p>
    <w:p>
      <w:pPr>
        <w:spacing w:after="120" w:before="80"/>
      </w:pPr>
      <w:r>
        <w:t xml:space="preserve"/>
      </w:r>
    </w:p>
    <w:p>
      <w:pPr>
        <w:spacing w:after="80" w:before="60"/>
      </w:pPr>
      <w:r>
        <w:rPr>
          <w:rFonts w:ascii="Arial" w:cs="Arial" w:eastAsia="Arial" w:hAnsi="Arial"/>
          <w:color w:val="2D3748"/>
          <w:sz w:val="22"/>
          <w:szCs w:val="22"/>
        </w:rPr>
        <w:t xml:space="preserve">Sovereign AI Workforce operates on a usage-based SaaS model with enterprise license tiers, calibrated to align our revenue with the value delivered. Pricing is per organization (not per seat) to avoid the per-user pricing traps that make AI tools expensive as adoption grows internally.</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Tier</w:t>
            </w:r>
          </w:p>
        </w:tc>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Target Customer</w:t>
            </w:r>
          </w:p>
        </w:tc>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Monthly Price</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Tier</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Target Customer</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Monthly Price</w:t>
            </w:r>
          </w:p>
        </w:tc>
      </w:tr>
      <w:tr>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Starter</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Startups, 10–50 employees</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$299/month</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Growth</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Mid-market, 50–500 employees</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$1,200/month</w:t>
            </w:r>
          </w:p>
        </w:tc>
      </w:tr>
      <w:tr>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Enterprise</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Large org / government</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$4,500+/month</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Sovereign</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National/sovereign deployment</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Custom contract</w:t>
            </w:r>
          </w:p>
        </w:tc>
      </w:tr>
    </w:tbl>
    <w:p>
      <w:pPr>
        <w:spacing w:after="120" w:before="80"/>
      </w:pPr>
      <w:r>
        <w:t xml:space="preserve"/>
      </w:r>
    </w:p>
    <w:p>
      <w:pPr>
        <w:spacing w:after="80" w:before="60"/>
      </w:pPr>
      <w:r>
        <w:rPr>
          <w:rFonts w:ascii="Arial" w:cs="Arial" w:eastAsia="Arial" w:hAnsi="Arial"/>
          <w:color w:val="2D3748"/>
          <w:sz w:val="22"/>
          <w:szCs w:val="22"/>
        </w:rPr>
        <w:t xml:space="preserve">All tiers include: 7 built-in agents, unlimited workflow runs, long-term memory, Google Workspace integration. Higher tiers add: custom agent slots, on-premise deployment, SLA guarantees, dedicated support, and audit log export.</w:t>
      </w:r>
    </w:p>
    <w:p>
      <w:pPr>
        <w:spacing w:after="120" w:before="120"/>
      </w:pPr>
      <w:r>
        <w:t xml:space="preserve"/>
      </w:r>
    </w:p>
    <w:p>
      <w:pPr>
        <w:pStyle w:val="Heading1"/>
        <w:spacing w:after="120" w:before="360"/>
      </w:pPr>
      <w:r>
        <w:rPr>
          <w:rFonts w:ascii="Arial" w:cs="Arial" w:eastAsia="Arial" w:hAnsi="Arial"/>
          <w:b/>
          <w:bCs/>
          <w:color w:val="D97706"/>
          <w:sz w:val="32"/>
          <w:szCs w:val="32"/>
        </w:rPr>
        <w:t xml:space="preserve">12. </w:t>
      </w:r>
      <w:r>
        <w:rPr>
          <w:rFonts w:ascii="Arial" w:cs="Arial" w:eastAsia="Arial" w:hAnsi="Arial"/>
          <w:b/>
          <w:bCs/>
          <w:color w:val="0A1628"/>
          <w:sz w:val="32"/>
          <w:szCs w:val="32"/>
        </w:rPr>
        <w:t xml:space="preserve">Revenue Streams</w:t>
      </w:r>
    </w:p>
    <w:p>
      <w:pPr>
        <w:pBdr>
          <w:bottom w:val="single" w:color="D97706" w:sz="8"/>
        </w:pBdr>
        <w:spacing w:after="80" w:before="80"/>
      </w:pPr>
      <w:r>
        <w:t xml:space="preserve"/>
      </w:r>
    </w:p>
    <w:p>
      <w:pPr>
        <w:spacing w:after="120" w:before="80"/>
      </w:pPr>
      <w:r>
        <w:t xml:space="preserve"/>
      </w:r>
    </w:p>
    <w:p>
      <w:pPr>
        <w:pStyle w:val="ListParagraph"/>
        <w:numPr>
          <w:ilvl w:val="0"/>
          <w:numId w:val="2"/>
        </w:numPr>
        <w:spacing w:after="40" w:before="40"/>
      </w:pPr>
      <w:r>
        <w:rPr>
          <w:rFonts w:ascii="Arial" w:cs="Arial" w:eastAsia="Arial" w:hAnsi="Arial"/>
          <w:b/>
          <w:bCs/>
          <w:color w:val="0A1628"/>
          <w:sz w:val="22"/>
          <w:szCs w:val="22"/>
        </w:rPr>
        <w:t xml:space="preserve">Platform subscriptions (primary): </w:t>
      </w:r>
      <w:r>
        <w:rPr>
          <w:rFonts w:ascii="Arial" w:cs="Arial" w:eastAsia="Arial" w:hAnsi="Arial"/>
          <w:color w:val="2D3748"/>
          <w:sz w:val="22"/>
          <w:szCs w:val="22"/>
        </w:rPr>
        <w:t xml:space="preserve">Monthly/annual SaaS fees across Starter, Growth, and Enterprise tiers. Target: 70% of total revenue at scale.</w:t>
      </w:r>
    </w:p>
    <w:p>
      <w:pPr>
        <w:pStyle w:val="ListParagraph"/>
        <w:numPr>
          <w:ilvl w:val="0"/>
          <w:numId w:val="2"/>
        </w:numPr>
        <w:spacing w:after="40" w:before="40"/>
      </w:pPr>
      <w:r>
        <w:rPr>
          <w:rFonts w:ascii="Arial" w:cs="Arial" w:eastAsia="Arial" w:hAnsi="Arial"/>
          <w:b/>
          <w:bCs/>
          <w:color w:val="0A1628"/>
          <w:sz w:val="22"/>
          <w:szCs w:val="22"/>
        </w:rPr>
        <w:t xml:space="preserve">Government &amp; sovereign contracts: </w:t>
      </w:r>
      <w:r>
        <w:rPr>
          <w:rFonts w:ascii="Arial" w:cs="Arial" w:eastAsia="Arial" w:hAnsi="Arial"/>
          <w:color w:val="2D3748"/>
          <w:sz w:val="22"/>
          <w:szCs w:val="22"/>
        </w:rPr>
        <w:t xml:space="preserve">Multi-year fixed-price contracts with national governments or large public agencies for on-premise deployment, customization, and dedicated support. Typically $500K–$2M per contract. Target: 20% of revenue.</w:t>
      </w:r>
    </w:p>
    <w:p>
      <w:pPr>
        <w:pStyle w:val="ListParagraph"/>
        <w:numPr>
          <w:ilvl w:val="0"/>
          <w:numId w:val="2"/>
        </w:numPr>
        <w:spacing w:after="40" w:before="40"/>
      </w:pPr>
      <w:r>
        <w:rPr>
          <w:rFonts w:ascii="Arial" w:cs="Arial" w:eastAsia="Arial" w:hAnsi="Arial"/>
          <w:b/>
          <w:bCs/>
          <w:color w:val="0A1628"/>
          <w:sz w:val="22"/>
          <w:szCs w:val="22"/>
        </w:rPr>
        <w:t xml:space="preserve">Agent Builder marketplace: </w:t>
      </w:r>
      <w:r>
        <w:rPr>
          <w:rFonts w:ascii="Arial" w:cs="Arial" w:eastAsia="Arial" w:hAnsi="Arial"/>
          <w:color w:val="2D3748"/>
          <w:sz w:val="22"/>
          <w:szCs w:val="22"/>
        </w:rPr>
        <w:t xml:space="preserve">Third-party developers build and publish specialized agents (legal review, HR screening, procurement compliance). SAW takes a 30% revenue share on marketplace agent subscriptions.</w:t>
      </w:r>
    </w:p>
    <w:p>
      <w:pPr>
        <w:pStyle w:val="ListParagraph"/>
        <w:numPr>
          <w:ilvl w:val="0"/>
          <w:numId w:val="2"/>
        </w:numPr>
        <w:spacing w:after="40" w:before="40"/>
      </w:pPr>
      <w:r>
        <w:rPr>
          <w:rFonts w:ascii="Arial" w:cs="Arial" w:eastAsia="Arial" w:hAnsi="Arial"/>
          <w:b/>
          <w:bCs/>
          <w:color w:val="0A1628"/>
          <w:sz w:val="22"/>
          <w:szCs w:val="22"/>
        </w:rPr>
        <w:t xml:space="preserve">Professional services: </w:t>
      </w:r>
      <w:r>
        <w:rPr>
          <w:rFonts w:ascii="Arial" w:cs="Arial" w:eastAsia="Arial" w:hAnsi="Arial"/>
          <w:color w:val="2D3748"/>
          <w:sz w:val="22"/>
          <w:szCs w:val="22"/>
        </w:rPr>
        <w:t xml:space="preserve">Implementation, custom agent development, training, and change management. Particularly relevant for government and enterprise Tier 3/4 customers.</w:t>
      </w:r>
    </w:p>
    <w:p>
      <w:pPr>
        <w:pStyle w:val="ListParagraph"/>
        <w:numPr>
          <w:ilvl w:val="0"/>
          <w:numId w:val="2"/>
        </w:numPr>
        <w:spacing w:after="40" w:before="40"/>
      </w:pPr>
      <w:r>
        <w:rPr>
          <w:rFonts w:ascii="Arial" w:cs="Arial" w:eastAsia="Arial" w:hAnsi="Arial"/>
          <w:b/>
          <w:bCs/>
          <w:color w:val="0A1628"/>
          <w:sz w:val="22"/>
          <w:szCs w:val="22"/>
        </w:rPr>
        <w:t xml:space="preserve">Data intelligence (Year 3+): </w:t>
      </w:r>
      <w:r>
        <w:rPr>
          <w:rFonts w:ascii="Arial" w:cs="Arial" w:eastAsia="Arial" w:hAnsi="Arial"/>
          <w:color w:val="2D3748"/>
          <w:sz w:val="22"/>
          <w:szCs w:val="22"/>
        </w:rPr>
        <w:t xml:space="preserve">Anonymized, aggregated operational benchmarks (how long does it take organizations in your sector to process invoices? What is the average email response time?) sold as subscription analytics to management consultancies and industry associations.</w:t>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70%</w:t>
            </w:r>
          </w:p>
          <w:p>
            <w:pPr>
              <w:spacing w:after="40" w:before="0"/>
              <w:jc w:val="center"/>
            </w:pPr>
            <w:r>
              <w:rPr>
                <w:rFonts w:ascii="Arial" w:cs="Arial" w:eastAsia="Arial" w:hAnsi="Arial"/>
                <w:b/>
                <w:bCs/>
                <w:color w:val="FFFFFF"/>
                <w:sz w:val="20"/>
                <w:szCs w:val="20"/>
              </w:rPr>
              <w:t xml:space="preserve">Platform subscriptions</w:t>
            </w:r>
          </w:p>
          <w:p>
            <w:pPr>
              <w:spacing w:after="0" w:before="0"/>
              <w:jc w:val="center"/>
            </w:pPr>
            <w:r>
              <w:rPr>
                <w:rFonts w:ascii="Arial" w:cs="Arial" w:eastAsia="Arial" w:hAnsi="Arial"/>
                <w:color w:val="C7D7F0"/>
                <w:sz w:val="18"/>
                <w:szCs w:val="18"/>
              </w:rPr>
              <w:t xml:space="preserve">primary recurring revenue</w:t>
            </w:r>
          </w:p>
        </w:tc>
        <w:tc>
          <w:tcPr>
            <w:tcW w:type="dxa" w:w="312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20%</w:t>
            </w:r>
          </w:p>
          <w:p>
            <w:pPr>
              <w:spacing w:after="40" w:before="0"/>
              <w:jc w:val="center"/>
            </w:pPr>
            <w:r>
              <w:rPr>
                <w:rFonts w:ascii="Arial" w:cs="Arial" w:eastAsia="Arial" w:hAnsi="Arial"/>
                <w:b/>
                <w:bCs/>
                <w:color w:val="FFFFFF"/>
                <w:sz w:val="20"/>
                <w:szCs w:val="20"/>
              </w:rPr>
              <w:t xml:space="preserve">Sovereign contracts</w:t>
            </w:r>
          </w:p>
          <w:p>
            <w:pPr>
              <w:spacing w:after="0" w:before="0"/>
              <w:jc w:val="center"/>
            </w:pPr>
            <w:r>
              <w:rPr>
                <w:rFonts w:ascii="Arial" w:cs="Arial" w:eastAsia="Arial" w:hAnsi="Arial"/>
                <w:color w:val="C7D7F0"/>
                <w:sz w:val="18"/>
                <w:szCs w:val="18"/>
              </w:rPr>
              <w:t xml:space="preserve">high-value, long-term</w:t>
            </w:r>
          </w:p>
        </w:tc>
        <w:tc>
          <w:tcPr>
            <w:tcW w:type="dxa" w:w="3120"/>
            <w:tcBorders>
              <w:top w:val="none" w:color="FFFFFF" w:sz="0"/>
              <w:left w:val="none" w:color="FFFFFF" w:sz="0"/>
              <w:bottom w:val="none" w:color="FFFFFF" w:sz="0"/>
              <w:right w:val="none" w:color="FFFFFF" w:sz="0"/>
            </w:tcBorders>
            <w:shd w:fill="0A1628" w:val="clear"/>
            <w:tcMar>
              <w:top w:type="dxa" w:w="160"/>
              <w:left w:type="dxa" w:w="200"/>
              <w:bottom w:type="dxa" w:w="160"/>
              <w:right w:type="dxa" w:w="200"/>
            </w:tcMar>
          </w:tcPr>
          <w:p>
            <w:pPr>
              <w:spacing w:after="60" w:before="0"/>
              <w:jc w:val="center"/>
            </w:pPr>
            <w:r>
              <w:rPr>
                <w:rFonts w:ascii="Arial" w:cs="Arial" w:eastAsia="Arial" w:hAnsi="Arial"/>
                <w:b/>
                <w:bCs/>
                <w:color w:val="D97706"/>
                <w:sz w:val="52"/>
                <w:szCs w:val="52"/>
              </w:rPr>
              <w:t xml:space="preserve">10%</w:t>
            </w:r>
          </w:p>
          <w:p>
            <w:pPr>
              <w:spacing w:after="40" w:before="0"/>
              <w:jc w:val="center"/>
            </w:pPr>
            <w:r>
              <w:rPr>
                <w:rFonts w:ascii="Arial" w:cs="Arial" w:eastAsia="Arial" w:hAnsi="Arial"/>
                <w:b/>
                <w:bCs/>
                <w:color w:val="FFFFFF"/>
                <w:sz w:val="20"/>
                <w:szCs w:val="20"/>
              </w:rPr>
              <w:t xml:space="preserve">Marketplace + services</w:t>
            </w:r>
          </w:p>
          <w:p>
            <w:pPr>
              <w:spacing w:after="0" w:before="0"/>
              <w:jc w:val="center"/>
            </w:pPr>
            <w:r>
              <w:rPr>
                <w:rFonts w:ascii="Arial" w:cs="Arial" w:eastAsia="Arial" w:hAnsi="Arial"/>
                <w:color w:val="C7D7F0"/>
                <w:sz w:val="18"/>
                <w:szCs w:val="18"/>
              </w:rPr>
              <w:t xml:space="preserve">growing with ecosystem</w:t>
            </w:r>
          </w:p>
        </w:tc>
      </w:tr>
    </w:tbl>
    <w:p>
      <w:pPr>
        <w:spacing w:after="120" w:before="160"/>
      </w:pPr>
      <w:r>
        <w:t xml:space="preserve"/>
      </w:r>
    </w:p>
    <w:p>
      <w:r>
        <w:br w:type="page"/>
      </w:r>
    </w:p>
    <w:p>
      <w:pPr>
        <w:pStyle w:val="Heading1"/>
        <w:spacing w:after="120" w:before="360"/>
      </w:pPr>
      <w:r>
        <w:rPr>
          <w:rFonts w:ascii="Arial" w:cs="Arial" w:eastAsia="Arial" w:hAnsi="Arial"/>
          <w:b/>
          <w:bCs/>
          <w:color w:val="D97706"/>
          <w:sz w:val="32"/>
          <w:szCs w:val="32"/>
        </w:rPr>
        <w:t xml:space="preserve">13. </w:t>
      </w:r>
      <w:r>
        <w:rPr>
          <w:rFonts w:ascii="Arial" w:cs="Arial" w:eastAsia="Arial" w:hAnsi="Arial"/>
          <w:b/>
          <w:bCs/>
          <w:color w:val="0A1628"/>
          <w:sz w:val="32"/>
          <w:szCs w:val="32"/>
        </w:rPr>
        <w:t xml:space="preserve">Go-To-Market Strategy</w:t>
      </w:r>
    </w:p>
    <w:p>
      <w:pPr>
        <w:pBdr>
          <w:bottom w:val="single" w:color="D97706" w:sz="8"/>
        </w:pBdr>
        <w:spacing w:after="80" w:before="80"/>
      </w:pPr>
      <w:r>
        <w:t xml:space="preserve"/>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Phase 1 — Proof of Concept (Months 1–6)</w:t>
      </w:r>
    </w:p>
    <w:p>
      <w:pPr>
        <w:spacing w:after="80" w:before="60"/>
      </w:pPr>
      <w:r>
        <w:rPr>
          <w:rFonts w:ascii="Arial" w:cs="Arial" w:eastAsia="Arial" w:hAnsi="Arial"/>
          <w:color w:val="2D3748"/>
          <w:sz w:val="22"/>
          <w:szCs w:val="22"/>
        </w:rPr>
        <w:t xml:space="preserve">The USAII Global AI Hackathon 2026 is our first proof point. We will use the platform's live demo, deployable frontend (Vercel), and the full backend (Docker) to establish technical credibility and attract early adopters from the hackathon network.</w:t>
      </w:r>
    </w:p>
    <w:p>
      <w:pPr>
        <w:pStyle w:val="ListParagraph"/>
        <w:numPr>
          <w:ilvl w:val="0"/>
          <w:numId w:val="2"/>
        </w:numPr>
        <w:spacing w:after="40" w:before="40"/>
      </w:pPr>
      <w:r>
        <w:rPr>
          <w:rFonts w:ascii="Arial" w:cs="Arial" w:eastAsia="Arial" w:hAnsi="Arial"/>
          <w:b/>
          <w:bCs/>
          <w:color w:val="0A1628"/>
          <w:sz w:val="22"/>
          <w:szCs w:val="22"/>
        </w:rPr>
        <w:t xml:space="preserve">Objective: </w:t>
      </w:r>
      <w:r>
        <w:rPr>
          <w:rFonts w:ascii="Arial" w:cs="Arial" w:eastAsia="Arial" w:hAnsi="Arial"/>
          <w:color w:val="2D3748"/>
          <w:sz w:val="22"/>
          <w:szCs w:val="22"/>
        </w:rPr>
        <w:t xml:space="preserve">5 design-partner organizations using the platform in production (non-paid).</w:t>
      </w:r>
    </w:p>
    <w:p>
      <w:pPr>
        <w:pStyle w:val="ListParagraph"/>
        <w:numPr>
          <w:ilvl w:val="0"/>
          <w:numId w:val="2"/>
        </w:numPr>
        <w:spacing w:after="40" w:before="40"/>
      </w:pPr>
      <w:r>
        <w:rPr>
          <w:rFonts w:ascii="Arial" w:cs="Arial" w:eastAsia="Arial" w:hAnsi="Arial"/>
          <w:b/>
          <w:bCs/>
          <w:color w:val="0A1628"/>
          <w:sz w:val="22"/>
          <w:szCs w:val="22"/>
        </w:rPr>
        <w:t xml:space="preserve">Channels: </w:t>
      </w:r>
      <w:r>
        <w:rPr>
          <w:rFonts w:ascii="Arial" w:cs="Arial" w:eastAsia="Arial" w:hAnsi="Arial"/>
          <w:color w:val="2D3748"/>
          <w:sz w:val="22"/>
          <w:szCs w:val="22"/>
        </w:rPr>
        <w:t xml:space="preserve">Hackathon network, LinkedIn, direct outreach to MENA startup community.</w:t>
      </w:r>
    </w:p>
    <w:p>
      <w:pPr>
        <w:pStyle w:val="ListParagraph"/>
        <w:numPr>
          <w:ilvl w:val="0"/>
          <w:numId w:val="2"/>
        </w:numPr>
        <w:spacing w:after="40" w:before="40"/>
      </w:pPr>
      <w:r>
        <w:rPr>
          <w:rFonts w:ascii="Arial" w:cs="Arial" w:eastAsia="Arial" w:hAnsi="Arial"/>
          <w:b/>
          <w:bCs/>
          <w:color w:val="0A1628"/>
          <w:sz w:val="22"/>
          <w:szCs w:val="22"/>
        </w:rPr>
        <w:t xml:space="preserve">Success criteria: </w:t>
      </w:r>
      <w:r>
        <w:rPr>
          <w:rFonts w:ascii="Arial" w:cs="Arial" w:eastAsia="Arial" w:hAnsi="Arial"/>
          <w:color w:val="2D3748"/>
          <w:sz w:val="22"/>
          <w:szCs w:val="22"/>
        </w:rPr>
        <w:t xml:space="preserve">3 case studies with quantified time savings, 1 government expression of interest.</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Phase 2 — Product-Market Fit (Months 6–18)</w:t>
      </w:r>
    </w:p>
    <w:p>
      <w:pPr>
        <w:spacing w:after="80" w:before="60"/>
      </w:pPr>
      <w:r>
        <w:rPr>
          <w:rFonts w:ascii="Arial" w:cs="Arial" w:eastAsia="Arial" w:hAnsi="Arial"/>
          <w:color w:val="2D3748"/>
          <w:sz w:val="22"/>
          <w:szCs w:val="22"/>
        </w:rPr>
        <w:t xml:space="preserve">Convert design partners to paid subscriptions. Launch the Agent Builder publicly. Begin government pilot conversations in Algeria, Saudi Arabia, and UAE through institutional channels (university partnerships, government accelerator programs).</w:t>
      </w:r>
    </w:p>
    <w:p>
      <w:pPr>
        <w:pStyle w:val="ListParagraph"/>
        <w:numPr>
          <w:ilvl w:val="0"/>
          <w:numId w:val="2"/>
        </w:numPr>
        <w:spacing w:after="40" w:before="40"/>
      </w:pPr>
      <w:r>
        <w:rPr>
          <w:rFonts w:ascii="Arial" w:cs="Arial" w:eastAsia="Arial" w:hAnsi="Arial"/>
          <w:b/>
          <w:bCs/>
          <w:color w:val="0A1628"/>
          <w:sz w:val="22"/>
          <w:szCs w:val="22"/>
        </w:rPr>
        <w:t xml:space="preserve">Objective: </w:t>
      </w:r>
      <w:r>
        <w:rPr>
          <w:rFonts w:ascii="Arial" w:cs="Arial" w:eastAsia="Arial" w:hAnsi="Arial"/>
          <w:color w:val="2D3748"/>
          <w:sz w:val="22"/>
          <w:szCs w:val="22"/>
        </w:rPr>
        <w:t xml:space="preserve">$50K MRR, 30 paying organizations, first government pilot signed.</w:t>
      </w:r>
    </w:p>
    <w:p>
      <w:pPr>
        <w:pStyle w:val="ListParagraph"/>
        <w:numPr>
          <w:ilvl w:val="0"/>
          <w:numId w:val="2"/>
        </w:numPr>
        <w:spacing w:after="40" w:before="40"/>
      </w:pPr>
      <w:r>
        <w:rPr>
          <w:rFonts w:ascii="Arial" w:cs="Arial" w:eastAsia="Arial" w:hAnsi="Arial"/>
          <w:b/>
          <w:bCs/>
          <w:color w:val="0A1628"/>
          <w:sz w:val="22"/>
          <w:szCs w:val="22"/>
        </w:rPr>
        <w:t xml:space="preserve">Channels: </w:t>
      </w:r>
      <w:r>
        <w:rPr>
          <w:rFonts w:ascii="Arial" w:cs="Arial" w:eastAsia="Arial" w:hAnsi="Arial"/>
          <w:color w:val="2D3748"/>
          <w:sz w:val="22"/>
          <w:szCs w:val="22"/>
        </w:rPr>
        <w:t xml:space="preserve">Inbound (content marketing on AI operations), outbound (direct enterprise sales), government relations.</w:t>
      </w:r>
    </w:p>
    <w:p>
      <w:pPr>
        <w:pStyle w:val="ListParagraph"/>
        <w:numPr>
          <w:ilvl w:val="0"/>
          <w:numId w:val="2"/>
        </w:numPr>
        <w:spacing w:after="40" w:before="40"/>
      </w:pPr>
      <w:r>
        <w:rPr>
          <w:rFonts w:ascii="Arial" w:cs="Arial" w:eastAsia="Arial" w:hAnsi="Arial"/>
          <w:b/>
          <w:bCs/>
          <w:color w:val="0A1628"/>
          <w:sz w:val="22"/>
          <w:szCs w:val="22"/>
        </w:rPr>
        <w:t xml:space="preserve">Hiring: </w:t>
      </w:r>
      <w:r>
        <w:rPr>
          <w:rFonts w:ascii="Arial" w:cs="Arial" w:eastAsia="Arial" w:hAnsi="Arial"/>
          <w:color w:val="2D3748"/>
          <w:sz w:val="22"/>
          <w:szCs w:val="22"/>
        </w:rPr>
        <w:t xml:space="preserve">1 enterprise sales, 1 customer success, 1 backend engineer.</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Phase 3 — Scale (Months 18–36)</w:t>
      </w:r>
    </w:p>
    <w:p>
      <w:pPr>
        <w:spacing w:after="80" w:before="60"/>
      </w:pPr>
      <w:r>
        <w:rPr>
          <w:rFonts w:ascii="Arial" w:cs="Arial" w:eastAsia="Arial" w:hAnsi="Arial"/>
          <w:color w:val="2D3748"/>
          <w:sz w:val="22"/>
          <w:szCs w:val="22"/>
        </w:rPr>
        <w:t xml:space="preserve">Expand to full MENA coverage. Launch marketplace. Pursue Series A funding ($5–8M) to accelerate enterprise sales in Gulf markets and build the data intelligence layer.</w:t>
      </w:r>
    </w:p>
    <w:p>
      <w:pPr>
        <w:pStyle w:val="ListParagraph"/>
        <w:numPr>
          <w:ilvl w:val="0"/>
          <w:numId w:val="2"/>
        </w:numPr>
        <w:spacing w:after="40" w:before="40"/>
      </w:pPr>
      <w:r>
        <w:rPr>
          <w:rFonts w:ascii="Arial" w:cs="Arial" w:eastAsia="Arial" w:hAnsi="Arial"/>
          <w:b/>
          <w:bCs/>
          <w:color w:val="0A1628"/>
          <w:sz w:val="22"/>
          <w:szCs w:val="22"/>
        </w:rPr>
        <w:t xml:space="preserve">Objective: </w:t>
      </w:r>
      <w:r>
        <w:rPr>
          <w:rFonts w:ascii="Arial" w:cs="Arial" w:eastAsia="Arial" w:hAnsi="Arial"/>
          <w:color w:val="2D3748"/>
          <w:sz w:val="22"/>
          <w:szCs w:val="22"/>
        </w:rPr>
        <w:t xml:space="preserve">$400K MRR, 3 government sovereign contracts, agent marketplace live with 10+ third-party agents.</w:t>
      </w:r>
    </w:p>
    <w:p>
      <w:pPr>
        <w:pStyle w:val="ListParagraph"/>
        <w:numPr>
          <w:ilvl w:val="0"/>
          <w:numId w:val="2"/>
        </w:numPr>
        <w:spacing w:after="40" w:before="40"/>
      </w:pPr>
      <w:r>
        <w:rPr>
          <w:rFonts w:ascii="Arial" w:cs="Arial" w:eastAsia="Arial" w:hAnsi="Arial"/>
          <w:b/>
          <w:bCs/>
          <w:color w:val="0A1628"/>
          <w:sz w:val="22"/>
          <w:szCs w:val="22"/>
        </w:rPr>
        <w:t xml:space="preserve">Channels: </w:t>
      </w:r>
      <w:r>
        <w:rPr>
          <w:rFonts w:ascii="Arial" w:cs="Arial" w:eastAsia="Arial" w:hAnsi="Arial"/>
          <w:color w:val="2D3748"/>
          <w:sz w:val="22"/>
          <w:szCs w:val="22"/>
        </w:rPr>
        <w:t xml:space="preserve">Enterprise sales team, partner channel (systems integrators in KSA/UAE), marketplace organic growth.</w:t>
      </w:r>
    </w:p>
    <w:p>
      <w:pPr>
        <w:spacing w:after="120" w:before="120"/>
      </w:pPr>
      <w:r>
        <w:t xml:space="preserve"/>
      </w:r>
    </w:p>
    <w:p>
      <w:pPr>
        <w:pStyle w:val="Heading1"/>
        <w:spacing w:after="120" w:before="360"/>
      </w:pPr>
      <w:r>
        <w:rPr>
          <w:rFonts w:ascii="Arial" w:cs="Arial" w:eastAsia="Arial" w:hAnsi="Arial"/>
          <w:b/>
          <w:bCs/>
          <w:color w:val="D97706"/>
          <w:sz w:val="32"/>
          <w:szCs w:val="32"/>
        </w:rPr>
        <w:t xml:space="preserve">14. </w:t>
      </w:r>
      <w:r>
        <w:rPr>
          <w:rFonts w:ascii="Arial" w:cs="Arial" w:eastAsia="Arial" w:hAnsi="Arial"/>
          <w:b/>
          <w:bCs/>
          <w:color w:val="0A1628"/>
          <w:sz w:val="32"/>
          <w:szCs w:val="32"/>
        </w:rPr>
        <w:t xml:space="preserve">Future Roadmap</w:t>
      </w:r>
    </w:p>
    <w:p>
      <w:pPr>
        <w:pBdr>
          <w:bottom w:val="single" w:color="D97706" w:sz="8"/>
        </w:pBdr>
        <w:spacing w:after="80" w:before="80"/>
      </w:pPr>
      <w:r>
        <w:t xml:space="preserve"/>
      </w:r>
    </w:p>
    <w:p>
      <w:pPr>
        <w:spacing w:after="12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Timeline</w:t>
            </w:r>
          </w:p>
        </w:tc>
        <w:tc>
          <w:tcPr>
            <w:tcW w:type="dxa" w:w="3120"/>
            <w:tcBorders>
              <w:top w:val="none" w:color="FFFFFF" w:sz="0"/>
              <w:left w:val="none" w:color="FFFFFF" w:sz="0"/>
              <w:bottom w:val="none" w:color="FFFFFF" w:sz="0"/>
              <w:right w:val="none" w:color="FFFFFF" w:sz="0"/>
            </w:tcBorders>
            <w:shd w:fill="0A1628" w:val="clear"/>
            <w:tcMar>
              <w:top w:type="dxa" w:w="100"/>
              <w:left w:type="dxa" w:w="160"/>
              <w:bottom w:type="dxa" w:w="100"/>
              <w:right w:type="dxa" w:w="160"/>
            </w:tcMar>
          </w:tcPr>
          <w:p>
            <w:r>
              <w:rPr>
                <w:rFonts w:ascii="Arial" w:cs="Arial" w:eastAsia="Arial" w:hAnsi="Arial"/>
                <w:b/>
                <w:bCs/>
                <w:color w:val="FFFFFF"/>
                <w:sz w:val="21"/>
                <w:szCs w:val="21"/>
              </w:rPr>
              <w:t xml:space="preserve">Milestone</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Q3–Q4 2026</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Connect frontend to FastAPI backend; per-org Google Workspace account management; spreadsheet/doc configuration UI; role-based access within organizations.</w:t>
            </w:r>
          </w:p>
        </w:tc>
      </w:tr>
      <w:tr>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Q1 2027</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Agent marketplace launch; webhook-triggered workflows (new email auto-starts pipeline); mobile approval interface; Slack/Teams notification integration.</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Q2 2027</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Arabic language optimization across all agents; on-premise deployment package for government; audit log export and compliance reporting dashboard.</w:t>
            </w:r>
          </w:p>
        </w:tc>
      </w:tr>
      <w:tr>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Q3 2027</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Multi-model support (Claude, Gemini, open-source models for on-premise); data intelligence layer (benchmarks, trend analytics); Series A fundraise.</w:t>
            </w:r>
          </w:p>
        </w:tc>
      </w:tr>
      <w:tr>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Q4 2027</w:t>
            </w:r>
          </w:p>
        </w:tc>
        <w:tc>
          <w:tcPr>
            <w:tcW w:type="dxa" w:w="3120"/>
            <w:tcBorders>
              <w:top w:val="single" w:color="C7D7F0" w:sz="1"/>
              <w:left w:val="single" w:color="C7D7F0" w:sz="1"/>
              <w:bottom w:val="single" w:color="C7D7F0" w:sz="1"/>
              <w:right w:val="single" w:color="C7D7F0" w:sz="1"/>
            </w:tcBorders>
            <w:shd w:fill="F1F5F9" w:val="clear"/>
            <w:tcMar>
              <w:top w:type="dxa" w:w="80"/>
              <w:left w:type="dxa" w:w="160"/>
              <w:bottom w:type="dxa" w:w="80"/>
              <w:right w:type="dxa" w:w="160"/>
            </w:tcMar>
          </w:tcPr>
          <w:p>
            <w:r>
              <w:rPr>
                <w:rFonts w:ascii="Arial" w:cs="Arial" w:eastAsia="Arial" w:hAnsi="Arial"/>
                <w:color w:val="2D3748"/>
                <w:sz w:val="20"/>
                <w:szCs w:val="20"/>
              </w:rPr>
              <w:t xml:space="preserve">Sovereign Digital State package: full government workforce suite with national cloud support, Arabic-first UX, and dedicated support SLA.</w:t>
            </w:r>
          </w:p>
        </w:tc>
      </w:tr>
      <w:tr>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2028+</w:t>
            </w:r>
          </w:p>
        </w:tc>
        <w:tc>
          <w:tcPr>
            <w:tcW w:type="dxa" w:w="3120"/>
            <w:tcBorders>
              <w:top w:val="single" w:color="C7D7F0" w:sz="1"/>
              <w:left w:val="single" w:color="C7D7F0" w:sz="1"/>
              <w:bottom w:val="single" w:color="C7D7F0" w:sz="1"/>
              <w:right w:val="single" w:color="C7D7F0" w:sz="1"/>
            </w:tcBorders>
            <w:shd w:fill="FFFFFF" w:val="clear"/>
            <w:tcMar>
              <w:top w:type="dxa" w:w="80"/>
              <w:left w:type="dxa" w:w="160"/>
              <w:bottom w:type="dxa" w:w="80"/>
              <w:right w:type="dxa" w:w="160"/>
            </w:tcMar>
          </w:tcPr>
          <w:p>
            <w:r>
              <w:rPr>
                <w:rFonts w:ascii="Arial" w:cs="Arial" w:eastAsia="Arial" w:hAnsi="Arial"/>
                <w:color w:val="2D3748"/>
                <w:sz w:val="20"/>
                <w:szCs w:val="20"/>
              </w:rPr>
              <w:t xml:space="preserve">Agent-to-agent communication protocol; cross-organization workflow federation; Sovereign AI Workforce as national digital infrastructure in 3+ countries.</w:t>
            </w:r>
          </w:p>
        </w:tc>
      </w:tr>
    </w:tbl>
    <w:p>
      <w:pPr>
        <w:spacing w:after="120" w:before="160"/>
      </w:pPr>
      <w:r>
        <w:t xml:space="preserve"/>
      </w:r>
    </w:p>
    <w:p>
      <w:r>
        <w:br w:type="page"/>
      </w:r>
    </w:p>
    <w:p>
      <w:pPr>
        <w:pStyle w:val="Heading1"/>
        <w:spacing w:after="120" w:before="360"/>
      </w:pPr>
      <w:r>
        <w:rPr>
          <w:rFonts w:ascii="Arial" w:cs="Arial" w:eastAsia="Arial" w:hAnsi="Arial"/>
          <w:b/>
          <w:bCs/>
          <w:color w:val="D97706"/>
          <w:sz w:val="32"/>
          <w:szCs w:val="32"/>
        </w:rPr>
        <w:t xml:space="preserve">15. </w:t>
      </w:r>
      <w:r>
        <w:rPr>
          <w:rFonts w:ascii="Arial" w:cs="Arial" w:eastAsia="Arial" w:hAnsi="Arial"/>
          <w:b/>
          <w:bCs/>
          <w:color w:val="0A1628"/>
          <w:sz w:val="32"/>
          <w:szCs w:val="32"/>
        </w:rPr>
        <w:t xml:space="preserve">Long-Term Vision</w:t>
      </w:r>
    </w:p>
    <w:p>
      <w:pPr>
        <w:pBdr>
          <w:bottom w:val="single" w:color="D97706" w:sz="8"/>
        </w:pBdr>
        <w:spacing w:after="80" w:before="80"/>
      </w:pPr>
      <w:r>
        <w:t xml:space="preserve"/>
      </w:r>
    </w:p>
    <w:p>
      <w:pPr>
        <w:spacing w:after="120" w:before="80"/>
      </w:pPr>
      <w:r>
        <w:t xml:space="preserve"/>
      </w:r>
    </w:p>
    <w:p>
      <w:pPr>
        <w:pStyle w:val="Heading2"/>
        <w:spacing w:after="80" w:before="200"/>
      </w:pPr>
      <w:r>
        <w:rPr>
          <w:rFonts w:ascii="Arial" w:cs="Arial" w:eastAsia="Arial" w:hAnsi="Arial"/>
          <w:b/>
          <w:bCs/>
          <w:color w:val="1E3A5F"/>
          <w:sz w:val="26"/>
          <w:szCs w:val="26"/>
        </w:rPr>
        <w:t xml:space="preserve">The Sovereign Digital State</w:t>
      </w:r>
    </w:p>
    <w:p>
      <w:pPr>
        <w:spacing w:after="80" w:before="60"/>
      </w:pPr>
      <w:r>
        <w:rPr>
          <w:rFonts w:ascii="Arial" w:cs="Arial" w:eastAsia="Arial" w:hAnsi="Arial"/>
          <w:color w:val="2D3748"/>
          <w:sz w:val="22"/>
          <w:szCs w:val="22"/>
        </w:rPr>
        <w:t xml:space="preserve">The 10-year vision for Sovereign AI Workforce extends beyond enterprise software into what we call national digital infrastructure. Just as a country builds roads and power grids, it will build AI operational layers — a networked fabric of specialized agents that handle the administrative functions of ministries, municipalities, universities, and public services.</w:t>
      </w:r>
    </w:p>
    <w:p>
      <w:pPr>
        <w:spacing w:after="120" w:before="80"/>
      </w:pPr>
      <w:r>
        <w:t xml:space="preserve"/>
      </w:r>
    </w:p>
    <w:p>
      <w:pPr>
        <w:spacing w:after="80" w:before="60"/>
      </w:pPr>
      <w:r>
        <w:rPr>
          <w:rFonts w:ascii="Arial" w:cs="Arial" w:eastAsia="Arial" w:hAnsi="Arial"/>
          <w:color w:val="2D3748"/>
          <w:sz w:val="22"/>
          <w:szCs w:val="22"/>
        </w:rPr>
        <w:t xml:space="preserve">The platform's design philosophy — data sovereignty, on-premise deployment, Arabic-language optimization, no dependency on foreign AI infrastructure — is not a constraint. It is the product's deepest competitive moat for the world's fastest-growing AI markets: the Gulf, North Africa, Southeast Asia, and other regions where governments will not and should not route sovereign operational data through US-headquartered AI products.</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Why This Comes From Algeria</w:t>
      </w:r>
    </w:p>
    <w:p>
      <w:pPr>
        <w:pBdr>
          <w:left w:val="single" w:color="D97706" w:sz="20"/>
        </w:pBdr>
        <w:spacing w:after="120" w:before="120"/>
        <w:ind w:left="720"/>
      </w:pPr>
      <w:r>
        <w:rPr>
          <w:rFonts w:ascii="Arial" w:cs="Arial" w:eastAsia="Arial" w:hAnsi="Arial"/>
          <w:i/>
          <w:iCs/>
          <w:color w:val="1E3A5F"/>
          <w:sz w:val="24"/>
          <w:szCs w:val="24"/>
        </w:rPr>
        <w:t xml:space="preserve">The countries that will lead the next wave of AI adoption are not the ones that wait for Silicon Valley to build products for them. They are the ones that build their own — designed for their context, their languages, their governance requirements, and their citizens. This is ours.</w:t>
      </w:r>
    </w:p>
    <w:p>
      <w:pPr>
        <w:spacing w:after="120" w:before="80"/>
      </w:pPr>
      <w:r>
        <w:t xml:space="preserve"/>
      </w:r>
    </w:p>
    <w:p>
      <w:pPr>
        <w:spacing w:after="80" w:before="60"/>
      </w:pPr>
      <w:r>
        <w:rPr>
          <w:rFonts w:ascii="Arial" w:cs="Arial" w:eastAsia="Arial" w:hAnsi="Arial"/>
          <w:color w:val="2D3748"/>
          <w:sz w:val="22"/>
          <w:szCs w:val="22"/>
        </w:rPr>
        <w:t xml:space="preserve">Algeria produces world-class engineers — at USTHB and across its universities — who understand both the technical requirements of building at this level and the contextual requirements of deploying AI in MENA institutional environments. Sovereign AI Workforce is built from this conviction: that the most important AI systems of the next decade will not be built in San Francisco. They will be built here.</w:t>
      </w:r>
    </w:p>
    <w:p>
      <w:pPr>
        <w:spacing w:after="120" w:before="80"/>
      </w:pPr>
      <w:r>
        <w:t xml:space="preserve"/>
      </w:r>
    </w:p>
    <w:p>
      <w:pPr>
        <w:pStyle w:val="Heading2"/>
        <w:spacing w:after="80" w:before="200"/>
      </w:pPr>
      <w:r>
        <w:rPr>
          <w:rFonts w:ascii="Arial" w:cs="Arial" w:eastAsia="Arial" w:hAnsi="Arial"/>
          <w:b/>
          <w:bCs/>
          <w:color w:val="1E3A5F"/>
          <w:sz w:val="26"/>
          <w:szCs w:val="26"/>
        </w:rPr>
        <w:t xml:space="preserve">Success Defined</w:t>
      </w:r>
    </w:p>
    <w:p>
      <w:pPr>
        <w:spacing w:after="80" w:before="60"/>
      </w:pPr>
      <w:r>
        <w:rPr>
          <w:rFonts w:ascii="Arial" w:cs="Arial" w:eastAsia="Arial" w:hAnsi="Arial"/>
          <w:color w:val="2D3748"/>
          <w:sz w:val="22"/>
          <w:szCs w:val="22"/>
        </w:rPr>
        <w:t xml:space="preserve">In five years, success means: a Sovereign AI Workforce instance is running inside at least one national government as core operational infrastructure. In ten years, it means that the platform has become category-defining — that 'autonomous AI workforce' is a recognized procurement category in enterprise and government technology budgets worldwide, and that this category was named, built, and launched from Algeria.</w:t>
      </w:r>
    </w:p>
    <w:p>
      <w:pPr>
        <w:spacing w:after="120" w:before="120"/>
      </w:pPr>
      <w:r>
        <w:t xml:space="preserve"/>
      </w:r>
    </w:p>
    <w:p>
      <w:pPr>
        <w:pBdr>
          <w:bottom w:val="single" w:color="0A1628" w:sz="8"/>
        </w:pBdr>
        <w:spacing w:after="80" w:before="80"/>
      </w:pPr>
      <w:r>
        <w:t xml:space="preserve"/>
      </w:r>
    </w:p>
    <w:p>
      <w:pPr>
        <w:spacing w:after="120" w:before="80"/>
      </w:pPr>
      <w:r>
        <w:t xml:space="preserve"/>
      </w:r>
    </w:p>
    <w:p>
      <w:pPr>
        <w:spacing w:after="60" w:before="0"/>
        <w:jc w:val="center"/>
      </w:pPr>
      <w:r>
        <w:rPr>
          <w:rFonts w:ascii="Arial" w:cs="Arial" w:eastAsia="Arial" w:hAnsi="Arial"/>
          <w:b/>
          <w:bCs/>
          <w:color w:val="0A1628"/>
          <w:sz w:val="28"/>
          <w:szCs w:val="28"/>
        </w:rPr>
        <w:t xml:space="preserve">Sovereign AI Workforce</w:t>
      </w:r>
    </w:p>
    <w:p>
      <w:pPr>
        <w:spacing w:after="60" w:before="0"/>
        <w:jc w:val="center"/>
      </w:pPr>
      <w:r>
        <w:rPr>
          <w:rFonts w:ascii="Arial" w:cs="Arial" w:eastAsia="Arial" w:hAnsi="Arial"/>
          <w:color w:val="64748B"/>
          <w:sz w:val="20"/>
          <w:szCs w:val="20"/>
        </w:rPr>
        <w:t xml:space="preserve">Boukhalfa Fateh Abderrahim  ·  Sovereign AI Engineer  ·  USTHB  ·  Algeria  🇩🇿</w:t>
      </w:r>
    </w:p>
    <w:p>
      <w:pPr>
        <w:spacing w:after="60" w:before="0"/>
        <w:jc w:val="center"/>
      </w:pPr>
      <w:r>
        <w:rPr>
          <w:rFonts w:ascii="Arial" w:cs="Arial" w:eastAsia="Arial" w:hAnsi="Arial"/>
          <w:b/>
          <w:bCs/>
          <w:color w:val="D97706"/>
          <w:sz w:val="22"/>
          <w:szCs w:val="22"/>
        </w:rPr>
        <w:t xml:space="preserve">USAII Global AI Hackathon 2026</w:t>
      </w:r>
    </w:p>
    <w:p>
      <w:pPr>
        <w:spacing w:after="0" w:before="60"/>
        <w:jc w:val="center"/>
      </w:pPr>
      <w:r>
        <w:rPr>
          <w:rFonts w:ascii="Arial" w:cs="Arial" w:eastAsia="Arial" w:hAnsi="Arial"/>
          <w:i/>
          <w:iCs/>
          <w:color w:val="1E3A5F"/>
          <w:sz w:val="20"/>
          <w:szCs w:val="20"/>
        </w:rPr>
        <w:t xml:space="preserve">sovereign-ai-workforce.vercel.app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7F0" w:sz="6"/>
      </w:pBdr>
      <w:tabs>
        <w:tab w:val="right" w:pos="9026"/>
      </w:tabs>
      <w:spacing w:after="0" w:before="0"/>
    </w:pPr>
    <w:r>
      <w:rPr>
        <w:rFonts w:ascii="Arial" w:cs="Arial" w:eastAsia="Arial" w:hAnsi="Arial"/>
        <w:color w:val="64748B"/>
        <w:sz w:val="18"/>
        <w:szCs w:val="18"/>
      </w:rPr>
      <w:t xml:space="preserve">Boukhalfa Fateh Abderrahim  ·  USTHB  ·  USAII Hackathon 2026  🇩🇿</w:t>
    </w:r>
    <w:r>
      <w:rPr>
        <w:rFonts w:ascii="Arial" w:cs="Arial" w:eastAsia="Arial" w:hAnsi="Arial"/>
      </w:rPr>
      <w:t xml:space="preserve">	</w:t>
    </w:r>
    <w:r>
      <w:rPr>
        <w:rFonts w:ascii="Arial" w:cs="Arial" w:eastAsia="Arial" w:hAnsi="Arial"/>
        <w:color w:val="64748B"/>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7F0" w:sz="6"/>
      </w:pBdr>
      <w:tabs>
        <w:tab w:val="right" w:pos="9026"/>
      </w:tabs>
      <w:spacing w:after="0" w:before="0"/>
    </w:pPr>
    <w:r>
      <w:rPr>
        <w:rFonts w:ascii="Arial" w:cs="Arial" w:eastAsia="Arial" w:hAnsi="Arial"/>
        <w:b/>
        <w:bCs/>
        <w:color w:val="0A1628"/>
        <w:sz w:val="18"/>
        <w:szCs w:val="18"/>
      </w:rPr>
      <w:t xml:space="preserve">SOVEREIGN AI WORKFORCE</w:t>
    </w:r>
    <w:r>
      <w:rPr>
        <w:rFonts w:ascii="Arial" w:cs="Arial" w:eastAsia="Arial" w:hAnsi="Arial"/>
      </w:rPr>
      <w:t xml:space="preserve">	</w:t>
    </w:r>
    <w:r>
      <w:rPr>
        <w:rFonts w:ascii="Arial" w:cs="Arial" w:eastAsia="Arial" w:hAnsi="Arial"/>
        <w:color w:val="64748B"/>
        <w:sz w:val="18"/>
        <w:szCs w:val="18"/>
      </w:rPr>
      <w:t xml:space="preserve">Product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2026-06-14T01:50:00.220Z</dcterms:created>
  <dcterms:modified xsi:type="dcterms:W3CDTF">2026-06-14T01:50:00.220Z</dcterms:modified>
</cp:coreProperties>
</file>

<file path=docProps/custom.xml><?xml version="1.0" encoding="utf-8"?>
<Properties xmlns="http://schemas.openxmlformats.org/officeDocument/2006/custom-properties" xmlns:vt="http://schemas.openxmlformats.org/officeDocument/2006/docPropsVTypes"/>
</file>