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B76E00"/>
          <w:sz w:val="56"/>
        </w:rPr>
        <w:t>GASTRO-ENTÉROLOGIE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VI</w:t>
      </w:r>
    </w:p>
    <w:p>
      <w:pPr>
        <w:jc w:val="center"/>
      </w:pPr>
      <w:r>
        <w:rPr>
          <w:rFonts w:ascii="Calibri" w:hAnsi="Calibri"/>
          <w:b w:val="0"/>
          <w:i/>
          <w:color w:val="606060"/>
          <w:sz w:val="28"/>
        </w:rPr>
        <w:t>Gastro-entérologie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50 DCI traitées  •  500+ spécialités commerciales  •  6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OMS • CRAT • ACG • ECCO • EASL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VI : Gastro-entérologie</w:t>
      </w:r>
    </w:p>
    <w:p>
      <w:pPr>
        <w:pStyle w:val="Heading2"/>
      </w:pPr>
      <w:r>
        <w:t>Avant-propos et méthodologie du Fascicule VI</w:t>
      </w:r>
    </w:p>
    <w:p>
      <w:pPr>
        <w:pStyle w:val="Heading3"/>
      </w:pPr>
      <w:r>
        <w:t>1. Objet du fascicule</w:t>
      </w:r>
    </w:p>
    <w:p>
      <w:r>
        <w:t>Le présent fascicule constitue le sixième volet du traité technique de pharmacologie clinique destiné aux étudiants en pharmacie d'officine et aux praticiens exerçant sur le territoire algérien. Il poursuit la démarche engagée dans les Fascicules I (Antibiotiques), II (Antifongiques &amp; Antiparasitaires), III (Antalgiques &amp; Anti-inflammatoires), IV (Cardiologie) et V (Diabétologie/Endocrinologie) en traitant de manière exhaustive les classes thérapeutiques gastro-entérologiques enregistrées auprès du Ministère de la Santé algérien.</w:t>
      </w:r>
    </w:p>
    <w:p>
      <w:r>
        <w:t xml:space="preserve">La base réglementaire de référence utilisée est, comme pour les fascicules précédents, le fichier officiel </w:t>
      </w:r>
      <w:r>
        <w:rPr>
          <w:b/>
        </w:rPr>
        <w:t>« COMPLETE LISTE.xlsx »</w:t>
      </w:r>
      <w:r>
        <w:t xml:space="preserve"> compilant la nomenclature des médicaments à l'avril 2026 (spécialités actives, non renouvelables et retirées du marché).</w:t>
      </w:r>
    </w:p>
    <w:p>
      <w:pPr>
        <w:pStyle w:val="Heading3"/>
      </w:pPr>
      <w:r>
        <w:t>2. Contexte épidémiologique algérien</w:t>
      </w:r>
    </w:p>
    <w:p>
      <w:pPr>
        <w:pStyle w:val="Heading4"/>
      </w:pPr>
      <w:r>
        <w:t>2.1 Pathologies digestives en Algérie</w:t>
      </w:r>
    </w:p>
    <w:p>
      <w:r>
        <w:t>Les pathologies gastro-entérologiques représentent un motif très fréquent de consultation en pharmacie d'officine et en médecine générale en Algérie :</w:t>
      </w:r>
    </w:p>
    <w:p>
      <w:pPr>
        <w:pStyle w:val="ListBullet"/>
      </w:pPr>
      <w:r/>
      <w:r>
        <w:rPr>
          <w:b/>
        </w:rPr>
        <w:t>Reflux gastro-œsophagien (RGO)</w:t>
      </w:r>
      <w:r>
        <w:t xml:space="preserve"> : prévalence 10-20 % de la population adulte, avec progression liée à l'obésité, au tabagisme et au mode de vie urbain. Le pyrosis est probablement le symptôme digestif le plus fréquemment rapporté au comptoir.</w:t>
      </w:r>
    </w:p>
    <w:p>
      <w:pPr>
        <w:pStyle w:val="ListBullet"/>
      </w:pPr>
      <w:r/>
      <w:r>
        <w:rPr>
          <w:b/>
        </w:rPr>
        <w:t>Ulcère gastro-duodénal</w:t>
      </w:r>
      <w:r>
        <w:t xml:space="preserve"> : prévalence en baisse grâce à l'éradication de *Helicobacter pylori* (prévalence 60-80 % de la population algérienne adulte), mais complications hémorragiques encore fréquentes.</w:t>
      </w:r>
    </w:p>
    <w:p>
      <w:pPr>
        <w:pStyle w:val="ListBullet"/>
      </w:pPr>
      <w:r>
        <w:t>**Infections à *Helicobacter pylori*** : prévalence très élevée en Algérie (&gt; 70 % des adultes), justifiant une stratégie d'éradication systématique en cas d'ulcère ou de dyspepsie.</w:t>
      </w:r>
    </w:p>
    <w:p>
      <w:pPr>
        <w:pStyle w:val="ListBullet"/>
      </w:pPr>
      <w:r/>
      <w:r>
        <w:rPr>
          <w:b/>
        </w:rPr>
        <w:t>Constipation</w:t>
      </w:r>
      <w:r>
        <w:t xml:space="preserve"> : prévalence 15-20 %, particulièrement chez la femme, le sujet âgé et la grossesse. Recours massif aux laxatifs en automédication.</w:t>
      </w:r>
    </w:p>
    <w:p>
      <w:pPr>
        <w:pStyle w:val="ListBullet"/>
      </w:pPr>
      <w:r/>
      <w:r>
        <w:rPr>
          <w:b/>
        </w:rPr>
        <w:t>Diarrhées aiguës</w:t>
      </w:r>
      <w:r>
        <w:t xml:space="preserve"> : particulièrement fréquentes chez l'enfant (morbidité et mortalité infantile), avec étiologies infectieuses prédominantes (virales, bactériennes, parasitaires).</w:t>
      </w:r>
    </w:p>
    <w:p>
      <w:pPr>
        <w:pStyle w:val="ListBullet"/>
      </w:pPr>
      <w:r/>
      <w:r>
        <w:rPr>
          <w:b/>
        </w:rPr>
        <w:t>Maladies inflammatoires chroniques de l'intestin (MICI)</w:t>
      </w:r>
      <w:r>
        <w:t xml:space="preserve"> : maladie de Crohn et rectocolite hémorragique en progression, justifiant l'accès aux biothérapies modernes.</w:t>
      </w:r>
    </w:p>
    <w:p>
      <w:pPr>
        <w:pStyle w:val="ListBullet"/>
      </w:pPr>
      <w:r/>
      <w:r>
        <w:rPr>
          <w:b/>
        </w:rPr>
        <w:t>Hémorroïdes</w:t>
      </w:r>
      <w:r>
        <w:t xml:space="preserve"> : 5-10 % de la population adulte, motif fréquent de conseil pharmaceutique.</w:t>
      </w:r>
    </w:p>
    <w:p>
      <w:pPr>
        <w:pStyle w:val="ListBullet"/>
      </w:pPr>
      <w:r/>
      <w:r>
        <w:rPr>
          <w:b/>
        </w:rPr>
        <w:t>Insuffisance veineuse</w:t>
      </w:r>
      <w:r>
        <w:t xml:space="preserve"> : 20-30 % des femmes adultes, particulièrement liée à la grossesse et à la station debout prolongée.</w:t>
      </w:r>
    </w:p>
    <w:p>
      <w:pPr>
        <w:pStyle w:val="ListBullet"/>
      </w:pPr>
      <w:r/>
      <w:r>
        <w:rPr>
          <w:b/>
        </w:rPr>
        <w:t>Pathologies hépatiques</w:t>
      </w:r>
      <w:r>
        <w:t xml:space="preserve"> : hépatites virales (B, C) en diminution, stéatose hépatique (NAFLD/NASH) en progression épidémique avec l'obésité et le diabète, cirrhoses, lithiases biliaires.</w:t>
      </w:r>
    </w:p>
    <w:p>
      <w:pPr>
        <w:pStyle w:val="ListBullet"/>
      </w:pPr>
      <w:r/>
      <w:r>
        <w:rPr>
          <w:b/>
        </w:rPr>
        <w:t>Insuffisance pancréatique exocrine</w:t>
      </w:r>
      <w:r>
        <w:t xml:space="preserve"> : dominée par la mucoviscidose chez l'enfant et la pancréatite chronique alcoolique chez l'adulte.</w:t>
      </w:r>
    </w:p>
    <w:p>
      <w:pPr>
        <w:pStyle w:val="Heading4"/>
      </w:pPr>
      <w:r>
        <w:t>2.2 Spécificités du marché algérien</w:t>
      </w:r>
    </w:p>
    <w:p>
      <w:pPr>
        <w:pStyle w:val="ListBullet"/>
      </w:pPr>
      <w:r/>
      <w:r>
        <w:rPr>
          <w:b/>
        </w:rPr>
        <w:t>Large disponibilité des IPP</w:t>
      </w:r>
      <w:r>
        <w:t xml:space="preserve"> : oméprazole (38+ marques), ésoméprazole (10+), lansoprazole, pantoprazole disponibles.</w:t>
      </w:r>
    </w:p>
    <w:p>
      <w:pPr>
        <w:pStyle w:val="ListBullet"/>
      </w:pPr>
      <w:r/>
      <w:r>
        <w:rPr>
          <w:b/>
        </w:rPr>
        <w:t>Retrait massif de la ranitidine (2019-2020)</w:t>
      </w:r>
      <w:r>
        <w:t xml:space="preserve"> : toutes les spécialités à base de ranitidine retirées pour contamination par NDMA (nitrosamine cancérogène). Famotidine reste disponible.</w:t>
      </w:r>
    </w:p>
    <w:p>
      <w:pPr>
        <w:pStyle w:val="ListBullet"/>
      </w:pPr>
      <w:r/>
      <w:r>
        <w:rPr>
          <w:b/>
        </w:rPr>
        <w:t>Oméprazole leader</w:t>
      </w:r>
      <w:r>
        <w:t xml:space="preserve"> du marché algérien des anti-sécréteurs avec plus de 38 marques actives.</w:t>
      </w:r>
    </w:p>
    <w:p>
      <w:pPr>
        <w:pStyle w:val="ListBullet"/>
      </w:pPr>
      <w:r/>
      <w:r>
        <w:rPr>
          <w:b/>
        </w:rPr>
        <w:t>Antiacides en automédication massive</w:t>
      </w:r>
      <w:r>
        <w:t xml:space="preserve"> : Maalox, Gaviscon, Rennie très prescrits/conseillés.</w:t>
      </w:r>
    </w:p>
    <w:p>
      <w:pPr>
        <w:pStyle w:val="ListBullet"/>
      </w:pPr>
      <w:r/>
      <w:r>
        <w:rPr>
          <w:b/>
        </w:rPr>
        <w:t>Laxatifs variés</w:t>
      </w:r>
      <w:r>
        <w:t xml:space="preserve"> : lactulose, macrogol, bisacodyl, picosulfate, sennosides, huile de paraffine, psyllium disponibles.</w:t>
      </w:r>
    </w:p>
    <w:p>
      <w:pPr>
        <w:pStyle w:val="ListBullet"/>
      </w:pPr>
      <w:r/>
      <w:r>
        <w:rPr>
          <w:b/>
        </w:rPr>
        <w:t>Probiotiques</w:t>
      </w:r>
      <w:r>
        <w:t xml:space="preserve"> : Saccharomyces boulardii disponible.</w:t>
      </w:r>
    </w:p>
    <w:p>
      <w:pPr>
        <w:pStyle w:val="ListBullet"/>
      </w:pPr>
      <w:r/>
      <w:r>
        <w:rPr>
          <w:b/>
        </w:rPr>
        <w:t>Biothérapies MICI modernes</w:t>
      </w:r>
      <w:r>
        <w:t xml:space="preserve"> : infliximab, adalimumab, certolizumab, golimumab, vedolizumab, ustekinumab, tofacitinib disponibles (accès hospitalier).</w:t>
      </w:r>
    </w:p>
    <w:p>
      <w:pPr>
        <w:pStyle w:val="ListBullet"/>
      </w:pPr>
      <w:r/>
      <w:r>
        <w:rPr>
          <w:b/>
        </w:rPr>
        <w:t>Acide ursodésoxycholique</w:t>
      </w:r>
      <w:r>
        <w:t xml:space="preserve"> disponible pour litholyse et cholestase gravidique.</w:t>
      </w:r>
    </w:p>
    <w:p>
      <w:pPr>
        <w:pStyle w:val="ListBullet"/>
      </w:pPr>
      <w:r/>
      <w:r>
        <w:rPr>
          <w:b/>
        </w:rPr>
        <w:t>Absences notables</w:t>
      </w:r>
      <w:r>
        <w:t xml:space="preserve"> : rabéprazole (parfois), prucalopride, dropéridol pur, certains nouveaux inhibiteurs JAK (upadacitinib partiellement), certains laxatifs (lubiprostone, linaclotide).</w:t>
      </w:r>
    </w:p>
    <w:p>
      <w:pPr>
        <w:pStyle w:val="Heading3"/>
      </w:pPr>
      <w:r>
        <w:t>3. Sources académiques et médicales mobilisées</w:t>
      </w:r>
    </w:p>
    <w:p>
      <w:pPr>
        <w:pStyle w:val="ListBullet"/>
      </w:pPr>
      <w:r/>
      <w:r>
        <w:rPr>
          <w:b/>
        </w:rPr>
        <w:t>VIDAL</w:t>
      </w:r>
      <w:r>
        <w:t xml:space="preserve"> : AMM, RCP, interactions.</w:t>
      </w:r>
    </w:p>
    <w:p>
      <w:pPr>
        <w:pStyle w:val="ListBullet"/>
      </w:pPr>
      <w:r/>
      <w:r>
        <w:rPr>
          <w:b/>
        </w:rPr>
        <w:t>ANSM</w:t>
      </w:r>
      <w:r>
        <w:t xml:space="preserve"> : recommandations, mises en garde (notamment sur le retrait ranitidine, dompéridone QT, métoclopramide effets extrapyramidaux, IPP au long cours).</w:t>
      </w:r>
    </w:p>
    <w:p>
      <w:pPr>
        <w:pStyle w:val="ListBullet"/>
      </w:pPr>
      <w:r/>
      <w:r>
        <w:rPr>
          <w:b/>
        </w:rPr>
        <w:t>Thériaque</w:t>
      </w:r>
      <w:r>
        <w:t xml:space="preserve"> : banque de données pharmaceutiques (CNHIM).</w:t>
      </w:r>
    </w:p>
    <w:p>
      <w:pPr>
        <w:pStyle w:val="ListBullet"/>
      </w:pPr>
      <w:r/>
      <w:r>
        <w:rPr>
          <w:b/>
        </w:rPr>
        <w:t>CRAT (Centre de Renseignement sur les Agents Tératogènes)</w:t>
      </w:r>
      <w:r>
        <w:t xml:space="preserve"> : données grossesse et allaitement, particulièrement importantes pour RGO gravidique, constipation gravidique, cholestase gravidique, MICI pregnancy.</w:t>
      </w:r>
    </w:p>
    <w:p>
      <w:pPr>
        <w:pStyle w:val="ListBullet"/>
      </w:pPr>
      <w:r/>
      <w:r>
        <w:rPr>
          <w:b/>
        </w:rPr>
        <w:t>ACG (American College of Gastroenterology)</w:t>
      </w:r>
      <w:r>
        <w:t xml:space="preserve"> : guidelines RGO, ulcère.</w:t>
      </w:r>
    </w:p>
    <w:p>
      <w:pPr>
        <w:pStyle w:val="ListBullet"/>
      </w:pPr>
      <w:r/>
      <w:r>
        <w:rPr>
          <w:b/>
        </w:rPr>
        <w:t>EASL (European Association for the Study of the Liver)</w:t>
      </w:r>
      <w:r>
        <w:t xml:space="preserve"> : guidelines hépatiques.</w:t>
      </w:r>
    </w:p>
    <w:p>
      <w:pPr>
        <w:pStyle w:val="ListBullet"/>
      </w:pPr>
      <w:r/>
      <w:r>
        <w:rPr>
          <w:b/>
        </w:rPr>
        <w:t>ECCO (European Crohn's and Colitis Organisation)</w:t>
      </w:r>
      <w:r>
        <w:t xml:space="preserve"> : guidelines MICI.</w:t>
      </w:r>
    </w:p>
    <w:p>
      <w:pPr>
        <w:pStyle w:val="ListBullet"/>
      </w:pPr>
      <w:r/>
      <w:r>
        <w:rPr>
          <w:b/>
        </w:rPr>
        <w:t>Maastricht consensus</w:t>
      </w:r>
      <w:r>
        <w:t xml:space="preserve"> : éradication *H. pylori*.</w:t>
      </w:r>
    </w:p>
    <w:p>
      <w:pPr>
        <w:pStyle w:val="ListBullet"/>
      </w:pPr>
      <w:r/>
      <w:r>
        <w:rPr>
          <w:b/>
        </w:rPr>
        <w:t>MASCC/ESMO</w:t>
      </w:r>
      <w:r>
        <w:t xml:space="preserve"> : antiémésie chimiothérapie.</w:t>
      </w:r>
    </w:p>
    <w:p>
      <w:pPr>
        <w:pStyle w:val="ListBullet"/>
      </w:pPr>
      <w:r/>
      <w:r>
        <w:rPr>
          <w:b/>
        </w:rPr>
        <w:t>OMS</w:t>
      </w:r>
      <w:r>
        <w:t xml:space="preserve"> : guides diarrhée, réhydratation orale.</w:t>
      </w:r>
    </w:p>
    <w:p>
      <w:pPr>
        <w:pStyle w:val="ListBullet"/>
      </w:pPr>
      <w:r/>
      <w:r>
        <w:rPr>
          <w:b/>
        </w:rPr>
        <w:t>UpToDate, DynaMed, IBM Micromedex, BMJ Best Practice, HAS</w:t>
      </w:r>
      <w:r>
        <w:t xml:space="preserve"> : référentiels internationaux.</w:t>
      </w:r>
    </w:p>
    <w:p>
      <w:pPr>
        <w:pStyle w:val="ListBullet"/>
      </w:pPr>
      <w:r/>
      <w:r>
        <w:rPr>
          <w:b/>
        </w:rPr>
        <w:t>PubMed</w:t>
      </w:r>
      <w:r>
        <w:t xml:space="preserve"> : littérature primaire pour mécanismes et données récentes.</w:t>
      </w:r>
    </w:p>
    <w:p>
      <w:pPr>
        <w:pStyle w:val="ListBullet"/>
      </w:pPr>
      <w:r/>
      <w:r>
        <w:rPr>
          <w:b/>
        </w:rPr>
        <w:t>Recommandations algériennes</w:t>
      </w:r>
      <w:r>
        <w:t xml:space="preserve"> : Société Algérienne de Gastro-entérologie (SAGE).</w:t>
      </w:r>
    </w:p>
    <w:p>
      <w:pPr>
        <w:pStyle w:val="Heading3"/>
      </w:pPr>
      <w:r>
        <w:t>4. Périmètre de ce fascicule</w:t>
      </w:r>
    </w:p>
    <w:p>
      <w:r>
        <w:t>Ce fascicule couvre les classes gastro-entérologiques suivantes :</w:t>
      </w:r>
    </w:p>
    <w:p>
      <w:pPr>
        <w:pStyle w:val="Heading4"/>
      </w:pPr>
      <w:r>
        <w:t>Anti-sécréteurs gastriques (6 DCI)</w:t>
      </w:r>
    </w:p>
    <w:p>
      <w:pPr>
        <w:pStyle w:val="ListNumber"/>
      </w:pPr>
      <w:r>
        <w:t>IPP (4) : oméprazole, ésoméprazole, lansoprazole, pantoprazole</w:t>
      </w:r>
    </w:p>
    <w:p>
      <w:pPr>
        <w:pStyle w:val="ListNumber"/>
      </w:pPr>
      <w:r>
        <w:t>Anti-H2 (2) : ranitidine (retirée), famotidine</w:t>
      </w:r>
    </w:p>
    <w:p>
      <w:pPr>
        <w:pStyle w:val="Heading4"/>
      </w:pPr>
      <w:r>
        <w:t>Antiacides, pansements, carminatifs (9 DCI)</w:t>
      </w:r>
    </w:p>
    <w:p>
      <w:pPr>
        <w:pStyle w:val="ListNumber"/>
      </w:pPr>
      <w:r>
        <w:t>Alginates (1), Combinaisons Al/Mg (1), Antiacides+carminatifs (1), Carbonates (1), Ca/Mg (1), Magnésiens (1), Carminatifs (1), Bismuth (1), Association alvérine+siméticone (1)</w:t>
      </w:r>
    </w:p>
    <w:p>
      <w:pPr>
        <w:pStyle w:val="Heading4"/>
      </w:pPr>
      <w:r>
        <w:t>Prokinétiques et antiémétiques (10 DCI)</w:t>
      </w:r>
    </w:p>
    <w:p>
      <w:pPr>
        <w:pStyle w:val="ListNumber"/>
      </w:pPr>
      <w:r>
        <w:t>D2 (2) : métoclopramide, dompéridone</w:t>
      </w:r>
    </w:p>
    <w:p>
      <w:pPr>
        <w:pStyle w:val="ListNumber"/>
      </w:pPr>
      <w:r>
        <w:t>5-HT4 (2) : cisapride (retiré), prucalopride</w:t>
      </w:r>
    </w:p>
    <w:p>
      <w:pPr>
        <w:pStyle w:val="ListNumber"/>
      </w:pPr>
      <w:r>
        <w:t>5-HT3 (3) : ondansétron, granisétron, palonosétron</w:t>
      </w:r>
    </w:p>
    <w:p>
      <w:pPr>
        <w:pStyle w:val="ListNumber"/>
      </w:pPr>
      <w:r>
        <w:t>NK1 (1) : aprepitant/fosaprépitant</w:t>
      </w:r>
    </w:p>
    <w:p>
      <w:pPr>
        <w:pStyle w:val="ListNumber"/>
      </w:pPr>
      <w:r>
        <w:t>Phénothiazines (1) : prométhazine</w:t>
      </w:r>
    </w:p>
    <w:p>
      <w:pPr>
        <w:pStyle w:val="ListNumber"/>
      </w:pPr>
      <w:r>
        <w:t>Butyrophénones (1) : halopéridol (antiémétique)</w:t>
      </w:r>
    </w:p>
    <w:p>
      <w:pPr>
        <w:pStyle w:val="ListNumber"/>
      </w:pPr>
      <w:r>
        <w:t>Antivertigineux (1) : méclozine</w:t>
      </w:r>
    </w:p>
    <w:p>
      <w:pPr>
        <w:pStyle w:val="Heading4"/>
      </w:pPr>
      <w:r>
        <w:t>Laxatifs et anti-diarrhéiques (10 DCI)</w:t>
      </w:r>
    </w:p>
    <w:p>
      <w:pPr>
        <w:pStyle w:val="ListNumber"/>
      </w:pPr>
      <w:r>
        <w:t>Laxatifs osmotiques (2) : lactulose, macrogol</w:t>
      </w:r>
    </w:p>
    <w:p>
      <w:pPr>
        <w:pStyle w:val="ListNumber"/>
      </w:pPr>
      <w:r>
        <w:t>Laxatifs stimulants (3) : bisacodyl, picosulfate, sennosides</w:t>
      </w:r>
    </w:p>
    <w:p>
      <w:pPr>
        <w:pStyle w:val="ListNumber"/>
      </w:pPr>
      <w:r>
        <w:t>Laxatifs lubrifiants (1) : huile de paraffine</w:t>
      </w:r>
    </w:p>
    <w:p>
      <w:pPr>
        <w:pStyle w:val="ListNumber"/>
      </w:pPr>
      <w:r>
        <w:t>Laxatifs de charge (1) : psyllium</w:t>
      </w:r>
    </w:p>
    <w:p>
      <w:pPr>
        <w:pStyle w:val="ListNumber"/>
      </w:pPr>
      <w:r>
        <w:t>Anti-diarrhéiques (3) : lopéramide, racecadotril, diosmectite</w:t>
      </w:r>
    </w:p>
    <w:p>
      <w:pPr>
        <w:pStyle w:val="ListNumber"/>
      </w:pPr>
      <w:r>
        <w:t>Probiotiques (1) : Saccharomyces boulardii</w:t>
      </w:r>
    </w:p>
    <w:p>
      <w:pPr>
        <w:pStyle w:val="Heading4"/>
      </w:pPr>
      <w:r>
        <w:t>Hépato-protecteurs, acides biliaires, enzymes, veno-actifs (8 DCI)</w:t>
      </w:r>
    </w:p>
    <w:p>
      <w:pPr>
        <w:pStyle w:val="ListNumber"/>
      </w:pPr>
      <w:r>
        <w:t>Acide biliaire (1) : acide ursodésoxycholique</w:t>
      </w:r>
    </w:p>
    <w:p>
      <w:pPr>
        <w:pStyle w:val="ListNumber"/>
      </w:pPr>
      <w:r>
        <w:t>Hépato-protecteurs amino-acides (1) : ornithine/arginine aspartate</w:t>
      </w:r>
    </w:p>
    <w:p>
      <w:pPr>
        <w:pStyle w:val="ListNumber"/>
      </w:pPr>
      <w:r>
        <w:t>Hépato-protecteurs précurseurs (1) : citicoline</w:t>
      </w:r>
    </w:p>
    <w:p>
      <w:pPr>
        <w:pStyle w:val="ListNumber"/>
      </w:pPr>
      <w:r>
        <w:t>Enzymes digestives (2) : pancréatine, polyenzymes</w:t>
      </w:r>
    </w:p>
    <w:p>
      <w:pPr>
        <w:pStyle w:val="ListNumber"/>
      </w:pPr>
      <w:r>
        <w:t>Veno-actifs (2) : diosmine+hespéridine, tribenoside+lidocaïne</w:t>
      </w:r>
    </w:p>
    <w:p>
      <w:pPr>
        <w:pStyle w:val="ListNumber"/>
      </w:pPr>
      <w:r>
        <w:t>Analogues somatostatine (1) : octréotide (GE use)</w:t>
      </w:r>
    </w:p>
    <w:p>
      <w:pPr>
        <w:pStyle w:val="Heading4"/>
      </w:pPr>
      <w:r>
        <w:t>Biothérapies MICI (7 DCI)</w:t>
      </w:r>
    </w:p>
    <w:p>
      <w:pPr>
        <w:pStyle w:val="ListNumber"/>
      </w:pPr>
      <w:r>
        <w:t>Anti-TNFα (4) : infliximab, adalimumab, certolizumab, golimumab</w:t>
      </w:r>
    </w:p>
    <w:p>
      <w:pPr>
        <w:pStyle w:val="ListNumber"/>
      </w:pPr>
      <w:r>
        <w:t>Anti-intégrine (1) : vedolizumab</w:t>
      </w:r>
    </w:p>
    <w:p>
      <w:pPr>
        <w:pStyle w:val="ListNumber"/>
      </w:pPr>
      <w:r>
        <w:t>Anti-IL-12/23 (1) : ustekinumab</w:t>
      </w:r>
    </w:p>
    <w:p>
      <w:pPr>
        <w:pStyle w:val="ListNumber"/>
      </w:pPr>
      <w:r>
        <w:t>Inhibiteurs JAK (1) : tofacitinib</w:t>
      </w:r>
    </w:p>
    <w:p>
      <w:r/>
      <w:r>
        <w:rPr>
          <w:b/>
        </w:rPr>
        <w:t>Total : 50 DCI canoniques</w:t>
      </w:r>
      <w:r>
        <w:t xml:space="preserve"> traitées individuellement, représentant plus de </w:t>
      </w:r>
      <w:r>
        <w:rPr>
          <w:b/>
        </w:rPr>
        <w:t>500 spécialités commerciales</w:t>
      </w:r>
      <w:r>
        <w:t xml:space="preserve"> actives, non renouvelables ou retirées.</w:t>
      </w:r>
    </w:p>
    <w:p>
      <w:pPr>
        <w:pStyle w:val="Heading3"/>
      </w:pPr>
      <w:r>
        <w:t>5. Rappel stratégique sur le bon usage gastro-entérologique</w:t>
      </w:r>
    </w:p>
    <w:p>
      <w:r>
        <w:t>Le pharmacien d'officine algérien joue un rôle clé dans :</w:t>
      </w:r>
    </w:p>
    <w:p>
      <w:pPr>
        <w:pStyle w:val="ListBullet"/>
      </w:pPr>
      <w:r/>
      <w:r>
        <w:rPr>
          <w:b/>
        </w:rPr>
        <w:t>L'analyse pharmaceutique des prescriptions gastro-entérologiques</w:t>
      </w:r>
      <w:r>
        <w:t xml:space="preserve"> : vérification des contre-indications (IPP + atazanavir, métoclopramide + Parkinson, dompéridone + QT long), des interactions (IPP + clopidogrel, antiacides + autres médicaments à distance 2h, antiémétiques + IMAO), des adaptations posologiques (insuffisance hépatique, rénale).</w:t>
      </w:r>
    </w:p>
    <w:p>
      <w:pPr>
        <w:pStyle w:val="ListBullet"/>
      </w:pPr>
      <w:r/>
      <w:r>
        <w:rPr>
          <w:b/>
        </w:rPr>
        <w:t>Le conseil au comptoir pour RGO/dyspepsie</w:t>
      </w:r>
      <w:r>
        <w:t xml:space="preserve"> : hygiène de vie (repas fractionnés, éviter alcool/tabac, surélévation tête lit), durée d'automédication limitée (≤ 2 semaines), orientation médicale si signes d'alarme (dysphagie, amaigrissement, hémorragie).</w:t>
      </w:r>
    </w:p>
    <w:p>
      <w:pPr>
        <w:pStyle w:val="ListBullet"/>
      </w:pPr>
      <w:r/>
      <w:r>
        <w:rPr>
          <w:b/>
        </w:rPr>
        <w:t>L'éducation thérapeutique du patient sous IPP au long cours</w:t>
      </w:r>
      <w:r>
        <w:t xml:space="preserve"> : surveillance hypomagnésémie, carence B12, fractures, infections.</w:t>
      </w:r>
    </w:p>
    <w:p>
      <w:pPr>
        <w:pStyle w:val="ListBullet"/>
      </w:pPr>
      <w:r/>
      <w:r>
        <w:rPr>
          <w:b/>
        </w:rPr>
        <w:t>Le bon usage des laxatifs</w:t>
      </w:r>
      <w:r>
        <w:t xml:space="preserve"> : privilégier osmotiques (lactulose, macrogol), éviter les stimulants au long cours (mélanose colique), hydratation, mesure hygiéno-diététiques.</w:t>
      </w:r>
    </w:p>
    <w:p>
      <w:pPr>
        <w:pStyle w:val="ListBullet"/>
      </w:pPr>
      <w:r/>
      <w:r>
        <w:rPr>
          <w:b/>
        </w:rPr>
        <w:t>La prise en charge de la diarrhée aiguë</w:t>
      </w:r>
      <w:r>
        <w:t xml:space="preserve"> : réhydratation orale (SRO), anti-diarrhéiques (lopéramide adulte, racecadotril enfant), probiotiques, orientation si signes de gravité (fièvre, sang, déshydratation).</w:t>
      </w:r>
    </w:p>
    <w:p>
      <w:pPr>
        <w:pStyle w:val="ListBullet"/>
      </w:pPr>
      <w:r/>
      <w:r>
        <w:rPr>
          <w:b/>
        </w:rPr>
        <w:t>La prévention des complications des MICI</w:t>
      </w:r>
      <w:r>
        <w:t xml:space="preserve"> : observance biothérapies, surveillance infections, dépistage TB pré-thérapeutique.</w:t>
      </w:r>
    </w:p>
    <w:p>
      <w:pPr>
        <w:pStyle w:val="ListBullet"/>
      </w:pPr>
      <w:r/>
      <w:r>
        <w:rPr>
          <w:b/>
        </w:rPr>
        <w:t>Le bon usage des antiémétiques en chimiothérapie</w:t>
      </w:r>
      <w:r>
        <w:t xml:space="preserve"> : protocoles MASCC/ESMO, combinaisons 5-HT3 + NK1 + corticoïdes.</w:t>
      </w:r>
    </w:p>
    <w:p>
      <w:pPr>
        <w:pStyle w:val="Heading3"/>
      </w:pPr>
      <w:r>
        <w:t>6. Structure type d'une fiche DCI</w:t>
      </w:r>
    </w:p>
    <w:p>
      <w:r>
        <w:t>Chaque fiche DCI suit la même structure uniforme en douze sections que les fascicules précédents :</w:t>
      </w:r>
    </w:p>
    <w:p>
      <w:pPr>
        <w:pStyle w:val="ListNumber"/>
      </w:pPr>
      <w:r>
        <w:t>Liste des catégories thérapeutiques.</w:t>
      </w:r>
    </w:p>
    <w:p>
      <w:pPr>
        <w:pStyle w:val="ListNumber"/>
      </w:pPr>
      <w:r>
        <w:t>Médicaments disponibles en Algérie (marques, laboratoires, formes, statut).</w:t>
      </w:r>
    </w:p>
    <w:p>
      <w:pPr>
        <w:pStyle w:val="ListNumber"/>
      </w:pPr>
      <w:r>
        <w:t>Sous-classe et mécanisme d'action moléculaire.</w:t>
      </w:r>
    </w:p>
    <w:p>
      <w:pPr>
        <w:pStyle w:val="ListNumber"/>
      </w:pPr>
      <w:r>
        <w:t>Profil pharmacologique (indications, CI, EI avec physiopathologie).</w:t>
      </w:r>
    </w:p>
    <w:p>
      <w:pPr>
        <w:pStyle w:val="ListNumber"/>
      </w:pPr>
      <w:r>
        <w:t>Prévention et gestion des EI.</w:t>
      </w:r>
    </w:p>
    <w:p>
      <w:pPr>
        <w:pStyle w:val="ListNumber"/>
      </w:pPr>
      <w:r>
        <w:t>Interactions médicamenteuses.</w:t>
      </w:r>
    </w:p>
    <w:p>
      <w:pPr>
        <w:pStyle w:val="ListNumber"/>
      </w:pPr>
      <w:r>
        <w:t>Grossesse et allaitement (CRAT).</w:t>
      </w:r>
    </w:p>
    <w:p>
      <w:pPr>
        <w:pStyle w:val="ListNumber"/>
      </w:pPr>
      <w:r>
        <w:t>Posologie et mode d'administration.</w:t>
      </w:r>
    </w:p>
    <w:p>
      <w:pPr>
        <w:pStyle w:val="ListNumber"/>
      </w:pPr>
      <w:r>
        <w:t>Arbitrage et bénéfices des formes galéniques.</w:t>
      </w:r>
    </w:p>
    <w:p>
      <w:pPr>
        <w:pStyle w:val="ListNumber"/>
      </w:pPr>
      <w:r>
        <w:t>Instructions et conseils au patient.</w:t>
      </w:r>
    </w:p>
    <w:p>
      <w:pPr>
        <w:pStyle w:val="ListNumber"/>
      </w:pPr>
      <w:r>
        <w:t>Notes, règles d'or et pièges au comptoir.</w:t>
      </w:r>
    </w:p>
    <w:p>
      <w:pPr>
        <w:pStyle w:val="ListNumber"/>
      </w:pPr>
      <w:r>
        <w:t>Tableau comparatif de sous-classe en fin de chapitre.</w:t>
      </w:r>
    </w:p>
    <w:p>
      <w:pPr>
        <w:pStyle w:val="Heading3"/>
      </w:pPr>
      <w:r>
        <w:t>7. Engagements qualité</w:t>
      </w:r>
    </w:p>
    <w:p>
      <w:pPr>
        <w:pStyle w:val="ListBullet"/>
      </w:pPr>
      <w:r/>
      <w:r>
        <w:rPr>
          <w:b/>
        </w:rPr>
        <w:t>Égalité de traitement</w:t>
      </w:r>
      <w:r>
        <w:t xml:space="preserve"> : chaque DCI est traitée avec la même rigueur, quelle que soit sa fréquence d'usage.</w:t>
      </w:r>
    </w:p>
    <w:p>
      <w:pPr>
        <w:pStyle w:val="ListBullet"/>
      </w:pPr>
      <w:r/>
      <w:r>
        <w:rPr>
          <w:b/>
        </w:rPr>
        <w:t>Exhaustivité absolue du fichier</w:t>
      </w:r>
      <w:r>
        <w:t xml:space="preserve"> : aucune marque enregistrée n'est omise.</w:t>
      </w:r>
    </w:p>
    <w:p>
      <w:pPr>
        <w:pStyle w:val="ListBullet"/>
      </w:pPr>
      <w:r/>
      <w:r>
        <w:rPr>
          <w:b/>
        </w:rPr>
        <w:t>Zéro perte d'information scientifique</w:t>
      </w:r>
      <w:r>
        <w:t xml:space="preserve"> : mécanismes moléculaires, interactions et profils de tolérance détaillés.</w:t>
      </w:r>
    </w:p>
    <w:p>
      <w:pPr>
        <w:pStyle w:val="ListBullet"/>
      </w:pPr>
      <w:r/>
      <w:r>
        <w:rPr>
          <w:b/>
        </w:rPr>
        <w:t>Vérification continue de la vérité scientifique</w:t>
      </w:r>
      <w:r>
        <w:t xml:space="preserve"> : recoupement systématique des sources.</w:t>
      </w:r>
    </w:p>
    <w:p>
      <w:pPr>
        <w:pStyle w:val="ListBullet"/>
      </w:pPr>
      <w:r/>
      <w:r>
        <w:rPr>
          <w:b/>
        </w:rPr>
        <w:t>Focus Algérie</w:t>
      </w:r>
      <w:r>
        <w:t xml:space="preserve"> : seules les spécialités du fichier source sont mentionnées ; les molécules non disponibles sont explicitement signalées.</w:t>
      </w:r>
    </w:p>
    <w:p>
      <w:pPr>
        <w:pStyle w:val="Heading2"/>
      </w:pPr>
      <w:r>
        <w:t>Sommaire général du Fascicule VI</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51</w:t>
            </w:r>
          </w:p>
        </w:tc>
        <w:tc>
          <w:tcPr>
            <w:tcW w:type="dxa" w:w="3118"/>
          </w:tcPr>
          <w:p>
            <w:r>
              <w:rPr>
                <w:sz w:val="20"/>
              </w:rPr>
              <w:t>Anti-sécréteurs gastriques : IPP et Anti-H2</w:t>
            </w:r>
          </w:p>
        </w:tc>
        <w:tc>
          <w:tcPr>
            <w:tcW w:type="dxa" w:w="3118"/>
          </w:tcPr>
          <w:p>
            <w:r>
              <w:rPr>
                <w:sz w:val="20"/>
              </w:rPr>
              <w:t>6</w:t>
            </w:r>
          </w:p>
        </w:tc>
      </w:tr>
      <w:tr>
        <w:tc>
          <w:tcPr>
            <w:tcW w:type="dxa" w:w="3118"/>
          </w:tcPr>
          <w:p>
            <w:r>
              <w:rPr>
                <w:sz w:val="20"/>
              </w:rPr>
              <w:t>52</w:t>
            </w:r>
          </w:p>
        </w:tc>
        <w:tc>
          <w:tcPr>
            <w:tcW w:type="dxa" w:w="3118"/>
          </w:tcPr>
          <w:p>
            <w:r>
              <w:rPr>
                <w:sz w:val="20"/>
              </w:rPr>
              <w:t>Antiacides, alginates, pansements gastriques et carminatifs</w:t>
            </w:r>
          </w:p>
        </w:tc>
        <w:tc>
          <w:tcPr>
            <w:tcW w:type="dxa" w:w="3118"/>
          </w:tcPr>
          <w:p>
            <w:r>
              <w:rPr>
                <w:sz w:val="20"/>
              </w:rPr>
              <w:t>9</w:t>
            </w:r>
          </w:p>
        </w:tc>
      </w:tr>
      <w:tr>
        <w:tc>
          <w:tcPr>
            <w:tcW w:type="dxa" w:w="3118"/>
          </w:tcPr>
          <w:p>
            <w:r>
              <w:rPr>
                <w:sz w:val="20"/>
              </w:rPr>
              <w:t>53</w:t>
            </w:r>
          </w:p>
        </w:tc>
        <w:tc>
          <w:tcPr>
            <w:tcW w:type="dxa" w:w="3118"/>
          </w:tcPr>
          <w:p>
            <w:r>
              <w:rPr>
                <w:sz w:val="20"/>
              </w:rPr>
              <w:t>Prokinétiques et antiémétiques</w:t>
            </w:r>
          </w:p>
        </w:tc>
        <w:tc>
          <w:tcPr>
            <w:tcW w:type="dxa" w:w="3118"/>
          </w:tcPr>
          <w:p>
            <w:r>
              <w:rPr>
                <w:sz w:val="20"/>
              </w:rPr>
              <w:t>10</w:t>
            </w:r>
          </w:p>
        </w:tc>
      </w:tr>
      <w:tr>
        <w:tc>
          <w:tcPr>
            <w:tcW w:type="dxa" w:w="3118"/>
          </w:tcPr>
          <w:p>
            <w:r>
              <w:rPr>
                <w:sz w:val="20"/>
              </w:rPr>
              <w:t>54</w:t>
            </w:r>
          </w:p>
        </w:tc>
        <w:tc>
          <w:tcPr>
            <w:tcW w:type="dxa" w:w="3118"/>
          </w:tcPr>
          <w:p>
            <w:r>
              <w:rPr>
                <w:sz w:val="20"/>
              </w:rPr>
              <w:t>Laxatifs et anti-diarrhéiques</w:t>
            </w:r>
          </w:p>
        </w:tc>
        <w:tc>
          <w:tcPr>
            <w:tcW w:type="dxa" w:w="3118"/>
          </w:tcPr>
          <w:p>
            <w:r>
              <w:rPr>
                <w:sz w:val="20"/>
              </w:rPr>
              <w:t>10</w:t>
            </w:r>
          </w:p>
        </w:tc>
      </w:tr>
      <w:tr>
        <w:tc>
          <w:tcPr>
            <w:tcW w:type="dxa" w:w="3118"/>
          </w:tcPr>
          <w:p>
            <w:r>
              <w:rPr>
                <w:sz w:val="20"/>
              </w:rPr>
              <w:t>55</w:t>
            </w:r>
          </w:p>
        </w:tc>
        <w:tc>
          <w:tcPr>
            <w:tcW w:type="dxa" w:w="3118"/>
          </w:tcPr>
          <w:p>
            <w:r>
              <w:rPr>
                <w:sz w:val="20"/>
              </w:rPr>
              <w:t>Hépato-protecteurs, acides biliaires, enzymes digestives, veno-actifs</w:t>
            </w:r>
          </w:p>
        </w:tc>
        <w:tc>
          <w:tcPr>
            <w:tcW w:type="dxa" w:w="3118"/>
          </w:tcPr>
          <w:p>
            <w:r>
              <w:rPr>
                <w:sz w:val="20"/>
              </w:rPr>
              <w:t>8</w:t>
            </w:r>
          </w:p>
        </w:tc>
      </w:tr>
      <w:tr>
        <w:tc>
          <w:tcPr>
            <w:tcW w:type="dxa" w:w="3118"/>
          </w:tcPr>
          <w:p>
            <w:r>
              <w:rPr>
                <w:sz w:val="20"/>
              </w:rPr>
              <w:t>56</w:t>
            </w:r>
          </w:p>
        </w:tc>
        <w:tc>
          <w:tcPr>
            <w:tcW w:type="dxa" w:w="3118"/>
          </w:tcPr>
          <w:p>
            <w:r>
              <w:rPr>
                <w:sz w:val="20"/>
              </w:rPr>
              <w:t>Biothérapies des MICI</w:t>
            </w:r>
          </w:p>
        </w:tc>
        <w:tc>
          <w:tcPr>
            <w:tcW w:type="dxa" w:w="3118"/>
          </w:tcPr>
          <w:p>
            <w:r>
              <w:rPr>
                <w:sz w:val="20"/>
              </w:rPr>
              <w:t>7</w:t>
            </w:r>
          </w:p>
        </w:tc>
      </w:tr>
      <w:tr>
        <w:tc>
          <w:tcPr>
            <w:tcW w:type="dxa" w:w="3118"/>
          </w:tcPr>
          <w:p>
            <w:r>
              <w:rPr>
                <w:sz w:val="20"/>
              </w:rPr>
              <w:t>**Total**</w:t>
            </w:r>
          </w:p>
        </w:tc>
        <w:tc>
          <w:tcPr>
            <w:tcW w:type="dxa" w:w="3118"/>
          </w:tcPr>
          <w:p>
            <w:r>
              <w:rPr>
                <w:sz w:val="20"/>
              </w:rPr>
            </w:r>
          </w:p>
        </w:tc>
        <w:tc>
          <w:tcPr>
            <w:tcW w:type="dxa" w:w="3118"/>
          </w:tcPr>
          <w:p>
            <w:r>
              <w:rPr>
                <w:sz w:val="20"/>
              </w:rPr>
              <w:t>**50**</w:t>
            </w:r>
          </w:p>
        </w:tc>
      </w:tr>
    </w:tbl>
    <w:p/>
    <w:p>
      <w:pPr>
        <w:pStyle w:val="Heading1"/>
      </w:pPr>
      <w:r>
        <w:t>Chapitre 51 — Anti-sécréteurs gastriques : Inhibiteurs de la Pompe à Protons (IPP) et Antihistaminiques H2 (Anti-H2)</w:t>
      </w:r>
    </w:p>
    <w:p>
      <w:pPr>
        <w:ind w:left="567"/>
      </w:pPr>
      <w:r>
        <w:rPr>
          <w:i/>
          <w:color w:val="606060"/>
        </w:rPr>
        <w:t>**Fascicule VI — Gastro-entérologie**</w:t>
      </w:r>
    </w:p>
    <w:p>
      <w:pPr>
        <w:ind w:left="567"/>
      </w:pPr>
      <w:r>
        <w:rPr>
          <w:i/>
          <w:color w:val="606060"/>
        </w:rPr>
        <w:t>*Sous-classe thérapeutique : Anti-ulcéreux — Inhibiteurs de la sécrétion acide gastrique*</w:t>
      </w:r>
    </w:p>
    <w:p>
      <w:pPr>
        <w:ind w:left="567"/>
      </w:pPr>
      <w:r>
        <w:rPr>
          <w:i/>
          <w:color w:val="606060"/>
        </w:rPr>
        <w:t>*Nomenclature algérienne des médicaments — Avril 2026*</w:t>
      </w:r>
    </w:p>
    <w:p>
      <w:pPr>
        <w:pStyle w:val="Heading2"/>
      </w:pPr>
      <w:r>
        <w:t>Sommaire du chapitre</w:t>
      </w:r>
    </w:p>
    <w:p>
      <w:pPr>
        <w:pStyle w:val="ListNumber"/>
      </w:pPr>
      <w:r>
        <w:t>Introduction à la sous-classe des Inhibiteurs de la Pompe à Protons (IPP)</w:t>
      </w:r>
    </w:p>
    <w:p>
      <w:pPr>
        <w:pStyle w:val="ListNumber"/>
      </w:pPr>
      <w:r>
        <w:t>Fiches DCI — IPP</w:t>
      </w:r>
    </w:p>
    <w:p>
      <w:pPr>
        <w:pStyle w:val="ListBullet"/>
      </w:pPr>
      <w:r>
        <w:t>1. Oméprazole</w:t>
      </w:r>
    </w:p>
    <w:p>
      <w:pPr>
        <w:pStyle w:val="ListBullet"/>
      </w:pPr>
      <w:r>
        <w:t>2. Ésoméprazole</w:t>
      </w:r>
    </w:p>
    <w:p>
      <w:pPr>
        <w:pStyle w:val="ListBullet"/>
      </w:pPr>
      <w:r>
        <w:t>3. Lansoprazole</w:t>
      </w:r>
    </w:p>
    <w:p>
      <w:pPr>
        <w:pStyle w:val="ListBullet"/>
      </w:pPr>
      <w:r>
        <w:t>4. Pantoprazole</w:t>
      </w:r>
    </w:p>
    <w:p>
      <w:pPr>
        <w:pStyle w:val="ListNumber"/>
      </w:pPr>
      <w:r>
        <w:t>Introduction à la sous-classe des Antihistaminiques H2</w:t>
      </w:r>
    </w:p>
    <w:p>
      <w:pPr>
        <w:pStyle w:val="ListNumber"/>
      </w:pPr>
      <w:r>
        <w:t>Fiches DCI — Anti-H2</w:t>
      </w:r>
    </w:p>
    <w:p>
      <w:pPr>
        <w:pStyle w:val="ListBullet"/>
      </w:pPr>
      <w:r>
        <w:t>5. Ranitidine (R) — Retirée du marché mondial (2019-2020) pour contamination NDMA</w:t>
      </w:r>
    </w:p>
    <w:p>
      <w:pPr>
        <w:pStyle w:val="ListBullet"/>
      </w:pPr>
      <w:r>
        <w:t>6. Famotidine</w:t>
      </w:r>
    </w:p>
    <w:p>
      <w:pPr>
        <w:pStyle w:val="ListNumber"/>
      </w:pPr>
      <w:r>
        <w:t>Tableau comparatif synthétique</w:t>
      </w:r>
    </w:p>
    <w:p>
      <w:pPr>
        <w:pStyle w:val="Heading2"/>
      </w:pPr>
      <w:r>
        <w:t>1. Introduction à la sous-classe des Inhibiteurs de la Pompe à Protons (IPP)</w:t>
      </w:r>
    </w:p>
    <w:p>
      <w:r>
        <w:t xml:space="preserve">Les Inhibiteurs de la Pompe à Protons (IPP) constituent la pierre angulaire de la prise en charge pharmacologique de l'acidité gastrique depuis la mise sur le marché de l'oméprazole en 1988 (Mopral®). Cette classe a révolutionné le traitement du reflux gastro-œsophagien (RGO), de l'ulcère gastro-duodénal, de l'éradication de </w:t>
      </w:r>
      <w:r>
        <w:rPr>
          <w:i/>
        </w:rPr>
        <w:t>Helicobacter pylori</w:t>
      </w:r>
      <w:r>
        <w:t xml:space="preserve"> et de la prévention des ulcères induits par les anti-inflammatoires non stéroïdiens (AINS). Les IPP sont aujourd'hui parmi les molécules les plus prescrites au monde et figurent en bonne place dans la nomenclature algérienne où l'oméprazole, à lui seul, totalise plus de quarante spécialités (actives, non renouvelables ou retirées), témoignant de l'ampleur de la consommation nationale.</w:t>
      </w:r>
    </w:p>
    <w:p>
      <w:r/>
      <w:r>
        <w:rPr>
          <w:b/>
        </w:rPr>
        <w:t>Cible pharmacologique.</w:t>
      </w:r>
      <w:r>
        <w:t xml:space="preserve"> La pompe à protons gastrique est une </w:t>
      </w:r>
      <w:r>
        <w:rPr>
          <w:b/>
        </w:rPr>
        <w:t>H⁺/K⁺-ATPase</w:t>
      </w:r>
      <w:r>
        <w:t xml:space="preserve"> de type P2A, enzyme membranaire localisée exclusivement dans la membrane canaliculaire sécrétoire des cellules pariétales (ou cellules bordantes) de la muqueuse fundique. Cet échangeur assure le transport actif final des protons (H⁺) dans la lumière gastrique contre un gradient électrochimique défavorable, en échange d'ions potassium (K⁺). C'est l'étape terminale et obligatoire de la sécrétion acide : quel que soit le stimulus (histamine via H2, acétylcholine via M3, gastrine via CCK2), le proton aboutit obligatoirement à la H⁺/K⁺-ATPase. Bloquer cette enzyme permet donc une inhibition </w:t>
      </w:r>
      <w:r>
        <w:rPr>
          <w:b/>
        </w:rPr>
        <w:t>totale</w:t>
      </w:r>
      <w:r>
        <w:t xml:space="preserve"> de la sécrétion acide, qu'elle soit basale ou stimulée.</w:t>
      </w:r>
    </w:p>
    <w:p>
      <w:r/>
      <w:r>
        <w:rPr>
          <w:b/>
        </w:rPr>
        <w:t>Structure chimique et activation.</w:t>
      </w:r>
      <w:r>
        <w:t xml:space="preserve"> Les IPP sont des </w:t>
      </w:r>
      <w:r>
        <w:rPr>
          <w:b/>
        </w:rPr>
        <w:t>benzimidazolés substitués</w:t>
      </w:r>
      <w:r>
        <w:t xml:space="preserve"> (oméprazole, ésoméprazole, lansoprazole, pantoprazole, rabeprazole, dexlansoprazole). Ils sont des </w:t>
      </w:r>
      <w:r>
        <w:rPr>
          <w:b/>
        </w:rPr>
        <w:t>prodrogues instables en milieu acide</w:t>
      </w:r>
      <w:r>
        <w:t xml:space="preserve"> et nécessitent une formulation galénique gastro-résistante (microgranules entérosolubles) pour atteindre l'intestin intact. Leur absorption se fait au niveau du duodénum et du jéjunum proximal. Une fois parvenus dans le compartiment canaliculaire acide de la cellule pariétale (pH &lt; 2), ils subissent une </w:t>
      </w:r>
      <w:r>
        <w:rPr>
          <w:b/>
        </w:rPr>
        <w:t>activation par protonation</w:t>
      </w:r>
      <w:r>
        <w:t xml:space="preserve"> en acide sulfénamide, réactif et fortement lipophile, qui se lie de façon </w:t>
      </w:r>
      <w:r>
        <w:rPr>
          <w:b/>
        </w:rPr>
        <w:t>covalente et irréversible</w:t>
      </w:r>
      <w:r>
        <w:t xml:space="preserve"> à la cystéine 813 (et 892 pour l'oméprazole) de la sous-unité α de la H⁺/K⁺-ATPase. Cette liaison covalente explique la </w:t>
      </w:r>
      <w:r>
        <w:rPr>
          <w:b/>
        </w:rPr>
        <w:t>durée d'action prolongée</w:t>
      </w:r>
      <w:r>
        <w:t xml:space="preserve"> (24 à 72 heures) bien supérieure à la demi-vie plasmatique courte (1 à 2 heures) : la récupération de la sécrétion acide dépend de la </w:t>
      </w:r>
      <w:r>
        <w:rPr>
          <w:b/>
        </w:rPr>
        <w:t>néosynthèse</w:t>
      </w:r>
      <w:r>
        <w:t xml:space="preserve"> de nouvelles pompes à protons (demi-vie de recyclage de 24 à 54 heures selon les estimations).</w:t>
      </w:r>
    </w:p>
    <w:p>
      <w:r/>
      <w:r>
        <w:rPr>
          <w:b/>
        </w:rPr>
        <w:t>Particularités pharmacocinétiques.</w:t>
      </w:r>
      <w:r>
        <w:t xml:space="preserve"> Tous les IPP sont métabolisés par le cytochrome P450 hépatique, principalement par </w:t>
      </w:r>
      <w:r>
        <w:rPr>
          <w:b/>
        </w:rPr>
        <w:t>CYP2C19</w:t>
      </w:r>
      <w:r>
        <w:t xml:space="preserve"> (et accessoirement CYP3A4). Le polymorphisme génétique de CYP2C19 (métaboliseurs lents vs rapides) influence significativement l'exposition, en particulier pour l'oméprazole et l'ésoméprazole. La biodisponibilité absolue est de 30 à 90 % selon les molécules (50-60 % pour l'oméprazole, ~90 % pour l'ésoméprazole à l'état d'équilibre). La liaison aux protéines plasmatiques est élevée (&gt; 95 %). L'élimination est essentiellement rénale sous forme de métabolites inactifs (sulfoxydes, hydroxylés).</w:t>
      </w:r>
    </w:p>
    <w:p>
      <w:r/>
      <w:r>
        <w:rPr>
          <w:b/>
        </w:rPr>
        <w:t>Règle d'administration.</w:t>
      </w:r>
      <w:r>
        <w:t xml:space="preserve"> Les IPP doivent être pris </w:t>
      </w:r>
      <w:r>
        <w:rPr>
          <w:b/>
        </w:rPr>
        <w:t>30 minutes avant le premier repas de la journée</w:t>
      </w:r>
      <w:r>
        <w:t xml:space="preserve"> (petit-déjeuner). Cette règle découle du mécanisme d'action : les pompes à protons sont activées après stimulation par la nourriture (libération d'histamine, d'acétylcholine et de gastrine), et les IPP ne peuvent inhiber que les pompes </w:t>
      </w:r>
      <w:r>
        <w:rPr>
          <w:b/>
        </w:rPr>
        <w:t>activées</w:t>
      </w:r>
      <w:r>
        <w:t>. Une prise à jeun, suivie de la prise alimentaire, maximise donc l'efficacité. La prise au coucher est réservée aux patients avec RGO nocturne résiduel.</w:t>
      </w:r>
    </w:p>
    <w:p>
      <w:r/>
      <w:r>
        <w:rPr>
          <w:b/>
        </w:rPr>
        <w:t>Tolérance et signaux d'alerte.</w:t>
      </w:r>
      <w:r>
        <w:t xml:space="preserve"> À court terme, les IPP sont extrêmement bien tolérés (céphalées, diarrhée, douleurs abdominales transitoires). À long terme, plusieurs signaux de pharmacovigilance ont émergé : hypomagnésémie, fractures ostéoporotiques (hanche, vertèbres, poignet), pneumonies acquises sous ventilation, infections à </w:t>
      </w:r>
      <w:r>
        <w:rPr>
          <w:i/>
        </w:rPr>
        <w:t>Clostridium difficile</w:t>
      </w:r>
      <w:r>
        <w:t xml:space="preserve">, carence en vitamine B12, et baisse d'efficacité des antiagrégants plaquettaires (clopidogrel) par inhibition compétitive du CYP2C19. La </w:t>
      </w:r>
      <w:r>
        <w:rPr>
          <w:b/>
        </w:rPr>
        <w:t>HAS (Haute Autorité de Santé)</w:t>
      </w:r>
      <w:r>
        <w:t xml:space="preserve"> et l'</w:t>
      </w:r>
      <w:r>
        <w:rPr>
          <w:b/>
        </w:rPr>
        <w:t>ANSM</w:t>
      </w:r>
      <w:r>
        <w:t xml:space="preserve"> recommandent une réévaluation régulière de l'indication et la recherche de la dose minimale efficace, avec un sevrage progressif pour éviter l'hypersecrétion rebond.</w:t>
      </w:r>
    </w:p>
    <w:p>
      <w:r/>
      <w:r>
        <w:rPr>
          <w:b/>
        </w:rPr>
        <w:t>Cadre réglementaire algérien.</w:t>
      </w:r>
      <w:r>
        <w:t xml:space="preserve"> Dans la nomenclature, les IPP sont majoritairement classés en </w:t>
      </w:r>
      <w:r>
        <w:rPr>
          <w:b/>
        </w:rPr>
        <w:t>Liste II</w:t>
      </w:r>
      <w:r>
        <w:t xml:space="preserve"> (substances vénéneuses, prescription obligatoire mais renouvelable), à l'exception du pantoprazole 20 mg (Potonex®, Liste I — prescription obligatoire non renouvelable sauf mention contraire). Plusieurs spécialités historiques (Mopral® Astra, Eselan®, Gastromax®, etc.) sont retirées du marché ou non renouvelées, témoignant d'un marché générique très concurrentiel où Saidal, Biopharm, Hikma, Pharmalliance, Novapharm, Biocare et d'autres laboratoires algériens et étrangers se partagent le segment.</w:t>
      </w:r>
    </w:p>
    <w:p>
      <w:pPr>
        <w:pStyle w:val="Heading2"/>
      </w:pPr>
      <w:r>
        <w:t>2. Fiches DCI — Inhibiteurs de la Pompe à Protons</w:t>
      </w:r>
    </w:p>
    <w:p>
      <w:pPr>
        <w:pStyle w:val="Heading3"/>
      </w:pPr>
      <w:r>
        <w:t>1. DCI : Oméprazole (Seule)</w:t>
      </w:r>
    </w:p>
    <w:p>
      <w:r/>
      <w:r>
        <w:rPr>
          <w:b/>
        </w:rPr>
        <w:t>Liste des Catégories :</w:t>
      </w:r>
      <w:r>
        <w:t xml:space="preserve"> Inhibiteurs de la Pompe à Protons (IPP) ; Anti-ulcéreux ; Inhibiteur de la H⁺/K⁺-ATPase gastrique ; Liste II ( Liste I non applicable à la majorité des présentations) ; Prescription médicale obligatoire.</w:t>
      </w:r>
    </w:p>
    <w:p>
      <w:r>
        <w:t xml:space="preserve">L'oméprazole est la molécule historique et fondatrice de la classe des IPP, commercialisée dès 1988 (Mopral®). C'est un </w:t>
      </w:r>
      <w:r>
        <w:rPr>
          <w:b/>
        </w:rPr>
        <w:t>racémique</w:t>
      </w:r>
      <w:r>
        <w:t xml:space="preserve"> comportant les deux énantiomères R et S, et il est converti en sa fraction active (l'isomère S, devenu l'ésoméprazole) par le CYP2C19. Prodrogue instable en milieu acide, l'oméprazole impose une formulation galénique en </w:t>
      </w:r>
      <w:r>
        <w:rPr>
          <w:b/>
        </w:rPr>
        <w:t>microgranules gastro-résistants</w:t>
      </w:r>
      <w:r>
        <w:t xml:space="preserve"> conditionnés en gélule. Sa demi-vie plasmatique est courte (~1 heure) mais l'effet antisécrétoire persiste 24 à 72 heures par inhibition covalente irréversible de la pompe à protons. Il est métabolisé majoritairement par CYP2C19, ce qui le place au cœur des principales interactions médicamenteuses (notamment clopidogrel).</w:t>
      </w:r>
    </w:p>
    <w:p>
      <w:r/>
      <w:r>
        <w:rPr>
          <w:b/>
        </w:rPr>
        <w:t>Médicaments disponibles en Algérie (Marques, Laboratoires, Formes et Dosages) :</w:t>
      </w:r>
      <w:r/>
    </w:p>
    <w:p>
      <w:r/>
      <w:r>
        <w:rPr>
          <w:i/>
        </w:rPr>
        <w:t>Spécialités actives :</w:t>
      </w:r>
      <w:r/>
    </w:p>
    <w:p>
      <w:pPr>
        <w:pStyle w:val="ListBullet"/>
      </w:pPr>
      <w:r/>
      <w:r>
        <w:rPr>
          <w:b/>
        </w:rPr>
        <w:t>ANTAG</w:t>
      </w:r>
      <w:r>
        <w:t xml:space="preserve"> (BIOCARE) — Gélule à micro-granules gastro-résistants 20 mg — B/14 et B/28 — Statut : Actif</w:t>
      </w:r>
    </w:p>
    <w:p>
      <w:pPr>
        <w:pStyle w:val="ListBullet"/>
      </w:pPr>
      <w:r/>
      <w:r>
        <w:rPr>
          <w:b/>
        </w:rPr>
        <w:t>LOMZOLE BGL</w:t>
      </w:r>
      <w:r>
        <w:t xml:space="preserve"> (BIOGALENIC) — Gélule à micro-granules gastro-résistants 20 mg — B/14 — Statut : Actif</w:t>
      </w:r>
    </w:p>
    <w:p>
      <w:pPr>
        <w:pStyle w:val="ListBullet"/>
      </w:pPr>
      <w:r/>
      <w:r>
        <w:rPr>
          <w:b/>
        </w:rPr>
        <w:t>NEOGASTRIC</w:t>
      </w:r>
      <w:r>
        <w:t xml:space="preserve"> (NEOMEDIC) — Gélule à micro-granules gastro-résistants 20 mg — B/14 et B/28 — Statut : Actif</w:t>
      </w:r>
    </w:p>
    <w:p>
      <w:pPr>
        <w:pStyle w:val="ListBullet"/>
      </w:pPr>
      <w:r/>
      <w:r>
        <w:rPr>
          <w:b/>
        </w:rPr>
        <w:t>OMED-20</w:t>
      </w:r>
      <w:r>
        <w:t xml:space="preserve"> (CHIMIE PHARMACIE COMMERCE MULTIPLE SARL — CPCM) — Gélule à micro-granules gastro-résistants 20 mg — B/14 — Statut : Actif</w:t>
      </w:r>
    </w:p>
    <w:p>
      <w:pPr>
        <w:pStyle w:val="ListBullet"/>
      </w:pPr>
      <w:r/>
      <w:r>
        <w:rPr>
          <w:b/>
        </w:rPr>
        <w:t>OMEDAR</w:t>
      </w:r>
      <w:r>
        <w:t xml:space="preserve"> (DAR AL DAWA DEVELOPMENT AND INVESTMENT CO. LTD) — Gélule à micro-granules gastro-résistants 20 mg — B/30, B/14 et B/28 — Statut : Actif</w:t>
      </w:r>
    </w:p>
    <w:p>
      <w:pPr>
        <w:pStyle w:val="ListBullet"/>
      </w:pPr>
      <w:r/>
      <w:r>
        <w:rPr>
          <w:b/>
        </w:rPr>
        <w:t>OMEPRAMEX</w:t>
      </w:r>
      <w:r>
        <w:t xml:space="preserve"> (KPMA BIOTIC) — Gélule à micro-granules gastro-résistants 20 mg — B/14 — Statut : Actif</w:t>
      </w:r>
    </w:p>
    <w:p>
      <w:pPr>
        <w:pStyle w:val="ListBullet"/>
      </w:pPr>
      <w:r/>
      <w:r>
        <w:rPr>
          <w:b/>
        </w:rPr>
        <w:t>OMEPRAZOLE GEBER</w:t>
      </w:r>
      <w:r>
        <w:t xml:space="preserve"> (GEBERHEALTH) — Gélule à micro-granules gastro-résistants 20 mg ; Microgranules gastro-résistants en gélules 10 mg — B/30 — Statut : Actif</w:t>
      </w:r>
    </w:p>
    <w:p>
      <w:pPr>
        <w:pStyle w:val="ListBullet"/>
      </w:pPr>
      <w:r/>
      <w:r>
        <w:rPr>
          <w:b/>
        </w:rPr>
        <w:t>OMEPRAZOLE MM</w:t>
      </w:r>
      <w:r>
        <w:t xml:space="preserve"> (LABORATOIRES MM) — Gélule à micro-granules gastro-résistants 20 mg — B/14 et B/28 — Statut : Actif</w:t>
      </w:r>
    </w:p>
    <w:p>
      <w:pPr>
        <w:pStyle w:val="ListBullet"/>
      </w:pPr>
      <w:r/>
      <w:r>
        <w:rPr>
          <w:b/>
        </w:rPr>
        <w:t>OMEPRAZOLE NOVAGENERICS</w:t>
      </w:r>
      <w:r>
        <w:t xml:space="preserve"> (NOVAPHARM TRADING) — Gélule à micro-granules gastro-résistants 20 mg — B/14 — Statut : Actif</w:t>
      </w:r>
    </w:p>
    <w:p>
      <w:pPr>
        <w:pStyle w:val="ListBullet"/>
      </w:pPr>
      <w:r/>
      <w:r>
        <w:rPr>
          <w:b/>
        </w:rPr>
        <w:t>OMEPRAZOLE PHYSIOPHARM</w:t>
      </w:r>
      <w:r>
        <w:t xml:space="preserve"> (PHYSIOPHARM LABORATOIRES) — Gélule à micro-granules gastro-résistants 20 mg — B/14 — Statut : Actif</w:t>
      </w:r>
    </w:p>
    <w:p>
      <w:pPr>
        <w:pStyle w:val="ListBullet"/>
      </w:pPr>
      <w:r/>
      <w:r>
        <w:rPr>
          <w:b/>
        </w:rPr>
        <w:t>OMEPROTECT</w:t>
      </w:r>
      <w:r>
        <w:t xml:space="preserve"> (SARL EVOLAB) — Gélule à micro-granules gastro-résistants 20 mg — B/14 et B/28 — Statut : Actif</w:t>
      </w:r>
    </w:p>
    <w:p>
      <w:pPr>
        <w:pStyle w:val="ListBullet"/>
      </w:pPr>
      <w:r/>
      <w:r>
        <w:rPr>
          <w:b/>
        </w:rPr>
        <w:t>OPRACIDE</w:t>
      </w:r>
      <w:r>
        <w:t xml:space="preserve"> (HIKMA PHARMA ALGERIA) — Gélule à micro-granules gastro-résistants 20 mg B/28 ; Poudre lyophilisée pour perfusion IV 40 mg/flacon B/1 flacon — Statut : Actif</w:t>
      </w:r>
    </w:p>
    <w:p>
      <w:pPr>
        <w:pStyle w:val="ListBullet"/>
      </w:pPr>
      <w:r/>
      <w:r>
        <w:rPr>
          <w:b/>
        </w:rPr>
        <w:t>OZOL</w:t>
      </w:r>
      <w:r>
        <w:t xml:space="preserve"> (BIOHDER GROUP) — Gélule à micro-granules gastro-résistants 20 mg — B/15 — Statut : Actif</w:t>
      </w:r>
    </w:p>
    <w:p>
      <w:pPr>
        <w:pStyle w:val="ListBullet"/>
      </w:pPr>
      <w:r/>
      <w:r>
        <w:rPr>
          <w:b/>
        </w:rPr>
        <w:t>PROZOL</w:t>
      </w:r>
      <w:r>
        <w:t xml:space="preserve"> (SAIDAL GROUPE) — Gélule à micro-granules gastro-résistants 20 mg — B/14 — Statut : Actif</w:t>
      </w:r>
    </w:p>
    <w:p>
      <w:pPr>
        <w:pStyle w:val="ListBullet"/>
      </w:pPr>
      <w:r/>
      <w:r>
        <w:rPr>
          <w:b/>
        </w:rPr>
        <w:t>ZIMOR</w:t>
      </w:r>
      <w:r>
        <w:t xml:space="preserve"> (LABORATOIRES MERINAL) — Gélule à micro-granules gastro-résistants 20 mg — B/14 et B/28 — Statut : Actif</w:t>
      </w:r>
    </w:p>
    <w:p>
      <w:pPr>
        <w:pStyle w:val="ListBullet"/>
      </w:pPr>
      <w:r/>
      <w:r>
        <w:rPr>
          <w:b/>
        </w:rPr>
        <w:t>RISEK</w:t>
      </w:r>
      <w:r>
        <w:t xml:space="preserve"> (GULF PHARMACEUTICAL INDUSTRIES — JULPHAR) — Poudre lyophilisée pour solution injectable / perfusion 40 mg/flacon — B/1 flacon — Statut : Actif</w:t>
      </w:r>
    </w:p>
    <w:p>
      <w:pPr>
        <w:pStyle w:val="ListBullet"/>
      </w:pPr>
      <w:r/>
      <w:r>
        <w:rPr>
          <w:b/>
        </w:rPr>
        <w:t>OMED RGO</w:t>
      </w:r>
      <w:r>
        <w:t xml:space="preserve"> (CPCM) — Gélule à micro-granules gastro-résistants 10 mg — B/14 — Statut : Actif</w:t>
      </w:r>
    </w:p>
    <w:p>
      <w:pPr>
        <w:pStyle w:val="ListBullet"/>
      </w:pPr>
      <w:r/>
      <w:r>
        <w:rPr>
          <w:b/>
        </w:rPr>
        <w:t>PROTON</w:t>
      </w:r>
      <w:r>
        <w:t xml:space="preserve"> (PHARMALLIANCE) — Gélule gastro-résistante 40 mg — B/14 et B/28 — Statut : Actif</w:t>
      </w:r>
    </w:p>
    <w:p>
      <w:r/>
      <w:r>
        <w:rPr>
          <w:i/>
        </w:rPr>
        <w:t>Spécialités non renouvelables :</w:t>
      </w:r>
      <w:r/>
    </w:p>
    <w:p>
      <w:pPr>
        <w:pStyle w:val="ListBullet"/>
      </w:pPr>
      <w:r/>
      <w:r>
        <w:rPr>
          <w:b/>
        </w:rPr>
        <w:t>GASEC-20</w:t>
      </w:r>
      <w:r>
        <w:t xml:space="preserve"> (GENERICLAB SARL) — Gélules à microgranules gastro-résistants 20 mg — B/14 — Statut : Non Renouvelable</w:t>
      </w:r>
    </w:p>
    <w:p>
      <w:pPr>
        <w:pStyle w:val="ListBullet"/>
      </w:pPr>
      <w:r/>
      <w:r>
        <w:rPr>
          <w:b/>
        </w:rPr>
        <w:t>LOMAC</w:t>
      </w:r>
      <w:r>
        <w:t xml:space="preserve"> (BIOPHARM) — Gélules à microgranules gastro-résistants 20 mg — Pilulier de 15 — Statut : Non Renouvelable</w:t>
      </w:r>
    </w:p>
    <w:p>
      <w:pPr>
        <w:pStyle w:val="ListBullet"/>
      </w:pPr>
      <w:r/>
      <w:r>
        <w:rPr>
          <w:b/>
        </w:rPr>
        <w:t>OMEPRAZOLE IVAL</w:t>
      </w:r>
      <w:r>
        <w:t xml:space="preserve"> (PHARMA IVAL) — Gélules à microgranules gastro-résistants 20 mg — Pil/14 — Statut : Non Renouvelable</w:t>
      </w:r>
    </w:p>
    <w:p>
      <w:pPr>
        <w:pStyle w:val="ListBullet"/>
      </w:pPr>
      <w:r/>
      <w:r>
        <w:rPr>
          <w:b/>
        </w:rPr>
        <w:t>OMIND</w:t>
      </w:r>
      <w:r>
        <w:t xml:space="preserve"> (GROUPE SANTE) — Gélules à microgranules gastro-résistants 20 mg — B/14 — Statut : Non Renouvelable</w:t>
      </w:r>
    </w:p>
    <w:p>
      <w:pPr>
        <w:pStyle w:val="ListBullet"/>
      </w:pPr>
      <w:r/>
      <w:r>
        <w:rPr>
          <w:b/>
        </w:rPr>
        <w:t>PROTON 20 mg</w:t>
      </w:r>
      <w:r>
        <w:t xml:space="preserve"> (PHARMALLIANCE) — Gélules à microgranules gastro-résistants 20 mg — B/07, B/14, B/28 — Statut : Non Renouvelable</w:t>
      </w:r>
    </w:p>
    <w:p>
      <w:pPr>
        <w:pStyle w:val="ListBullet"/>
      </w:pPr>
      <w:r/>
      <w:r>
        <w:rPr>
          <w:b/>
        </w:rPr>
        <w:t>IPPROTON</w:t>
      </w:r>
      <w:r>
        <w:t xml:space="preserve"> (MEDIS) — Lyophilisat pour solution injectable 40 mg — B/10 flacons — Statut : Non Renouvelable</w:t>
      </w:r>
    </w:p>
    <w:p>
      <w:pPr>
        <w:pStyle w:val="ListBullet"/>
      </w:pPr>
      <w:r/>
      <w:r>
        <w:rPr>
          <w:b/>
        </w:rPr>
        <w:t>LOMAC IV</w:t>
      </w:r>
      <w:r>
        <w:t xml:space="preserve"> (CIPLA LIMITED) — Lyophilisat + solvant pour solution injectable IV 40 mg — B/05 flacons poudre + 05 flacons solvant 10 mL — Statut : Non Renouvelable</w:t>
      </w:r>
    </w:p>
    <w:p>
      <w:pPr>
        <w:pStyle w:val="ListBullet"/>
      </w:pPr>
      <w:r/>
      <w:r>
        <w:rPr>
          <w:b/>
        </w:rPr>
        <w:t>PROTON 10 mg</w:t>
      </w:r>
      <w:r>
        <w:t xml:space="preserve"> (PHARMALLIANCE) — Gélules à microgranules gastro-résistants 10 mg — Fl/28 — Statut : Non Renouvelable</w:t>
      </w:r>
    </w:p>
    <w:p>
      <w:r/>
      <w:r>
        <w:rPr>
          <w:i/>
        </w:rPr>
        <w:t>Spécialités retirées du marché (R) :</w:t>
      </w:r>
      <w:r/>
    </w:p>
    <w:p>
      <w:pPr>
        <w:pStyle w:val="ListBullet"/>
      </w:pPr>
      <w:r/>
      <w:r>
        <w:rPr>
          <w:b/>
        </w:rPr>
        <w:t>OMIZ</w:t>
      </w:r>
      <w:r>
        <w:t xml:space="preserve"> (TABUK PHARMACEUTICAL) — Gélules 20 mg — B/14 — Statut : Retiré (R)</w:t>
      </w:r>
    </w:p>
    <w:p>
      <w:pPr>
        <w:pStyle w:val="ListBullet"/>
      </w:pPr>
      <w:r/>
      <w:r>
        <w:rPr>
          <w:b/>
        </w:rPr>
        <w:t>OPERAL</w:t>
      </w:r>
      <w:r>
        <w:t xml:space="preserve"> (PETRA PHARM) — Gélules 20 mg — B/14 — Statut : Retiré (R)</w:t>
      </w:r>
    </w:p>
    <w:p>
      <w:pPr>
        <w:pStyle w:val="ListBullet"/>
      </w:pPr>
      <w:r/>
      <w:r>
        <w:rPr>
          <w:b/>
        </w:rPr>
        <w:t>OMEPRAL PROMOPHARM</w:t>
      </w:r>
      <w:r>
        <w:t xml:space="preserve"> (PROMOPHARM S.A.) — Gélules à microgranules gastro-résistants 20 mg — B/07, B/14, B/28 — Statut : Retiré (R)</w:t>
      </w:r>
    </w:p>
    <w:p>
      <w:pPr>
        <w:pStyle w:val="ListBullet"/>
      </w:pPr>
      <w:r/>
      <w:r>
        <w:rPr>
          <w:b/>
        </w:rPr>
        <w:t>ESELAN</w:t>
      </w:r>
      <w:r>
        <w:t xml:space="preserve"> (ANFARM HELLAS SA) — Gélules à microgranules gastro-résistants 20 mg — B/14 — Statut : Retiré (R)</w:t>
      </w:r>
    </w:p>
    <w:p>
      <w:pPr>
        <w:pStyle w:val="ListBullet"/>
      </w:pPr>
      <w:r/>
      <w:r>
        <w:rPr>
          <w:b/>
        </w:rPr>
        <w:t>GASTRIMUT</w:t>
      </w:r>
      <w:r>
        <w:t xml:space="preserve"> (NORMON S.A) — Gélules à microgranules gastro-résistants 20 mg — B/14 — Statut : Retiré (R)</w:t>
      </w:r>
    </w:p>
    <w:p>
      <w:pPr>
        <w:pStyle w:val="ListBullet"/>
      </w:pPr>
      <w:r/>
      <w:r>
        <w:rPr>
          <w:b/>
        </w:rPr>
        <w:t>GASTROMAX</w:t>
      </w:r>
      <w:r>
        <w:t xml:space="preserve"> (ABDI IBRAHIM) — Gélules à microgranules gastro-résistants 20 mg — B/14 — Statut : Retiré (R)</w:t>
      </w:r>
    </w:p>
    <w:p>
      <w:pPr>
        <w:pStyle w:val="ListBullet"/>
      </w:pPr>
      <w:r/>
      <w:r>
        <w:rPr>
          <w:b/>
        </w:rPr>
        <w:t>GERTALGIN</w:t>
      </w:r>
      <w:r>
        <w:t xml:space="preserve"> (FARAN SA) — Gélules à microgranules gastro-résistants 20 mg — B/14 — Statut : Retiré (R)</w:t>
      </w:r>
    </w:p>
    <w:p>
      <w:pPr>
        <w:pStyle w:val="ListBullet"/>
      </w:pPr>
      <w:r/>
      <w:r>
        <w:rPr>
          <w:b/>
        </w:rPr>
        <w:t>HYPOSEC</w:t>
      </w:r>
      <w:r>
        <w:t xml:space="preserve"> (RAM PHARMA) — Gélules à microgranules gastro-résistants 20 mg — B/14 — Statut : Retiré (R)</w:t>
      </w:r>
    </w:p>
    <w:p>
      <w:pPr>
        <w:pStyle w:val="ListBullet"/>
      </w:pPr>
      <w:r/>
      <w:r>
        <w:rPr>
          <w:b/>
        </w:rPr>
        <w:t>MOPRAL 20 mg</w:t>
      </w:r>
      <w:r>
        <w:t xml:space="preserve"> (ASTRA) — Gélules à microgranules gastro-résistants 20 mg — B/14 — Statut : Retiré (R)</w:t>
      </w:r>
    </w:p>
    <w:p>
      <w:pPr>
        <w:pStyle w:val="ListBullet"/>
      </w:pPr>
      <w:r/>
      <w:r>
        <w:rPr>
          <w:b/>
        </w:rPr>
        <w:t>OMISEC</w:t>
      </w:r>
      <w:r>
        <w:t xml:space="preserve"> (UNITED PHARMACEUTICAL MANUFACTURING — UPM) — Gélules à microgranules gastro-résistants 20 mg — B/14 — Statut : Retiré (R)</w:t>
      </w:r>
    </w:p>
    <w:p>
      <w:pPr>
        <w:pStyle w:val="ListBullet"/>
      </w:pPr>
      <w:r/>
      <w:r>
        <w:rPr>
          <w:b/>
        </w:rPr>
        <w:t>SANAMIDOL</w:t>
      </w:r>
      <w:r>
        <w:t xml:space="preserve"> (INKEY SA) — Gélules à microgranules gastro-résistants 20 mg — B/14 — Statut : Retiré (R)</w:t>
      </w:r>
    </w:p>
    <w:p>
      <w:pPr>
        <w:pStyle w:val="ListBullet"/>
      </w:pPr>
      <w:r/>
      <w:r>
        <w:rPr>
          <w:b/>
        </w:rPr>
        <w:t>ULCER-CURE</w:t>
      </w:r>
      <w:r>
        <w:t xml:space="preserve"> (EIPICO) — Gélules à microgranules gastro-résistants 20 mg — B/14 — Statut : Retiré (R)</w:t>
      </w:r>
    </w:p>
    <w:p>
      <w:pPr>
        <w:pStyle w:val="ListBullet"/>
      </w:pPr>
      <w:r/>
      <w:r>
        <w:rPr>
          <w:b/>
        </w:rPr>
        <w:t>OMEPRAZOLE BIOREM</w:t>
      </w:r>
      <w:r>
        <w:t xml:space="preserve"> (BIOREM) — Gélules microgranules gastro-résistants 20 mg — B/14 — Statut : Retiré (R)</w:t>
      </w:r>
    </w:p>
    <w:p>
      <w:pPr>
        <w:pStyle w:val="ListBullet"/>
      </w:pPr>
      <w:r/>
      <w:r>
        <w:rPr>
          <w:b/>
        </w:rPr>
        <w:t>AUMEPRAZOL-HISPAL</w:t>
      </w:r>
      <w:r>
        <w:t xml:space="preserve"> (HISPAL PHARMA SPA) — Gélules 20 mg — B/14 — Statut : Retiré (R)</w:t>
      </w:r>
    </w:p>
    <w:p>
      <w:pPr>
        <w:pStyle w:val="ListBullet"/>
      </w:pPr>
      <w:r/>
      <w:r>
        <w:rPr>
          <w:b/>
        </w:rPr>
        <w:t>GASTROPRAL</w:t>
      </w:r>
      <w:r>
        <w:t xml:space="preserve"> (ALGERIE PHARM) — Gélules à microgranules gastro-résistants 20 mg — B/14 — Statut : Retiré (R)</w:t>
      </w:r>
    </w:p>
    <w:p>
      <w:pPr>
        <w:pStyle w:val="ListBullet"/>
      </w:pPr>
      <w:r/>
      <w:r>
        <w:rPr>
          <w:b/>
        </w:rPr>
        <w:t>MOPRAL IV</w:t>
      </w:r>
      <w:r>
        <w:t xml:space="preserve"> (ASTRA) — Lyophilisat + solvant pour usage parentéral IV 40 mg — B/05 — Statut : Retiré (R)</w:t>
      </w:r>
    </w:p>
    <w:p>
      <w:pPr>
        <w:pStyle w:val="ListBullet"/>
      </w:pPr>
      <w:r/>
      <w:r>
        <w:rPr>
          <w:b/>
        </w:rPr>
        <w:t>OPRACIDE comprimés</w:t>
      </w:r>
      <w:r>
        <w:t xml:space="preserve"> (HIKMA PHARMACEUTICALS) — Comprimés 20 mg — B/14 — Statut : Retiré (R)</w:t>
      </w:r>
    </w:p>
    <w:p>
      <w:pPr>
        <w:pStyle w:val="ListBullet"/>
      </w:pPr>
      <w:r/>
      <w:r>
        <w:rPr>
          <w:b/>
        </w:rPr>
        <w:t>MOPRAL 10 mg</w:t>
      </w:r>
      <w:r>
        <w:t xml:space="preserve"> (ASTRA ZENECA) — Gélules à microgranules gastro-résistants 10 mg — B/14 — Statut : Retiré (R)</w:t>
      </w:r>
    </w:p>
    <w:p>
      <w:r/>
      <w:r>
        <w:rPr>
          <w:b/>
        </w:rPr>
        <w:t>Sous-classe et Mécanisme d'action :</w:t>
      </w:r>
      <w:r/>
    </w:p>
    <w:p>
      <w:pPr>
        <w:pStyle w:val="ListBullet"/>
      </w:pPr>
      <w:r/>
      <w:r>
        <w:rPr>
          <w:b/>
        </w:rPr>
        <w:t>Sous-classe :</w:t>
      </w:r>
      <w:r>
        <w:t xml:space="preserve"> Chef de file des Inhibiteurs de la Pompe à Protons (IPP), benzimidazolé substitué, racémique. Anti-ulcéreux de la classe A02BC (Classification ATC).</w:t>
      </w:r>
    </w:p>
    <w:p>
      <w:pPr>
        <w:pStyle w:val="ListBullet"/>
      </w:pPr>
      <w:r/>
      <w:r>
        <w:rPr>
          <w:b/>
        </w:rPr>
        <w:t>Mécanisme d'action :</w:t>
      </w:r>
      <w:r>
        <w:t xml:space="preserve"> L'oméprazole est une prodrogue faiblement basique, inactive à pH physiologique. Elle franchit la membrane canaliculaire des cellules pariétales activées où, à pH &lt; 2, elle subit une protonation suivie d'un réarrangement en </w:t>
      </w:r>
      <w:r>
        <w:rPr>
          <w:b/>
        </w:rPr>
        <w:t>acide sulfénamide</w:t>
      </w:r>
      <w:r>
        <w:t xml:space="preserve">, espèce hautement réactive. Cet intermédiaire covalent se lie à la cystéine-813 (et accessoirement cystéine-892) de la sous-unité α de la H⁺/K⁺-ATPase, bloquant de façon </w:t>
      </w:r>
      <w:r>
        <w:rPr>
          <w:b/>
        </w:rPr>
        <w:t>irréversible</w:t>
      </w:r>
      <w:r>
        <w:t xml:space="preserve"> l'échange H⁺/K⁺ et donc la sécrétion acide. La durée d'action est prolongée (24-72 h) car la récupération de la sécrétion nécessite la néosynthèse enzymatique. L'inhibition porte à la fois sur la sécrétion basale et sur la sécrétion stimulée (alimentaire, histaminique, vagale, gastrinique), ce qui explique l'efficacité sur l'ensemble des presentations cliniques de l'hypersécrétion acide.</w:t>
      </w:r>
    </w:p>
    <w:p>
      <w:r/>
      <w:r>
        <w:rPr>
          <w:b/>
        </w:rPr>
        <w:t>Profil Pharmacologique :</w:t>
      </w:r>
      <w:r/>
    </w:p>
    <w:p>
      <w:pPr>
        <w:pStyle w:val="ListBullet"/>
      </w:pPr>
      <w:r/>
      <w:r>
        <w:rPr>
          <w:b/>
        </w:rPr>
        <w:t>Indications :</w:t>
      </w:r>
      <w:r>
        <w:t xml:space="preserve"> Reflux gastro-œsophagien (RGO) symptomatique et œsophagite érosive ; traitement d'entretien du RGO ; ulcère duodénal et gastrique bénin ; éradication de *Helicobacter pylori* en association (amoxicilline + clarithromycine, ou métronidazole, bismuth) ; syndrome de Zollinger-Ellison ; prévention des ulcères gastriques et duodénaux induits par les AINS chez le patient à risque ; traitement symptomatique du pyrosis et des régurgitations.</w:t>
      </w:r>
    </w:p>
    <w:p>
      <w:pPr>
        <w:pStyle w:val="ListBullet"/>
      </w:pPr>
      <w:r/>
      <w:r>
        <w:rPr>
          <w:b/>
        </w:rPr>
        <w:t>Contre-indications :</w:t>
      </w:r>
      <w:r>
        <w:t xml:space="preserve"> Hypersensibilité à la substance ou aux autres benzimidazolés ; association formelle à l'</w:t>
      </w:r>
      <w:r>
        <w:rPr>
          <w:b/>
        </w:rPr>
        <w:t>atazanavir</w:t>
      </w:r>
      <w:r>
        <w:t xml:space="preserve"> (baisse drastique de son absorption et risque d'échec virologique) ; association àclopidogrel à éviter sauf impossibilité (baisse d'activation du clopidogrel par inhibition compétitive CYP2C19). En pédiatrie, l'administration n'est pas recommandée avant l'âge de 1 an (sauf formes pédiatriques spécifiques pour RGO érosif).</w:t>
      </w:r>
    </w:p>
    <w:p>
      <w:pPr>
        <w:pStyle w:val="ListBullet"/>
      </w:pPr>
      <w:r/>
      <w:r>
        <w:rPr>
          <w:b/>
        </w:rPr>
        <w:t>Effets Indésirables :</w:t>
      </w:r>
      <w:r>
        <w:t xml:space="preserve"> Très fréquents (&gt; 1/10) : céphalées ; fréquents (1/100 à 1/10) : douleurs abdominales, diarrhée, constipation, flatulences, nausées, vomissements ; peu fréquents : augmentation des transaminases, rash, prurit, urticaire, vertiges, paresthésies, somnolence, insomnie ; rares : leucopénie, thrombopénie, hyponatrémie, hypomagnésémie ; très rares : hépatite, encéphalopathie hépatique, érythrodermie bulleuse, syndrome de Stevens-Johnson, nécrolyse épidermique toxique, alopécie, gynécomastie (ralentissement de l'inactivation des androgènes), interstitial néphrite, érythème polymorphe. </w:t>
      </w:r>
      <w:r>
        <w:rPr>
          <w:b/>
        </w:rPr>
        <w:t>Au long cours (&gt; 1 an) :</w:t>
      </w:r>
      <w:r>
        <w:t xml:space="preserve"> hypomagnésémie (risque de tétanie, convulsions, troubles du rythme), carence en vitamine B12 (ralentissement de la libération de B12 liée aux protéines alimentaires), augmentation du risque fracturaire (hanche, rachis, poignet), pneumopathies d'inhalation et infections à *Clostridium difficile*, polypes des glandes fundiques (bénins, réversibles à l'arrêt).</w:t>
      </w:r>
    </w:p>
    <w:p>
      <w:r/>
      <w:r>
        <w:rPr>
          <w:b/>
        </w:rPr>
        <w:t>Prévention et Gestion des Effets Indésirables :</w:t>
      </w:r>
      <w:r/>
    </w:p>
    <w:p>
      <w:pPr>
        <w:pStyle w:val="ListBullet"/>
      </w:pPr>
      <w:r/>
      <w:r>
        <w:rPr>
          <w:b/>
        </w:rPr>
        <w:t>Mesures Préventives :</w:t>
      </w:r>
      <w:r>
        <w:t xml:space="preserve"> Utiliser la </w:t>
      </w:r>
      <w:r>
        <w:rPr>
          <w:b/>
        </w:rPr>
        <w:t>dose minimale efficace</w:t>
      </w:r>
      <w:r>
        <w:t xml:space="preserve"> et la durée la plus courte possible ; réévaluer l'indication au moins une fois par an chez les patients au long cours ; privilégier les cures courtes (4-8 semaines) dans le RGO non compliqué ; surveillance biannuelle de la </w:t>
      </w:r>
      <w:r>
        <w:rPr>
          <w:b/>
        </w:rPr>
        <w:t>magnésémie</w:t>
      </w:r>
      <w:r>
        <w:t xml:space="preserve"> et annuelle de la </w:t>
      </w:r>
      <w:r>
        <w:rPr>
          <w:b/>
        </w:rPr>
        <w:t>vitamine B12</w:t>
      </w:r>
      <w:r>
        <w:t xml:space="preserve"> chez les patients à risque (diabétiques, dénutris, âgés) ; apports calciques et vitamino-D adaptés ; éviter la coprescription systématique avec antiacides (interférence), préférer une dose unique matinale.</w:t>
      </w:r>
    </w:p>
    <w:p>
      <w:pPr>
        <w:pStyle w:val="ListBullet"/>
      </w:pPr>
      <w:r/>
      <w:r>
        <w:rPr>
          <w:b/>
        </w:rPr>
        <w:t>Conduite à Tenir :</w:t>
      </w:r>
      <w:r>
        <w:t xml:space="preserve"> En cas d'hypomagnésémie symptomatique (crampes, tétanie, troubles du rythme), supplémentation orale ou IV et arrêt / remplacement de l'IPP ; en cas de suspicion de carence B12, dosage des taux sériques et substitution parenterale ; en cas d'effets cutanés graves (Stevens-Johnson, NET), arrêt définitif et déclaration de pharmacovigilance ; à l'arrêt d'un traitement prolongé, effectuer un </w:t>
      </w:r>
      <w:r>
        <w:rPr>
          <w:b/>
        </w:rPr>
        <w:t>sevrage progressif</w:t>
      </w:r>
      <w:r>
        <w:t xml:space="preserve"> (diminution de moitié de la dose pendant 4 semaines puis un jour sur deux) pour éviter l'</w:t>
      </w:r>
      <w:r>
        <w:rPr>
          <w:b/>
        </w:rPr>
        <w:t>hypersecrétion rebond</w:t>
      </w:r>
      <w:r>
        <w:t xml:space="preserve"> liée à l'hypergastrinémie compensatrice et à l'hyperplasie des cellules entérochromaffines-like (ECL).</w:t>
      </w:r>
    </w:p>
    <w:p>
      <w:r/>
      <w:r>
        <w:rPr>
          <w:b/>
        </w:rPr>
        <w:t>Interactions Importantes :</w:t>
      </w:r>
      <w:r/>
    </w:p>
    <w:p>
      <w:pPr>
        <w:pStyle w:val="ListBullet"/>
      </w:pPr>
      <w:r/>
      <w:r>
        <w:rPr>
          <w:b/>
        </w:rPr>
        <w:t>Oméprazole + clopidogrel :</w:t>
      </w:r>
      <w:r>
        <w:t xml:space="preserve"> L'oméprazole est un </w:t>
      </w:r>
      <w:r>
        <w:rPr>
          <w:b/>
        </w:rPr>
        <w:t>inhibiteur compétitif du CYP2C19</w:t>
      </w:r>
      <w:r>
        <w:t xml:space="preserve">, enzyme qui convertit le clopidogrel (prodrogue) en son métabolite actif. La coprescription réduit d'environ 40 % l'exposition au métabolite actif du clopidogrel, avec un risque accru d'événements cardiovasculaires (infarctus, thrombose de stent). </w:t>
      </w:r>
      <w:r>
        <w:rPr>
          <w:b/>
        </w:rPr>
        <w:t>Recommandation ANSM/HAS :</w:t>
      </w:r>
      <w:r>
        <w:t xml:space="preserve"> éviter l'association ; préférer la </w:t>
      </w:r>
      <w:r>
        <w:rPr>
          <w:b/>
        </w:rPr>
        <w:t>pantoprazole</w:t>
      </w:r>
      <w:r>
        <w:t xml:space="preserve"> (faible affinité pour CYP2C19).</w:t>
      </w:r>
    </w:p>
    <w:p>
      <w:pPr>
        <w:pStyle w:val="ListBullet"/>
      </w:pPr>
      <w:r/>
      <w:r>
        <w:rPr>
          <w:b/>
        </w:rPr>
        <w:t>Oméprazole + atazanavir (et nelfinavir) :</w:t>
      </w:r>
      <w:r>
        <w:t xml:space="preserve"> L'alcalinisation gastrique et la baisse d'acidité réduisent drastiquement l'absorption des antiprotéases dépendantes du pH. Baisse de 75 % de l'ASC de l'atazanavir. </w:t>
      </w:r>
      <w:r>
        <w:rPr>
          <w:b/>
        </w:rPr>
        <w:t>Contre-indication formelle.</w:t>
      </w:r>
      <w:r/>
    </w:p>
    <w:p>
      <w:pPr>
        <w:pStyle w:val="ListBullet"/>
      </w:pPr>
      <w:r/>
      <w:r>
        <w:rPr>
          <w:b/>
        </w:rPr>
        <w:t>Oméprazole + méthotrexate :</w:t>
      </w:r>
      <w:r>
        <w:t xml:space="preserve"> Baisse de la clairance du méthotrexate (compétition tubulaire rénale et inhibition de la résorption dépendante du pH), avec risque de toxicité médullaire et rénale. Surveillance clinique et biologique stricte, surtout aux doses élevées (≥ 500 mg/m²).</w:t>
      </w:r>
    </w:p>
    <w:p>
      <w:pPr>
        <w:pStyle w:val="ListBullet"/>
      </w:pPr>
      <w:r/>
      <w:r>
        <w:rPr>
          <w:b/>
        </w:rPr>
        <w:t>Oméprazole + digoxine :</w:t>
      </w:r>
      <w:r>
        <w:t xml:space="preserve"> Augmentation modérée de la biodisponibilité de la digoxine (baisse du pH gastrique). Surveillance des taux et de la kaliémie.</w:t>
      </w:r>
    </w:p>
    <w:p>
      <w:pPr>
        <w:pStyle w:val="ListBullet"/>
      </w:pPr>
      <w:r/>
      <w:r>
        <w:rPr>
          <w:b/>
        </w:rPr>
        <w:t>Oméprazole + warfarine, diclofenac, clonazépam, citalopram, fluconazole, voriconazole :</w:t>
      </w:r>
      <w:r>
        <w:t xml:space="preserve"> Tous métabolisés par CYP2C19 → potentialisation possible. Surveillance clinique.</w:t>
      </w:r>
    </w:p>
    <w:p>
      <w:pPr>
        <w:pStyle w:val="ListBullet"/>
      </w:pPr>
      <w:r/>
      <w:r>
        <w:rPr>
          <w:b/>
        </w:rPr>
        <w:t>Oméprazole + antiacides / sucralfate :</w:t>
      </w:r>
      <w:r>
        <w:t xml:space="preserve"> Prise décalée d'au moins 2 heures (les antiacides peuvent réduire l'absorption de l'IPP).</w:t>
      </w:r>
    </w:p>
    <w:p>
      <w:pPr>
        <w:pStyle w:val="ListBullet"/>
      </w:pPr>
      <w:r/>
      <w:r>
        <w:rPr>
          <w:b/>
        </w:rPr>
        <w:t>Oméprazole + kétoconazole, itraconazole, erlotinib, dabigatran, mycophénolate :</w:t>
      </w:r>
      <w:r>
        <w:t xml:space="preserve"> Baisse de leur absorption (pH gastrique élevé). Surveillance de l'efficacité.</w:t>
      </w:r>
    </w:p>
    <w:p>
      <w:r/>
      <w:r>
        <w:rPr>
          <w:b/>
        </w:rPr>
        <w:t>Grossesse et Allaitement :</w:t>
      </w:r>
      <w:r/>
    </w:p>
    <w:p>
      <w:pPr>
        <w:pStyle w:val="ListBullet"/>
      </w:pPr>
      <w:r/>
      <w:r>
        <w:rPr>
          <w:b/>
        </w:rPr>
        <w:t>Grossesse :</w:t>
      </w:r>
      <w:r>
        <w:t xml:space="preserve"> Les données issues des registres et méta-analyses (plusieurs milliers de grossesses exposées) ne montrent pas d'augmentation du risque malformatif. L'oméprazole est l'IPP dont le recul est </w:t>
      </w:r>
      <w:r>
        <w:rPr>
          <w:b/>
        </w:rPr>
        <w:t>le plus important</w:t>
      </w:r>
      <w:r>
        <w:t xml:space="preserve"> et il est considéré comme compatible pendant la grossesse, y compris au 1er trimestre si nécessaire (CRAT, ANSM). À utiliser néanmoins en privilégiant la dose minimale efficace et en évaluant le rapport bénéfice/risque.</w:t>
      </w:r>
    </w:p>
    <w:p>
      <w:pPr>
        <w:pStyle w:val="ListBullet"/>
      </w:pPr>
      <w:r/>
      <w:r>
        <w:rPr>
          <w:b/>
        </w:rPr>
        <w:t>Allaitement :</w:t>
      </w:r>
      <w:r>
        <w:t xml:space="preserve"> L'oméprazole passe dans le lait maternel en faible quantité (ratio lait/plasma ~0,6), sans effet indésirable rapporté chez le nourrisson. L'oméprazole est </w:t>
      </w:r>
      <w:r>
        <w:rPr>
          <w:b/>
        </w:rPr>
        <w:t>compatible avec l'allaitement</w:t>
      </w:r>
      <w:r>
        <w:t xml:space="preserve"> (CRAT, LactMed).</w:t>
      </w:r>
    </w:p>
    <w:p>
      <w:pPr>
        <w:pStyle w:val="ListBullet"/>
      </w:pPr>
      <w:r/>
      <w:r>
        <w:rPr>
          <w:b/>
        </w:rPr>
        <w:t>Précisions :</w:t>
      </w:r>
      <w:r>
        <w:t xml:space="preserve"> En cas de RGO gravidique, recommander en première intention des mesures hygiéno-diététiques (surélévation de la tête de lit, fractionnement des repas, évitement des aliments épicés) et des antiacides locaux (alginate de sodium) avant d'envisager un IPP. L'oméprazole (ou la famotidine en seconde intention) est à privilégier.</w:t>
      </w:r>
    </w:p>
    <w:p>
      <w:r/>
      <w:r>
        <w:rPr>
          <w:b/>
        </w:rPr>
        <w:t>Posologie et Mode d'administration (Standard) :</w:t>
      </w:r>
      <w:r/>
    </w:p>
    <w:p>
      <w:pPr>
        <w:pStyle w:val="ListBullet"/>
      </w:pPr>
      <w:r/>
      <w:r>
        <w:rPr>
          <w:b/>
        </w:rPr>
        <w:t>Adulte :</w:t>
      </w:r>
      <w:r/>
    </w:p>
    <w:p>
      <w:pPr>
        <w:pStyle w:val="ListBullet"/>
      </w:pPr>
      <w:r>
        <w:t>RGO symptomatique : 20 mg une fois par jour pendant 4 semaines (renouvelable 4 semaines si persistance).</w:t>
      </w:r>
    </w:p>
    <w:p>
      <w:pPr>
        <w:pStyle w:val="ListBullet"/>
      </w:pPr>
      <w:r>
        <w:t>Œsophagite érosive : 20 mg/jour pendant 4-8 semaines.</w:t>
      </w:r>
    </w:p>
    <w:p>
      <w:pPr>
        <w:pStyle w:val="ListBullet"/>
      </w:pPr>
      <w:r>
        <w:t>Ulcère duodénal : 20 mg/jour pendant 2-4 semaines.</w:t>
      </w:r>
    </w:p>
    <w:p>
      <w:pPr>
        <w:pStyle w:val="ListBullet"/>
      </w:pPr>
      <w:r>
        <w:t>Ulcère gastrique : 20-40 mg/jour pendant 4-8 semaines.</w:t>
      </w:r>
    </w:p>
    <w:p>
      <w:pPr>
        <w:pStyle w:val="ListBullet"/>
      </w:pPr>
      <w:r>
        <w:t>Éradication *H. pylori* (schéma trithérapie 7-14 jours) : oméprazole 20 mg × 2/jour + amoxicilline 1 g × 2/jour + clarithromycine 500 mg × 2/jour.</w:t>
      </w:r>
    </w:p>
    <w:p>
      <w:pPr>
        <w:pStyle w:val="ListBullet"/>
      </w:pPr>
      <w:r>
        <w:t>Syndrome de Zollinger-Ellison : dose initiale 60 mg/jour, titration jusqu'à 80-120 mg/jour (en prises fractionnées si &gt; 80 mg).</w:t>
      </w:r>
    </w:p>
    <w:p>
      <w:pPr>
        <w:pStyle w:val="ListBullet"/>
      </w:pPr>
      <w:r>
        <w:t>Prévention ulcère AINS : 20 mg/jour.</w:t>
      </w:r>
    </w:p>
    <w:p>
      <w:pPr>
        <w:pStyle w:val="ListBullet"/>
      </w:pPr>
      <w:r>
        <w:t>Forme IV (OPRACIDE, RISEK) : 40 mg en perfusion IV de 20-30 minutes, une fois par jour (renouvelable).</w:t>
      </w:r>
    </w:p>
    <w:p>
      <w:pPr>
        <w:pStyle w:val="ListBullet"/>
      </w:pPr>
      <w:r/>
      <w:r>
        <w:rPr>
          <w:b/>
        </w:rPr>
        <w:t>Enfant &gt; 1 an et ≥ 10 kg :</w:t>
      </w:r>
      <w:r>
        <w:t xml:space="preserve"> RGO érosif : 10 mg/jour (10-20 kg), 20 mg/jour (&gt; 20 kg). Éradication *H. pylori* : 1-2 mg/kg/jour en deux prises (max 40 mg/jour) en association avec antibiothérapie adaptée.</w:t>
      </w:r>
    </w:p>
    <w:p>
      <w:pPr>
        <w:pStyle w:val="ListBullet"/>
      </w:pPr>
      <w:r/>
      <w:r>
        <w:rPr>
          <w:b/>
        </w:rPr>
        <w:t>Durée :</w:t>
      </w:r>
      <w:r>
        <w:t xml:space="preserve"> Cure courte 4-8 semaines pour RGO/ulcère ; 7 à 14 jours pour l'éradication *H. pylori* ; traitement prolongé au cas par cas pour Zollinger-Ellison et prévention AINS.</w:t>
      </w:r>
    </w:p>
    <w:p>
      <w:pPr>
        <w:pStyle w:val="ListBullet"/>
      </w:pPr>
      <w:r/>
      <w:r>
        <w:rPr>
          <w:b/>
        </w:rPr>
        <w:t>Moment de la prise :</w:t>
      </w:r>
      <w:r>
        <w:t xml:space="preserve"> </w:t>
      </w:r>
      <w:r>
        <w:rPr>
          <w:b/>
        </w:rPr>
        <w:t>30 minutes avant le petit-déjeuner</w:t>
      </w:r>
      <w:r>
        <w:t xml:space="preserve"> (la prise alimentaire active la pompe à protons, conditionnant l'activation de l'IPP). Une seconde prise éventuelle se fera avant le dîner.</w:t>
      </w:r>
    </w:p>
    <w:p>
      <w:r/>
      <w:r>
        <w:rPr>
          <w:b/>
        </w:rPr>
        <w:t>Arbitrage et Bénéfices des Formes Galéniques :</w:t>
      </w:r>
      <w:r/>
    </w:p>
    <w:p>
      <w:r>
        <w:t xml:space="preserve">La forme de référence reste la </w:t>
      </w:r>
      <w:r>
        <w:rPr>
          <w:b/>
        </w:rPr>
        <w:t>gélule de microgranules gastro-résistants</w:t>
      </w:r>
      <w:r>
        <w:t xml:space="preserve"> (10, 20 et 40 mg), disponible en Algérie chez une quinzaine de laboratoires concurrents. Le choix entre génériques est principalement guidé par la disponibilité, le coût et l'observance (taille du conditionnement : 14, 28 ou 30 gélules). La forme </w:t>
      </w:r>
      <w:r>
        <w:rPr>
          <w:b/>
        </w:rPr>
        <w:t>IV (lyophilisat 40 mg/flacon, OPRACIDE, RISEK)</w:t>
      </w:r>
      <w:r>
        <w:t xml:space="preserve"> est réservée à l'usage hospitalier (ulcère hémorragique en endoscopie, patient à jeun pré-opératoire, impossibilité de voie orale) ; elle offre une inhibition plus rapide et constante de la sécrétion acide, utile en hématémèse. La forme </w:t>
      </w:r>
      <w:r>
        <w:rPr>
          <w:b/>
        </w:rPr>
        <w:t>orodispersible</w:t>
      </w:r>
      <w:r>
        <w:t xml:space="preserve"> n'est pas disponible en Algérie pour l'oméprazole (à la différence du lansoprazole). Les formes à 10 mg (OMED RGO, Omeprazole Geber 10 mg, Proton 10 mg retiré) sont utiles pour le sevrage progressif ou le traitement d'entretien à dose réduite.</w:t>
      </w:r>
    </w:p>
    <w:p>
      <w:r/>
      <w:r>
        <w:rPr>
          <w:b/>
        </w:rPr>
        <w:t>Instructions et Conseils au Patient :</w:t>
      </w:r>
      <w:r/>
    </w:p>
    <w:p>
      <w:pPr>
        <w:pStyle w:val="ListBullet"/>
      </w:pPr>
      <w:r/>
      <w:r>
        <w:rPr>
          <w:b/>
        </w:rPr>
        <w:t>Communication au comptoir :</w:t>
      </w:r>
      <w:r>
        <w:t xml:space="preserve"> « Prenez votre gélule le matin, </w:t>
      </w:r>
      <w:r>
        <w:rPr>
          <w:b/>
        </w:rPr>
        <w:t>à jeun, 30 minutes avant le petit-déjeuner</w:t>
      </w:r>
      <w:r>
        <w:t xml:space="preserve">, avec un grand verre d'eau. Avalez-la </w:t>
      </w:r>
      <w:r>
        <w:rPr>
          <w:b/>
        </w:rPr>
        <w:t>entière</w:t>
      </w:r>
      <w:r>
        <w:t>, ne l'écrasez pas, ne la croquez pas et ne l'ouvrezz pas. Le traitement dure généralement 4 à 8 semaines ; respectez bien la durée prescrite même si les brûlures disparaissent plus tôt. Ne prolongez pas le traitement sans avis médical. »</w:t>
      </w:r>
    </w:p>
    <w:p>
      <w:pPr>
        <w:pStyle w:val="ListBullet"/>
      </w:pPr>
      <w:r/>
      <w:r>
        <w:rPr>
          <w:b/>
        </w:rPr>
        <w:t>Mode d'utilisation pratique :</w:t>
      </w:r>
      <w:r>
        <w:t xml:space="preserve"> En cas d'oubli, ne pas doubler la dose ; prendre la gélule oubliée dès que possible dans la journée mais toujours avant un repas. Prévenir le médecin en cas d'apparition de crampes musculaires, de fatigue intense, de diarrhée persistante ou de fourmillements. Prévenir tout médecin consulté (notamment cardiologue) de la prise d'oméprazole, surtout si un traitement par clopidogrel est en cours.</w:t>
      </w:r>
    </w:p>
    <w:p>
      <w:r/>
      <w:r>
        <w:rPr>
          <w:b/>
        </w:rPr>
        <w:t>Notes, Règles d'Or &amp; Pièges au Comptoir :</w:t>
      </w:r>
      <w:r/>
    </w:p>
    <w:p>
      <w:pPr>
        <w:pStyle w:val="ListBullet"/>
      </w:pPr>
      <w:r/>
      <w:r>
        <w:rPr>
          <w:b/>
        </w:rPr>
        <w:t>Piège classique n°1 — Oméprazole + clopidogrel :</w:t>
      </w:r>
      <w:r>
        <w:t xml:space="preserve"> Vérifier systématiquement l'ordonnance et alerter le médecin prescripteur ; proposer une substitution par </w:t>
      </w:r>
      <w:r>
        <w:rPr>
          <w:b/>
        </w:rPr>
        <w:t>pantoprazole</w:t>
      </w:r>
      <w:r>
        <w:t xml:space="preserve"> ou ésoméprazole si un IPP est nécessaire.</w:t>
      </w:r>
    </w:p>
    <w:p>
      <w:pPr>
        <w:pStyle w:val="ListBullet"/>
      </w:pPr>
      <w:r/>
      <w:r>
        <w:rPr>
          <w:b/>
        </w:rPr>
        <w:t>Piège classique n°2 — Carence B12 / Mg²⁺ au long cours :</w:t>
      </w:r>
      <w:r>
        <w:t xml:space="preserve"> Patient sous IPP &gt; 1 an avec crampes, fatigue, paresthésies → évoquer carence et demander bilan.</w:t>
      </w:r>
    </w:p>
    <w:p>
      <w:pPr>
        <w:pStyle w:val="ListBullet"/>
      </w:pPr>
      <w:r/>
      <w:r>
        <w:rPr>
          <w:b/>
        </w:rPr>
        <w:t>Piège classique n°3 — Hypersecrétion rebond :</w:t>
      </w:r>
      <w:r>
        <w:t xml:space="preserve"> Ne jamais arrêter brutalement un IPP pris plusieurs mois : diminuer progressivement pour éviter le retour massif des symptômes.</w:t>
      </w:r>
    </w:p>
    <w:p>
      <w:pPr>
        <w:pStyle w:val="ListBullet"/>
      </w:pPr>
      <w:r/>
      <w:r>
        <w:rPr>
          <w:b/>
        </w:rPr>
        <w:t>Règle de prise :</w:t>
      </w:r>
      <w:r>
        <w:t xml:space="preserve"> Unique le matin à jeun 30 min avant le petit-déjeuner.</w:t>
      </w:r>
    </w:p>
    <w:p>
      <w:pPr>
        <w:pStyle w:val="ListBullet"/>
      </w:pPr>
      <w:r/>
      <w:r>
        <w:rPr>
          <w:b/>
        </w:rPr>
        <w:t>Préparation et Conservation :</w:t>
      </w:r>
      <w:r>
        <w:t xml:space="preserve"> Conserver les gélules dans leur emballage d'origine à température &lt; 25 °C, à l'abri de l'humidité. Ne pas transvaser dans pilulier hebdomadaire non adapté (risque d'humidification des microgranules).</w:t>
      </w:r>
    </w:p>
    <w:p>
      <w:pPr>
        <w:pStyle w:val="ListBullet"/>
      </w:pPr>
      <w:r/>
      <w:r>
        <w:rPr>
          <w:b/>
        </w:rPr>
        <w:t>Piège du surdosage / Substitution :</w:t>
      </w:r>
      <w:r>
        <w:t xml:space="preserve"> En Algérie, l'abondance des génériques expose au risque de </w:t>
      </w:r>
      <w:r>
        <w:rPr>
          <w:b/>
        </w:rPr>
        <w:t>double prescription</w:t>
      </w:r>
      <w:r>
        <w:t xml:space="preserve"> (deux spécialités différentes sous deux marques dans la même ordonnance) — toujours vérifier la DCI avant délivrance. Le surdosage aigu est rarement grave (céphalées, confusion, nausées) mais impose un avis médical.</w:t>
      </w:r>
    </w:p>
    <w:p>
      <w:pPr>
        <w:pStyle w:val="Heading3"/>
      </w:pPr>
      <w:r>
        <w:t>2. DCI : Ésoméprazole (Seule)</w:t>
      </w:r>
    </w:p>
    <w:p>
      <w:r/>
      <w:r>
        <w:rPr>
          <w:b/>
        </w:rPr>
        <w:t>Liste des Catégories :</w:t>
      </w:r>
      <w:r>
        <w:t xml:space="preserve"> Inhibiteurs de la Pompe à Protons (IPP) ; Anti-ulcéreux ; Inhibiteur de la H⁺/K⁺-ATPase gastrique ; Liste II ; Prescription médicale obligatoire ; Forme orale et forme injectable.</w:t>
      </w:r>
    </w:p>
    <w:p>
      <w:r>
        <w:t xml:space="preserve">L'ésoméprazole est le </w:t>
      </w:r>
      <w:r>
        <w:rPr>
          <w:b/>
        </w:rPr>
        <w:t>S-isomère</w:t>
      </w:r>
      <w:r>
        <w:t xml:space="preserve"> de l'oméprazole, développé pour offrir une moindre variabilité métabolique et une meilleure exposition. Mis sur le marché sous le nom d'</w:t>
      </w:r>
      <w:r>
        <w:rPr>
          <w:b/>
        </w:rPr>
        <w:t>Inexium®</w:t>
      </w:r>
      <w:r>
        <w:t xml:space="preserve"> (AstraZeneca), il s'est imposé comme l'un des IPP les plus prescrits en Algérie. Sa supériorité pharmacocinétique par rapport à l'oméprazole racémique repose sur une clairance hépatique plus reproductible : le S-isomère est moins métabolisé par CYP2C19 (polymorphe) et davantage par CYP3A4, ce qui réduit la variabilité interindividuelle et expose moins aux interactions avec le clopidogrel (bien qu'une prudence subsiste). Sa biodisponibilité absolue à l'état d'équilibre atteint 90 %, contre 50 % pour l'oméprazole en première dose. Comme tous les IPP, c'est une prodrogue instable en milieu acide nécessitant une formulation gastro-résistante.</w:t>
      </w:r>
    </w:p>
    <w:p>
      <w:r/>
      <w:r>
        <w:rPr>
          <w:b/>
        </w:rPr>
        <w:t>Médicaments disponibles en Algérie (Marques, Laboratoires, Formes et Dosages) :</w:t>
      </w:r>
      <w:r/>
    </w:p>
    <w:p>
      <w:r/>
      <w:r>
        <w:rPr>
          <w:i/>
        </w:rPr>
        <w:t>Spécialités actives :</w:t>
      </w:r>
      <w:r/>
    </w:p>
    <w:p>
      <w:pPr>
        <w:pStyle w:val="ListBullet"/>
      </w:pPr>
      <w:r/>
      <w:r>
        <w:rPr>
          <w:b/>
        </w:rPr>
        <w:t>ANTIUM 20 mg</w:t>
      </w:r>
      <w:r>
        <w:t xml:space="preserve"> (BIOCARE) — Microgranules gastro-résistants en gélule 20 mg — B/14 et B/28 — Statut : Actif</w:t>
      </w:r>
    </w:p>
    <w:p>
      <w:pPr>
        <w:pStyle w:val="ListBullet"/>
      </w:pPr>
      <w:r/>
      <w:r>
        <w:rPr>
          <w:b/>
        </w:rPr>
        <w:t>ESOPROTECT 20 mg</w:t>
      </w:r>
      <w:r>
        <w:t xml:space="preserve"> (SARL EVOLAB) — Microgranules gastro-résistants en gélule 20 mg — B/14 et B/28 — Statut : Actif</w:t>
      </w:r>
    </w:p>
    <w:p>
      <w:pPr>
        <w:pStyle w:val="ListBullet"/>
      </w:pPr>
      <w:r/>
      <w:r>
        <w:rPr>
          <w:b/>
        </w:rPr>
        <w:t>ESORAL 20 mg</w:t>
      </w:r>
      <w:r>
        <w:t xml:space="preserve"> (INPHA-MEDIS) — Microgranules gastro-résistants en gélule 20 mg — B/07, B/16 et B/28 — Statut : Actif</w:t>
      </w:r>
    </w:p>
    <w:p>
      <w:pPr>
        <w:pStyle w:val="ListBullet"/>
      </w:pPr>
      <w:r/>
      <w:r>
        <w:rPr>
          <w:b/>
        </w:rPr>
        <w:t>KENZOPRAZOL 20 mg</w:t>
      </w:r>
      <w:r>
        <w:t xml:space="preserve"> (EL KENDI INDUSTRIE DU MEDICAMENT) — Microgranules gastro-résistants en gélule 20 mg — B/20 — Statut : Actif</w:t>
      </w:r>
    </w:p>
    <w:p>
      <w:pPr>
        <w:pStyle w:val="ListBullet"/>
      </w:pPr>
      <w:r/>
      <w:r>
        <w:rPr>
          <w:b/>
        </w:rPr>
        <w:t>LISINOX 20 mg</w:t>
      </w:r>
      <w:r>
        <w:t xml:space="preserve"> (PHARMALLIANCE) — Comprimé pelliculé gastro-résistant 20 mg — B/07, B/14 et B/28 — Statut : Actif</w:t>
      </w:r>
    </w:p>
    <w:p>
      <w:pPr>
        <w:pStyle w:val="ListBullet"/>
      </w:pPr>
      <w:r/>
      <w:r>
        <w:rPr>
          <w:b/>
        </w:rPr>
        <w:t>MESOPRAL 20 mg</w:t>
      </w:r>
      <w:r>
        <w:t xml:space="preserve"> (GROUPE SAIDAL) — Microgranules gastro-résistants en gélule 20 mg — B/14 — Statut : Actif</w:t>
      </w:r>
    </w:p>
    <w:p>
      <w:pPr>
        <w:pStyle w:val="ListBullet"/>
      </w:pPr>
      <w:r/>
      <w:r>
        <w:rPr>
          <w:b/>
        </w:rPr>
        <w:t>PROXIUM 20 mg</w:t>
      </w:r>
      <w:r>
        <w:t xml:space="preserve"> (NOVAPHARM TRADING) — Microgranules gastro-résistants en gélule 20 mg — Fl/14 — Statut : Actif</w:t>
      </w:r>
    </w:p>
    <w:p>
      <w:pPr>
        <w:pStyle w:val="ListBullet"/>
      </w:pPr>
      <w:r/>
      <w:r>
        <w:rPr>
          <w:b/>
        </w:rPr>
        <w:t>ANTIUM 40 mg</w:t>
      </w:r>
      <w:r>
        <w:t xml:space="preserve"> (BIOCARE) — Microgranules gastro-résistants en gélule 40 mg — B/28 — Statut : Actif</w:t>
      </w:r>
    </w:p>
    <w:p>
      <w:pPr>
        <w:pStyle w:val="ListBullet"/>
      </w:pPr>
      <w:r/>
      <w:r>
        <w:rPr>
          <w:b/>
        </w:rPr>
        <w:t>BIOMAC 40 mg</w:t>
      </w:r>
      <w:r>
        <w:t xml:space="preserve"> (BIOPHARM) — Gélule à micro-granules gastro-résistants 40 mg — B/14 — Statut : Actif</w:t>
      </w:r>
    </w:p>
    <w:p>
      <w:pPr>
        <w:pStyle w:val="ListBullet"/>
      </w:pPr>
      <w:r/>
      <w:r>
        <w:rPr>
          <w:b/>
        </w:rPr>
        <w:t>ESOMAC 40 mg</w:t>
      </w:r>
      <w:r>
        <w:t xml:space="preserve"> (BIOPHARM) — Gélule gastro-résistante 40 mg — Boîte/14 + Boîte/28 — Statut : Actif</w:t>
      </w:r>
    </w:p>
    <w:p>
      <w:pPr>
        <w:pStyle w:val="ListBullet"/>
      </w:pPr>
      <w:r/>
      <w:r>
        <w:rPr>
          <w:b/>
        </w:rPr>
        <w:t>ESOPROTECT 40 mg</w:t>
      </w:r>
      <w:r>
        <w:t xml:space="preserve"> (SARL EVOLAB) — Gélule à granule gastro-résistant 40 mg — Boîte de 14 + Boîte de 28 — Statut : Actif</w:t>
      </w:r>
    </w:p>
    <w:p>
      <w:pPr>
        <w:pStyle w:val="ListBullet"/>
      </w:pPr>
      <w:r/>
      <w:r>
        <w:rPr>
          <w:b/>
        </w:rPr>
        <w:t>ESORAL 40 mg</w:t>
      </w:r>
      <w:r>
        <w:t xml:space="preserve"> (INPHA-MEDIS) — Microgranules gastro-résistants en gélule 40 mg — Boîte de 07, 16 et 28 — Statut : Actif</w:t>
      </w:r>
    </w:p>
    <w:p>
      <w:pPr>
        <w:pStyle w:val="ListBullet"/>
      </w:pPr>
      <w:r/>
      <w:r>
        <w:rPr>
          <w:b/>
        </w:rPr>
        <w:t>LISINOX 40 mg</w:t>
      </w:r>
      <w:r>
        <w:t xml:space="preserve"> (PHARMALLIANCE) — Comprimé pelliculé gastro-résistant 40 mg — B/07, B/14 et B/28 — Statut : Actif</w:t>
      </w:r>
    </w:p>
    <w:p>
      <w:pPr>
        <w:pStyle w:val="ListBullet"/>
      </w:pPr>
      <w:r/>
      <w:r>
        <w:rPr>
          <w:b/>
        </w:rPr>
        <w:t>PROXIUM 40 mg</w:t>
      </w:r>
      <w:r>
        <w:t xml:space="preserve"> (NOVAPHARM TRADING) — Granules en gélule gastro-résistants 40 mg — B/14 et B/28 — Statut : Actif</w:t>
      </w:r>
    </w:p>
    <w:p>
      <w:pPr>
        <w:pStyle w:val="ListBullet"/>
      </w:pPr>
      <w:r/>
      <w:r>
        <w:rPr>
          <w:b/>
        </w:rPr>
        <w:t>INEXIUM IV</w:t>
      </w:r>
      <w:r>
        <w:t xml:space="preserve"> (ASTRAZENECA UK LIMITED) — Poudre pour solution injectable IV ou perfusion 40 mg/flacon — B/10 flacons — Statut : Actif</w:t>
      </w:r>
    </w:p>
    <w:p>
      <w:pPr>
        <w:pStyle w:val="ListBullet"/>
      </w:pPr>
      <w:r/>
      <w:r>
        <w:rPr>
          <w:b/>
        </w:rPr>
        <w:t>INEXIUM 40 mg comprimé</w:t>
      </w:r>
      <w:r>
        <w:t xml:space="preserve"> (ASTRAZENECA UK LIMITED) — Comprimé gastro-résistant 40 mg — B/14 — Statut : Actif</w:t>
      </w:r>
    </w:p>
    <w:p>
      <w:pPr>
        <w:pStyle w:val="ListBullet"/>
      </w:pPr>
      <w:r/>
      <w:r>
        <w:rPr>
          <w:b/>
        </w:rPr>
        <w:t>INEXIUM 20 mg comprimé</w:t>
      </w:r>
      <w:r>
        <w:t xml:space="preserve"> (ASTRAZENECA UK LIMITED) — Comprimé gastro-résistant 20 mg — B/14 — Statut : Actif</w:t>
      </w:r>
    </w:p>
    <w:p>
      <w:r/>
      <w:r>
        <w:rPr>
          <w:i/>
        </w:rPr>
        <w:t>Spécialités non renouvelables :</w:t>
      </w:r>
      <w:r/>
    </w:p>
    <w:p>
      <w:pPr>
        <w:pStyle w:val="ListBullet"/>
      </w:pPr>
      <w:r/>
      <w:r>
        <w:rPr>
          <w:b/>
        </w:rPr>
        <w:t>INEXIUM 40 mg comprimé (ancien conditionnement)</w:t>
      </w:r>
      <w:r>
        <w:t xml:space="preserve"> (ASTRA ZENECA) — Comprimé gastro-résistant 40 mg — B/14 — Statut : Non Renouvelable</w:t>
      </w:r>
    </w:p>
    <w:p>
      <w:r/>
      <w:r>
        <w:rPr>
          <w:b/>
        </w:rPr>
        <w:t>Sous-classe et Mécanisme d'action :</w:t>
      </w:r>
      <w:r/>
    </w:p>
    <w:p>
      <w:pPr>
        <w:pStyle w:val="ListBullet"/>
      </w:pPr>
      <w:r/>
      <w:r>
        <w:rPr>
          <w:b/>
        </w:rPr>
        <w:t>Sous-classe :</w:t>
      </w:r>
      <w:r>
        <w:t xml:space="preserve"> Inhibiteur de la Pompe à Protons, S-isomère de l'oméprazole, premier IPP à avoir été commercialisé sous forme </w:t>
      </w:r>
      <w:r>
        <w:rPr>
          <w:b/>
        </w:rPr>
        <w:t>énantiopur</w:t>
      </w:r>
      <w:r>
        <w:t xml:space="preserve"> (A02BC05). Le passage au S-isomère répond à une logique pharmacocinétique : le R-isomère est largement métabolisé par CYP2C19 (polymorphe) tandis que le S-isomère est préférentiellement métabolisé par CYP3A4, plus reproductible.</w:t>
      </w:r>
    </w:p>
    <w:p>
      <w:pPr>
        <w:pStyle w:val="ListBullet"/>
      </w:pPr>
      <w:r/>
      <w:r>
        <w:rPr>
          <w:b/>
        </w:rPr>
        <w:t>Mécanisme d'action :</w:t>
      </w:r>
      <w:r>
        <w:t xml:space="preserve"> Identique à celui de l'oméprazole. Prodrogue faiblement basique accumulée dans le compartiment canaliculaire acide des cellules pariétales activées → protonation en acide sulfénamide → </w:t>
      </w:r>
      <w:r>
        <w:rPr>
          <w:b/>
        </w:rPr>
        <w:t>liaison covalente irréversible</w:t>
      </w:r>
      <w:r>
        <w:t xml:space="preserve"> sur la cystéine-813 de la sous-unité α de la H⁺/K⁺-ATPase → inhibition complète de l'échange H⁺/K⁺. Inhibition de la sécrétion basale et stimulée, durée d'action 24-72 heures. Le profil d'inhibition acide est légèrement supérieur à celui de l'oméprazole racémique à doses équivalentes (40 mg d'ésoméprazole vs 20 mg d'oméprazole biquotidien), avec maintien du pH intragastrique &gt; 4 pendant 12-15 heures sur 24.</w:t>
      </w:r>
    </w:p>
    <w:p>
      <w:r/>
      <w:r>
        <w:rPr>
          <w:b/>
        </w:rPr>
        <w:t>Profil Pharmacologique :</w:t>
      </w:r>
      <w:r/>
    </w:p>
    <w:p>
      <w:pPr>
        <w:pStyle w:val="ListBullet"/>
      </w:pPr>
      <w:r/>
      <w:r>
        <w:rPr>
          <w:b/>
        </w:rPr>
        <w:t>Indications :</w:t>
      </w:r>
      <w:r>
        <w:t xml:space="preserve"> Reflux gastro-œsophagien symptomatique et œsophagite érosive ; traitement d'entretien et prévention des récidives après cicatrisation d'une œsophagite ; traitement symptomatique du RGO ; ulcère gastro-duodénal associé à la prise d'AINS (traitement curatif) ; prévention des ulcères gastro-duodénaux chez les patients sous AINS à risque ; éradication de *Helicobacter pylori* en association avec antibiothérapie (amoxicilline + clarithromycine) ; syndrome de Zollinger-Ellison ; prévention de la récidive hémorragique après endoscopie pour ulcère hémorragique (forme IV).</w:t>
      </w:r>
    </w:p>
    <w:p>
      <w:pPr>
        <w:pStyle w:val="ListBullet"/>
      </w:pPr>
      <w:r/>
      <w:r>
        <w:rPr>
          <w:b/>
        </w:rPr>
        <w:t>Contre-indications :</w:t>
      </w:r>
      <w:r>
        <w:t xml:space="preserve"> Hypersensibilité aux benzimidazolés substitués ; </w:t>
      </w:r>
      <w:r>
        <w:rPr>
          <w:b/>
        </w:rPr>
        <w:t>association formelle à l'atazanavir</w:t>
      </w:r>
      <w:r>
        <w:t xml:space="preserve"> ; association au nelfinavir déconseillée. L'ésoméprazole, comme l'oméprazole, reste un inhibiteur de CYP2C19 — bien que la prudence soit de mise avec le clopidogrel, l'interaction est moindre qu'avec l'oméprazole.</w:t>
      </w:r>
    </w:p>
    <w:p>
      <w:pPr>
        <w:pStyle w:val="ListBullet"/>
      </w:pPr>
      <w:r/>
      <w:r>
        <w:rPr>
          <w:b/>
        </w:rPr>
        <w:t>Effets Indésirables :</w:t>
      </w:r>
      <w:r>
        <w:t xml:space="preserve"> Profil similaire à celui de l'oméprazole : céphalées, douleurs abdominales, diarrhée, flatulence, nausées (très fréquents). Au long cours : hypomagnésémie, carence B12, augmentation du risque fracturaire, infections à *Clostridium difficile*, polypes des glandes fundiques (réversibles). Décrits également : nephrite interstitielle aiguë (rare mais à évoquer devant toute élévation inexpliquée de la créatinine), éruptions cutanées sévères (Stevens-Johnson, NET — très rares), hypontatrémie, érythème polymorphe, bronchospasme.</w:t>
      </w:r>
    </w:p>
    <w:p>
      <w:r/>
      <w:r>
        <w:rPr>
          <w:b/>
        </w:rPr>
        <w:t>Prévention et Gestion des Effets Indésirables :</w:t>
      </w:r>
      <w:r/>
    </w:p>
    <w:p>
      <w:pPr>
        <w:pStyle w:val="ListBullet"/>
      </w:pPr>
      <w:r/>
      <w:r>
        <w:rPr>
          <w:b/>
        </w:rPr>
        <w:t>Mesures Préventives :</w:t>
      </w:r>
      <w:r>
        <w:t xml:space="preserve"> Réserver l'usage prolongé aux indications validées (RGO sévère, Zollinger-Ellison, prévention AINS chez le patient à risque) ; réévaluer l'indication tous les 6 mois ; surveiller magnésémie, calcémie, vitamine B12 chez les sujets âgés ou à risque ; rechercher la dose minimale efficace ; envisager un sevrage progressif en cas de traitement prolongé. En cas d'association au clopidogrel, préférer un IPP à moindre interaction (pantoprazole).</w:t>
      </w:r>
    </w:p>
    <w:p>
      <w:pPr>
        <w:pStyle w:val="ListBullet"/>
      </w:pPr>
      <w:r/>
      <w:r>
        <w:rPr>
          <w:b/>
        </w:rPr>
        <w:t>Conduite à Tenir :</w:t>
      </w:r>
      <w:r>
        <w:t xml:space="preserve"> Arrêt immédiat en cas d'éruption bulleuse, de dyspnée, d'œdème facial ou d'ictère ; supplémentation en Mg²⁺ et/ou B12 si carence biologique ; sevrage progressif (réduction de 50 % pendant 4 semaines puis un jour sur deux pendant 4 semaines) pour prévenir l'hypersecrétion rebond ; déclaration de pharmacovigilance pour tout effet grave.</w:t>
      </w:r>
    </w:p>
    <w:p>
      <w:r/>
      <w:r>
        <w:rPr>
          <w:b/>
        </w:rPr>
        <w:t>Interactions Importantes :</w:t>
      </w:r>
      <w:r/>
    </w:p>
    <w:p>
      <w:pPr>
        <w:pStyle w:val="ListBullet"/>
      </w:pPr>
      <w:r/>
      <w:r>
        <w:rPr>
          <w:b/>
        </w:rPr>
        <w:t>Ésoméprazole + clopidogrel :</w:t>
      </w:r>
      <w:r>
        <w:t xml:space="preserve"> Moins marquée qu'avec l'oméprazole mais persistante. L'ANSM recommande de privilégier le </w:t>
      </w:r>
      <w:r>
        <w:rPr>
          <w:b/>
        </w:rPr>
        <w:t>pantoprazole</w:t>
      </w:r>
      <w:r>
        <w:t xml:space="preserve"> en cas de coprescription indispensable avec clopidogrel.</w:t>
      </w:r>
    </w:p>
    <w:p>
      <w:pPr>
        <w:pStyle w:val="ListBullet"/>
      </w:pPr>
      <w:r/>
      <w:r>
        <w:rPr>
          <w:b/>
        </w:rPr>
        <w:t>Ésoméprazole + atazanavir :</w:t>
      </w:r>
      <w:r>
        <w:t xml:space="preserve"> Contre-indication formelle (baisse d'absorption de l'antiprotéase).</w:t>
      </w:r>
    </w:p>
    <w:p>
      <w:pPr>
        <w:pStyle w:val="ListBullet"/>
      </w:pPr>
      <w:r/>
      <w:r>
        <w:rPr>
          <w:b/>
        </w:rPr>
        <w:t>Ésoméprazole + méthotrexate :</w:t>
      </w:r>
      <w:r>
        <w:t xml:space="preserve"> Surveillance de la toxicité (surtout doses ≥ 500 mg/m²).</w:t>
      </w:r>
    </w:p>
    <w:p>
      <w:pPr>
        <w:pStyle w:val="ListBullet"/>
      </w:pPr>
      <w:r/>
      <w:r>
        <w:rPr>
          <w:b/>
        </w:rPr>
        <w:t>Ésoméprazole + digoxine, warfarine, citalopram, diazépam, phénytoïne, voriconazole, tacrolimus :</w:t>
      </w:r>
      <w:r>
        <w:t xml:space="preserve"> Métabolisme CYP2C19/CYP3A4 → surveillance clinique et biologique.</w:t>
      </w:r>
    </w:p>
    <w:p>
      <w:pPr>
        <w:pStyle w:val="ListBullet"/>
      </w:pPr>
      <w:r/>
      <w:r>
        <w:rPr>
          <w:b/>
        </w:rPr>
        <w:t>Ésoméprazole + kétoconazole, itraconazole, posaconazole, erlotinib :</w:t>
      </w:r>
      <w:r>
        <w:t xml:space="preserve"> Baisse de l'absorption par augmentation du pH gastrique.</w:t>
      </w:r>
    </w:p>
    <w:p>
      <w:pPr>
        <w:pStyle w:val="ListBullet"/>
      </w:pPr>
      <w:r/>
      <w:r>
        <w:rPr>
          <w:b/>
        </w:rPr>
        <w:t>Ésoméprazole + antiacides :</w:t>
      </w:r>
      <w:r>
        <w:t xml:space="preserve"> Prise à distance de 2 heures.</w:t>
      </w:r>
    </w:p>
    <w:p>
      <w:r/>
      <w:r>
        <w:rPr>
          <w:b/>
        </w:rPr>
        <w:t>Grossesse et Allaitement :</w:t>
      </w:r>
      <w:r/>
    </w:p>
    <w:p>
      <w:pPr>
        <w:pStyle w:val="ListBullet"/>
      </w:pPr>
      <w:r/>
      <w:r>
        <w:rPr>
          <w:b/>
        </w:rPr>
        <w:t>Grossesse :</w:t>
      </w:r>
      <w:r>
        <w:t xml:space="preserve"> Données de registre et méta-analyses disponibles, ne montrant pas d'augmentation du risque malformatif. L'ésoméprazole est considéré comme </w:t>
      </w:r>
      <w:r>
        <w:rPr>
          <w:b/>
        </w:rPr>
        <w:t>compatible pendant la grossesse</w:t>
      </w:r>
      <w:r>
        <w:t xml:space="preserve"> si nécessaire, en privilégiant toutefois l'oméprazole (recul plus important). À éviter au 1er trimestre par prudence si alternative thérapeutique possible (mesures hygiéno-diététiques + antiacides locaux).</w:t>
      </w:r>
    </w:p>
    <w:p>
      <w:pPr>
        <w:pStyle w:val="ListBullet"/>
      </w:pPr>
      <w:r/>
      <w:r>
        <w:rPr>
          <w:b/>
        </w:rPr>
        <w:t>Allaitement :</w:t>
      </w:r>
      <w:r>
        <w:t xml:space="preserve"> L'ésoméprazole passe dans le lait maternel en très faible quantité. Considéré comme compatible avec l'allaitement (CRAT, LactMed), mais l'oméprazole reste l'IPP de première intention chez la femme allaitante en raison du recul supérieur.</w:t>
      </w:r>
    </w:p>
    <w:p>
      <w:pPr>
        <w:pStyle w:val="ListBullet"/>
      </w:pPr>
      <w:r/>
      <w:r>
        <w:rPr>
          <w:b/>
        </w:rPr>
        <w:t>Précisions :</w:t>
      </w:r>
      <w:r>
        <w:t xml:space="preserve"> En cas de RGO gravidique réfractaire aux mesures non pharmacologiques, l'oméprazole est préféré à l'ésoméprazole, mais ce dernier reste utilisable si l'oméprazole est mal toléré ou indisponible.</w:t>
      </w:r>
    </w:p>
    <w:p>
      <w:r/>
      <w:r>
        <w:rPr>
          <w:b/>
        </w:rPr>
        <w:t>Posologie et Mode d'administration (Standard) :</w:t>
      </w:r>
      <w:r/>
    </w:p>
    <w:p>
      <w:pPr>
        <w:pStyle w:val="ListBullet"/>
      </w:pPr>
      <w:r/>
      <w:r>
        <w:rPr>
          <w:b/>
        </w:rPr>
        <w:t>Adulte :</w:t>
      </w:r>
      <w:r/>
    </w:p>
    <w:p>
      <w:pPr>
        <w:pStyle w:val="ListBullet"/>
      </w:pPr>
      <w:r>
        <w:t>RGO symptomatique : 20 mg une fois par jour pendant 4 semaines (renouvelable 4 semaines).</w:t>
      </w:r>
    </w:p>
    <w:p>
      <w:pPr>
        <w:pStyle w:val="ListBullet"/>
      </w:pPr>
      <w:r>
        <w:t>Œsophagite érosive : 40 mg/jour pendant 4 semaines (renouvelable 4 semaines si non cicatrisation).</w:t>
      </w:r>
    </w:p>
    <w:p>
      <w:pPr>
        <w:pStyle w:val="ListBullet"/>
      </w:pPr>
      <w:r>
        <w:t>Traitement d'entretien : 20 mg/jour.</w:t>
      </w:r>
    </w:p>
    <w:p>
      <w:pPr>
        <w:pStyle w:val="ListBullet"/>
      </w:pPr>
      <w:r>
        <w:t>Ulcère duodénal (éradication *H. pylori*) : 20 mg × 2/jour + amoxicilline 1 g × 2/jour + clarithromycine 500 mg × 2/jour pendant 7-14 jours.</w:t>
      </w:r>
    </w:p>
    <w:p>
      <w:pPr>
        <w:pStyle w:val="ListBullet"/>
      </w:pPr>
      <w:r>
        <w:t>Prévention ulcère AINS : 20 mg/jour ; traitement curatif ulcère AINS : 20-40 mg/jour pendant 4-8 semaines.</w:t>
      </w:r>
    </w:p>
    <w:p>
      <w:pPr>
        <w:pStyle w:val="ListBullet"/>
      </w:pPr>
      <w:r>
        <w:t>Zollinger-Ellison : dose initiale 40 mg × 2/jour, titration jusqu'à 80-160 mg/jour.</w:t>
      </w:r>
    </w:p>
    <w:p>
      <w:pPr>
        <w:pStyle w:val="ListBullet"/>
      </w:pPr>
      <w:r>
        <w:t>Prévention récidive hémorragique d'ulcère (forme IV) : 80 mg en bolus IV puis 8 mg/h pendant 72 heures, relayé par voie orale.</w:t>
      </w:r>
    </w:p>
    <w:p>
      <w:pPr>
        <w:pStyle w:val="ListBullet"/>
      </w:pPr>
      <w:r/>
      <w:r>
        <w:rPr>
          <w:b/>
        </w:rPr>
        <w:t>Enfant 1-11 ans :</w:t>
      </w:r>
      <w:r>
        <w:t xml:space="preserve"> RGO érosif : 10 mg/jour (&lt; 20 kg), 10-20 mg/jour (≥ 20 kg).</w:t>
      </w:r>
    </w:p>
    <w:p>
      <w:pPr>
        <w:pStyle w:val="ListBullet"/>
      </w:pPr>
      <w:r/>
      <w:r>
        <w:rPr>
          <w:b/>
        </w:rPr>
        <w:t>Enfant 12-18 ans :</w:t>
      </w:r>
      <w:r>
        <w:t xml:space="preserve"> RGO érosif : 20-40 mg/jour ; éradication *H. pylori* : 20 mg × 2/jour en association.</w:t>
      </w:r>
    </w:p>
    <w:p>
      <w:pPr>
        <w:pStyle w:val="ListBullet"/>
      </w:pPr>
      <w:r/>
      <w:r>
        <w:rPr>
          <w:b/>
        </w:rPr>
        <w:t>Durée :</w:t>
      </w:r>
      <w:r>
        <w:t xml:space="preserve"> Cure courte 4-8 semaines (RGO/ulcère), 7-14 jours (éradication *H. pylori*), prolongée au cas par cas (Zollinger-Ellison, prévention AINS, entretien RGO sévère).</w:t>
      </w:r>
    </w:p>
    <w:p>
      <w:pPr>
        <w:pStyle w:val="ListBullet"/>
      </w:pPr>
      <w:r/>
      <w:r>
        <w:rPr>
          <w:b/>
        </w:rPr>
        <w:t>Moment de la prise :</w:t>
      </w:r>
      <w:r>
        <w:t xml:space="preserve"> </w:t>
      </w:r>
      <w:r>
        <w:rPr>
          <w:b/>
        </w:rPr>
        <w:t>30 minutes avant le petit-déjeuner</w:t>
      </w:r>
      <w:r>
        <w:t>, en une prise unique ; en cas de biquotidien (éradication, Zollinger), seconde prise avant le dîner.</w:t>
      </w:r>
    </w:p>
    <w:p>
      <w:r/>
      <w:r>
        <w:rPr>
          <w:b/>
        </w:rPr>
        <w:t>Arbitrage et Bénéfices des Formes Galéniques :</w:t>
      </w:r>
      <w:r/>
    </w:p>
    <w:p>
      <w:r>
        <w:t xml:space="preserve">L'ésoméprazole est disponible en Algérie en </w:t>
      </w:r>
      <w:r>
        <w:rPr>
          <w:b/>
        </w:rPr>
        <w:t>gélules de microgranules gastro-résistants</w:t>
      </w:r>
      <w:r>
        <w:t xml:space="preserve"> (20 et 40 mg) et en </w:t>
      </w:r>
      <w:r>
        <w:rPr>
          <w:b/>
        </w:rPr>
        <w:t>comprimés pelliculés gastro-résistants</w:t>
      </w:r>
      <w:r>
        <w:t xml:space="preserve"> (LISINOX, INEXIUM). La diversité des conditionnements (B/07, B/14, B/16, B/20, B/28) permet une adaptation fine à la durée de prescription et au profil du patient. La </w:t>
      </w:r>
      <w:r>
        <w:rPr>
          <w:b/>
        </w:rPr>
        <w:t>forme IV (INEXIUM IV 40 mg/flacon)</w:t>
      </w:r>
      <w:r>
        <w:t xml:space="preserve"> est indiquée en milieu hospitalier pour la prévention de la récidive hémorragique après endoscopie pour ulcère hémorragique, protocole validé par les recommandations internationales (ESGE, ACG). Les comprimés pelliculés ont l'avantage d'être plus petits que les gélules de microgranules (meilleure observance chez le sujet âgé ou dysphagique).</w:t>
      </w:r>
    </w:p>
    <w:p>
      <w:r/>
      <w:r>
        <w:rPr>
          <w:b/>
        </w:rPr>
        <w:t>Instructions et Conseils au Patient :</w:t>
      </w:r>
      <w:r/>
    </w:p>
    <w:p>
      <w:pPr>
        <w:pStyle w:val="ListBullet"/>
      </w:pPr>
      <w:r/>
      <w:r>
        <w:rPr>
          <w:b/>
        </w:rPr>
        <w:t>Communication au comptoir :</w:t>
      </w:r>
      <w:r>
        <w:t xml:space="preserve"> « Prenez votre gélule ou comprimé le matin à jeun, 30 minutes avant le petit-déjeuner. Avalez-le entier avec un grand verre d'eau, ne le croquez pas. La durée du traitement est de 4 à 8 semaines en général, ne la dépassez pas sans avis médical. En cas d'oubli, ne doublez pas la dose. Signalez à votre médecin si vous prenez du clopidogrel (Plavix®) ou un traitement antirétroviral. »</w:t>
      </w:r>
    </w:p>
    <w:p>
      <w:pPr>
        <w:pStyle w:val="ListBullet"/>
      </w:pPr>
      <w:r/>
      <w:r>
        <w:rPr>
          <w:b/>
        </w:rPr>
        <w:t>Mode d'utilisation pratique :</w:t>
      </w:r>
      <w:r>
        <w:t xml:space="preserve"> Si le patient ne peut avaler la gélule, ouvrir et disperser les microgranules dans une cuillère à soupe d'eau non gazeuse ou de jus acidulé (orange, pomme), avaler immédiatement sans croquer les granules, rincer le verre et boire. Ne pas utiliser de lait ni de liquide alcalin.</w:t>
      </w:r>
    </w:p>
    <w:p>
      <w:r/>
      <w:r>
        <w:rPr>
          <w:b/>
        </w:rPr>
        <w:t>Notes, Règles d'Or &amp; Pièges au Comptoir :</w:t>
      </w:r>
      <w:r/>
    </w:p>
    <w:p>
      <w:pPr>
        <w:pStyle w:val="ListBullet"/>
      </w:pPr>
      <w:r/>
      <w:r>
        <w:rPr>
          <w:b/>
        </w:rPr>
        <w:t>Piège classique n°1 — Ésoméprazole + clopidogrel :</w:t>
      </w:r>
      <w:r>
        <w:t xml:space="preserve"> Moins problématique qu'avec l'oméprazole, mais l'ANSM recommande tout de même de privilégier le pantoprazole en cas de coprescription indispensable avec clopidogrel.</w:t>
      </w:r>
    </w:p>
    <w:p>
      <w:pPr>
        <w:pStyle w:val="ListBullet"/>
      </w:pPr>
      <w:r/>
      <w:r>
        <w:rPr>
          <w:b/>
        </w:rPr>
        <w:t>Piège classique n°2 — Confusion oméprazole / ésoméprazole à l'officine :</w:t>
      </w:r>
      <w:r>
        <w:t xml:space="preserve"> Les deux DCI ont des noms très proches ; toujours vérifier la DCI exacte et le dosage sur l'ordonnance (en Algérie, de nombreux génériques portent des noms de marque proches : ANTAG, ANTIUM, ESORAL, ESOMAC…).</w:t>
      </w:r>
    </w:p>
    <w:p>
      <w:pPr>
        <w:pStyle w:val="ListBullet"/>
      </w:pPr>
      <w:r/>
      <w:r>
        <w:rPr>
          <w:b/>
        </w:rPr>
        <w:t>Piège classique n°3 — Forme IV à domicile :</w:t>
      </w:r>
      <w:r>
        <w:t xml:space="preserve"> L'ésoméprazole IV ne s'utilise qu'en milieu hospitalier ; à ne jamais délivrer pour usage ambulatoire.</w:t>
      </w:r>
    </w:p>
    <w:p>
      <w:pPr>
        <w:pStyle w:val="ListBullet"/>
      </w:pPr>
      <w:r/>
      <w:r>
        <w:rPr>
          <w:b/>
        </w:rPr>
        <w:t>Règle de prise :</w:t>
      </w:r>
      <w:r>
        <w:t xml:space="preserve"> Unique le matin à jeun, 30 minutes avant le petit-déjeuner.</w:t>
      </w:r>
    </w:p>
    <w:p>
      <w:pPr>
        <w:pStyle w:val="ListBullet"/>
      </w:pPr>
      <w:r/>
      <w:r>
        <w:rPr>
          <w:b/>
        </w:rPr>
        <w:t>Préparation et Conservation :</w:t>
      </w:r>
      <w:r>
        <w:t xml:space="preserve"> À conserver à température &lt; 25 °C, à l'abri de l'humidité et de la lumière.</w:t>
      </w:r>
    </w:p>
    <w:p>
      <w:pPr>
        <w:pStyle w:val="ListBullet"/>
      </w:pPr>
      <w:r/>
      <w:r>
        <w:rPr>
          <w:b/>
        </w:rPr>
        <w:t>Piège du surdosage / Substitution :</w:t>
      </w:r>
      <w:r>
        <w:t xml:space="preserve"> Vérifier systématiquement l'ordonnance pour identifier les éventuelles </w:t>
      </w:r>
      <w:r>
        <w:rPr>
          <w:b/>
        </w:rPr>
        <w:t>doubles prescriptions</w:t>
      </w:r>
      <w:r>
        <w:t xml:space="preserve"> (deux spécialités ésoméprazole dans la même ordonnance, par erreur du prescripteur ou oublis antérieurs). Substitution possible entre génériques mais avec vérification du dosage et de la forme.</w:t>
      </w:r>
    </w:p>
    <w:p>
      <w:pPr>
        <w:pStyle w:val="Heading3"/>
      </w:pPr>
      <w:r>
        <w:t>3. DCI : Lansoprazole (Seule)</w:t>
      </w:r>
    </w:p>
    <w:p>
      <w:r/>
      <w:r>
        <w:rPr>
          <w:b/>
        </w:rPr>
        <w:t>Liste des Catégories :</w:t>
      </w:r>
      <w:r>
        <w:t xml:space="preserve"> Inhibiteurs de la Pompe à Protons (IPP) ; Anti-ulcéreux ; Inhibiteur de la H⁺/K⁺-ATPase gastrique ; Liste II ; Prescription médicale obligatoire ; Forme orale (gélule).</w:t>
      </w:r>
    </w:p>
    <w:p>
      <w:r>
        <w:t xml:space="preserve">Le lansoprazole est le second IPP commercialisé après l'oméprazole (1992). Il se distingue par une </w:t>
      </w:r>
      <w:r>
        <w:rPr>
          <w:b/>
        </w:rPr>
        <w:t>biodisponibilité plus élevée</w:t>
      </w:r>
      <w:r>
        <w:t xml:space="preserve"> (~85 %) et une </w:t>
      </w:r>
      <w:r>
        <w:rPr>
          <w:b/>
        </w:rPr>
        <w:t>demi-vie plasmatique</w:t>
      </w:r>
      <w:r>
        <w:t xml:space="preserve"> de 1,5 heure, similaire aux autres IPP. Il est métabolisé principalement par CYP2C19 et CYP3A4. Le lansoprazole possède une indication historique dans l'éradication de </w:t>
      </w:r>
      <w:r>
        <w:rPr>
          <w:i/>
        </w:rPr>
        <w:t>H. pylori</w:t>
      </w:r>
      <w:r>
        <w:t xml:space="preserve"> et dans le traitement de l'ulcère duodénal et du RGO. Une formulation </w:t>
      </w:r>
      <w:r>
        <w:rPr>
          <w:b/>
        </w:rPr>
        <w:t>orodispersible</w:t>
      </w:r>
      <w:r>
        <w:t xml:space="preserve"> a été développée à l'international (pas toujours disponible en Algérie), utile chez le sujet âgé, dysphagique ou sondé.</w:t>
      </w:r>
    </w:p>
    <w:p>
      <w:r/>
      <w:r>
        <w:rPr>
          <w:b/>
        </w:rPr>
        <w:t>Médicaments disponibles en Algérie (Marques, Laboratoires, Formes et Dosages) :</w:t>
      </w:r>
      <w:r/>
    </w:p>
    <w:p>
      <w:r/>
      <w:r>
        <w:rPr>
          <w:i/>
        </w:rPr>
        <w:t>Spécialités actives :</w:t>
      </w:r>
      <w:r/>
    </w:p>
    <w:p>
      <w:pPr>
        <w:pStyle w:val="ListBullet"/>
      </w:pPr>
      <w:r/>
      <w:r>
        <w:rPr>
          <w:b/>
        </w:rPr>
        <w:t>ESOPROTON</w:t>
      </w:r>
      <w:r>
        <w:t xml:space="preserve"> (PHARMALLIANCE) — Gélule à micro-granules gastro-résistants 30 mg — B/14 — Statut : Actif</w:t>
      </w:r>
    </w:p>
    <w:p>
      <w:pPr>
        <w:pStyle w:val="ListBullet"/>
      </w:pPr>
      <w:r/>
      <w:r>
        <w:rPr>
          <w:b/>
        </w:rPr>
        <w:t>LANSOPOMP 30 mg</w:t>
      </w:r>
      <w:r>
        <w:t xml:space="preserve"> (FRATER-RAZES FORME SECHE) — Gélule gastro-résistante 30 mg — B/30 — Statut : Actif</w:t>
      </w:r>
    </w:p>
    <w:p>
      <w:pPr>
        <w:pStyle w:val="ListBullet"/>
      </w:pPr>
      <w:r/>
      <w:r>
        <w:rPr>
          <w:b/>
        </w:rPr>
        <w:t>LANSOPROTECT</w:t>
      </w:r>
      <w:r>
        <w:t xml:space="preserve"> (SARL EVOLAB) — Gélule à granule gastro-résistant 30 mg — B/14 — Statut : Actif</w:t>
      </w:r>
    </w:p>
    <w:p>
      <w:pPr>
        <w:pStyle w:val="ListBullet"/>
      </w:pPr>
      <w:r/>
      <w:r>
        <w:rPr>
          <w:b/>
        </w:rPr>
        <w:t>LANZOMED</w:t>
      </w:r>
      <w:r>
        <w:t xml:space="preserve"> (WORLD MEDECINE LIMITED) — Gélule 30 mg — B/15 et B/30 — Statut : Actif</w:t>
      </w:r>
    </w:p>
    <w:p>
      <w:pPr>
        <w:pStyle w:val="ListBullet"/>
      </w:pPr>
      <w:r/>
      <w:r>
        <w:rPr>
          <w:b/>
        </w:rPr>
        <w:t>ZOPRA</w:t>
      </w:r>
      <w:r>
        <w:t xml:space="preserve"> (HIKMA PHARMA ALGERIA) — Gélule à micro-granules gastro-résistants 30 mg — B/15 — Statut : Actif</w:t>
      </w:r>
    </w:p>
    <w:p>
      <w:pPr>
        <w:pStyle w:val="ListBullet"/>
      </w:pPr>
      <w:r/>
      <w:r>
        <w:rPr>
          <w:b/>
        </w:rPr>
        <w:t>LANSOPOMP 15 mg</w:t>
      </w:r>
      <w:r>
        <w:t xml:space="preserve"> (FRATER-RAZES FORME SECHE) — Gélules gastro-résistantes 15 mg — B/30 — Statut : Actif</w:t>
      </w:r>
    </w:p>
    <w:p>
      <w:r/>
      <w:r>
        <w:rPr>
          <w:i/>
        </w:rPr>
        <w:t>Spécialités non renouvelables :</w:t>
      </w:r>
      <w:r/>
    </w:p>
    <w:p>
      <w:pPr>
        <w:pStyle w:val="ListBullet"/>
      </w:pPr>
      <w:r/>
      <w:r>
        <w:rPr>
          <w:b/>
        </w:rPr>
        <w:t>LANZOCID</w:t>
      </w:r>
      <w:r>
        <w:t xml:space="preserve"> (GROUPE SAIDAL) — Gélules microgranules gastro-résistants 15 mg — B/14 et B/30 — Statut : Non Renouvelable</w:t>
      </w:r>
    </w:p>
    <w:p>
      <w:r/>
      <w:r>
        <w:rPr>
          <w:i/>
        </w:rPr>
        <w:t>Spécialités retirées du marché (R) :</w:t>
      </w:r>
      <w:r/>
    </w:p>
    <w:p>
      <w:pPr>
        <w:pStyle w:val="ListBullet"/>
      </w:pPr>
      <w:r/>
      <w:r>
        <w:rPr>
          <w:b/>
        </w:rPr>
        <w:t>LANZOREM</w:t>
      </w:r>
      <w:r>
        <w:t xml:space="preserve"> (BIOREM) — Gélules à microgranules gastro-résistants 30 mg — B/15 — Statut : Retiré (R)</w:t>
      </w:r>
    </w:p>
    <w:p>
      <w:r/>
      <w:r>
        <w:rPr>
          <w:b/>
        </w:rPr>
        <w:t>Sous-classe et Mécanisme d'action :</w:t>
      </w:r>
      <w:r/>
    </w:p>
    <w:p>
      <w:pPr>
        <w:pStyle w:val="ListBullet"/>
      </w:pPr>
      <w:r/>
      <w:r>
        <w:rPr>
          <w:b/>
        </w:rPr>
        <w:t>Sous-classe :</w:t>
      </w:r>
      <w:r>
        <w:t xml:space="preserve"> IPP de 2ᵉ génération, dérivé benzimidazolé (A02BC03). Le lansoprazole se distingue de l'oméprazole par une structure substituée sur le noyau pyridyle, qui modifie légèrement son profil PK (biodisponibilité plus élevée, métabolites actifs différents).</w:t>
      </w:r>
    </w:p>
    <w:p>
      <w:pPr>
        <w:pStyle w:val="ListBullet"/>
      </w:pPr>
      <w:r/>
      <w:r>
        <w:rPr>
          <w:b/>
        </w:rPr>
        <w:t>Mécanisme d'action :</w:t>
      </w:r>
      <w:r>
        <w:t xml:space="preserve"> Identique à la classe : prodrogue accumulée dans le canalicule acide → activation par protonation en acide sulfénamide → liaison covalente irréversible à la cystéine-813 (et secondairement cystéine-321, spécifique au lansoprazole) de la sous-unité α de la H⁺/K⁺-ATPase. Inhibition complète de la sécrétion acide basale et stimulée. L'inhibition maximale est atteinte en 2 à 4 heures après la prise, avec une persistance d'action 24-72 heures.</w:t>
      </w:r>
    </w:p>
    <w:p>
      <w:r/>
      <w:r>
        <w:rPr>
          <w:b/>
        </w:rPr>
        <w:t>Profil Pharmacologique :</w:t>
      </w:r>
      <w:r/>
    </w:p>
    <w:p>
      <w:pPr>
        <w:pStyle w:val="ListBullet"/>
      </w:pPr>
      <w:r/>
      <w:r>
        <w:rPr>
          <w:b/>
        </w:rPr>
        <w:t>Indications :</w:t>
      </w:r>
      <w:r>
        <w:t xml:space="preserve"> RGO symptomatique et œsophagite érosive ; traitement d'entretien du RGO ; ulcère duodénal et gastrique ; éradication de *Helicobacter pylori* en trithérapie (amoxicilline + clarithromycine, ou métronidazole + amoxicilline, ou quadrithérapie bismuthée) ; syndrome de Zollinger-Ellison ; prévention des ulcères induits par les AINS.</w:t>
      </w:r>
    </w:p>
    <w:p>
      <w:pPr>
        <w:pStyle w:val="ListBullet"/>
      </w:pPr>
      <w:r/>
      <w:r>
        <w:rPr>
          <w:b/>
        </w:rPr>
        <w:t>Contre-indications :</w:t>
      </w:r>
      <w:r>
        <w:t xml:space="preserve"> Hypersensibilité aux benzimidazolés ; association à l'atazanavir (CI formelle, comme pour tous les IPP) ; prudence en cas d'association avec le clopidogrel (intermédiaire entre oméprazole et pantoprazole).</w:t>
      </w:r>
    </w:p>
    <w:p>
      <w:pPr>
        <w:pStyle w:val="ListBullet"/>
      </w:pPr>
      <w:r/>
      <w:r>
        <w:rPr>
          <w:b/>
        </w:rPr>
        <w:t>Effets Indésirables :</w:t>
      </w:r>
      <w:r>
        <w:t xml:space="preserve"> Profil similaire à celui des autres IPP : céphalées, douleurs abdominales, diarrhée, nausées (très fréquents). Au long cours : hypomagnésémie, fractures ostéoporotiques, infections à *C. difficile*, carence B12, polypes fundiques. Spécifiquement décrits avec le lansoprazole : éosinophilie, augmentation des transaminases, rarement colite microscopique (à évoquer devant toute diarrhée chronique sous lansoprazole).</w:t>
      </w:r>
    </w:p>
    <w:p>
      <w:r/>
      <w:r>
        <w:rPr>
          <w:b/>
        </w:rPr>
        <w:t>Prévention et Gestion des Effets Indésirables :</w:t>
      </w:r>
      <w:r/>
    </w:p>
    <w:p>
      <w:pPr>
        <w:pStyle w:val="ListBullet"/>
      </w:pPr>
      <w:r/>
      <w:r>
        <w:rPr>
          <w:b/>
        </w:rPr>
        <w:t>Mesures Préventives :</w:t>
      </w:r>
      <w:r>
        <w:t xml:space="preserve"> Dose minimale efficace et durée la plus courte possible ; surveillance magnésémie et B12 au long cours ; réévaluation annuelle de l'indication ; arrêt progressif pour éviter le rebond acide. En cas de diarrhée chronique sous lansoprazole (&gt; 4 semaines), évoquer une colite microscopique et arrêter le traitement.</w:t>
      </w:r>
    </w:p>
    <w:p>
      <w:pPr>
        <w:pStyle w:val="ListBullet"/>
      </w:pPr>
      <w:r/>
      <w:r>
        <w:rPr>
          <w:b/>
        </w:rPr>
        <w:t>Conduite à Tenir :</w:t>
      </w:r>
      <w:r>
        <w:t xml:space="preserve"> Arrêt en cas de colite microscopique (substitution par pantoprazole généralement tolérée) ; supplémentation Mg²⁺ et B12 si carence ; sevrage progressif ; déclaration de pharmacovigilance pour tout effet grave.</w:t>
      </w:r>
    </w:p>
    <w:p>
      <w:r/>
      <w:r>
        <w:rPr>
          <w:b/>
        </w:rPr>
        <w:t>Interactions Importantes :</w:t>
      </w:r>
      <w:r/>
    </w:p>
    <w:p>
      <w:pPr>
        <w:pStyle w:val="ListBullet"/>
      </w:pPr>
      <w:r/>
      <w:r>
        <w:rPr>
          <w:b/>
        </w:rPr>
        <w:t>Lansoprazole + clopidogrel :</w:t>
      </w:r>
      <w:r>
        <w:t xml:space="preserve"> Inhibition modérée de CYP2C19 (intermédiaire entre oméprazole et pantoprazole). Préférer le pantoprazole en cas d'association indispensable.</w:t>
      </w:r>
    </w:p>
    <w:p>
      <w:pPr>
        <w:pStyle w:val="ListBullet"/>
      </w:pPr>
      <w:r/>
      <w:r>
        <w:rPr>
          <w:b/>
        </w:rPr>
        <w:t>Lansoprazole + atazanavir / nelfinavir :</w:t>
      </w:r>
      <w:r>
        <w:t xml:space="preserve"> Contre-indication formelle (baisse d'absorption).</w:t>
      </w:r>
    </w:p>
    <w:p>
      <w:pPr>
        <w:pStyle w:val="ListBullet"/>
      </w:pPr>
      <w:r/>
      <w:r>
        <w:rPr>
          <w:b/>
        </w:rPr>
        <w:t>Lansoprazole + méthotrexate :</w:t>
      </w:r>
      <w:r>
        <w:t xml:space="preserve"> Surveillance (baisse de clairance).</w:t>
      </w:r>
    </w:p>
    <w:p>
      <w:pPr>
        <w:pStyle w:val="ListBullet"/>
      </w:pPr>
      <w:r/>
      <w:r>
        <w:rPr>
          <w:b/>
        </w:rPr>
        <w:t>Lansoprazole + théophylline, warfarine, diazépam, phénytoïne, tacrolimus :</w:t>
      </w:r>
      <w:r>
        <w:t xml:space="preserve"> Métabolisme CYP2C19/CYP3A4 → surveillance clinique et biologique.</w:t>
      </w:r>
    </w:p>
    <w:p>
      <w:pPr>
        <w:pStyle w:val="ListBullet"/>
      </w:pPr>
      <w:r/>
      <w:r>
        <w:rPr>
          <w:b/>
        </w:rPr>
        <w:t>Lansoprazole + sucralfate, antiacides :</w:t>
      </w:r>
      <w:r>
        <w:t xml:space="preserve"> Prise à distance d'au moins 2 heures.</w:t>
      </w:r>
    </w:p>
    <w:p>
      <w:pPr>
        <w:pStyle w:val="ListBullet"/>
      </w:pPr>
      <w:r/>
      <w:r>
        <w:rPr>
          <w:b/>
        </w:rPr>
        <w:t>Lansoprazole + kétoconazole, itraconazole, erlotinib, dabigatran, mycophénolate :</w:t>
      </w:r>
      <w:r>
        <w:t xml:space="preserve"> Baisse de leur absorption (pH gastrique élevé).</w:t>
      </w:r>
    </w:p>
    <w:p>
      <w:r/>
      <w:r>
        <w:rPr>
          <w:b/>
        </w:rPr>
        <w:t>Grossesse et Allaitement :</w:t>
      </w:r>
      <w:r/>
    </w:p>
    <w:p>
      <w:pPr>
        <w:pStyle w:val="ListBullet"/>
      </w:pPr>
      <w:r/>
      <w:r>
        <w:rPr>
          <w:b/>
        </w:rPr>
        <w:t>Grossesse :</w:t>
      </w:r>
      <w:r>
        <w:t xml:space="preserve"> Données animales et humaines limitées mais rassurantes. Considéré comme compatible pendant la grossesse si nécessaire, mais l'oméprazole (recul supérieur) reste l'IPP de première intention. À éviter au 1er trimestre par prudence si alternative thérapeutique possible.</w:t>
      </w:r>
    </w:p>
    <w:p>
      <w:pPr>
        <w:pStyle w:val="ListBullet"/>
      </w:pPr>
      <w:r/>
      <w:r>
        <w:rPr>
          <w:b/>
        </w:rPr>
        <w:t>Allaitement :</w:t>
      </w:r>
      <w:r>
        <w:t xml:space="preserve"> Le lansoprazole passe dans le lait maternel ; le risque pour le nourrisson ne peut être exclu. Préférer l'oméprazole chez la femme allaitante.</w:t>
      </w:r>
    </w:p>
    <w:p>
      <w:pPr>
        <w:pStyle w:val="ListBullet"/>
      </w:pPr>
      <w:r/>
      <w:r>
        <w:rPr>
          <w:b/>
        </w:rPr>
        <w:t>Précisions :</w:t>
      </w:r>
      <w:r>
        <w:t xml:space="preserve"> En cas de RGO gravidique réfractaire, l'oméprazole est préféré ; le lansoprazole ne s'utilise chez la femme enceinte qu'en seconde intention.</w:t>
      </w:r>
    </w:p>
    <w:p>
      <w:r/>
      <w:r>
        <w:rPr>
          <w:b/>
        </w:rPr>
        <w:t>Posologie et Mode d'administration (Standard) :</w:t>
      </w:r>
      <w:r/>
    </w:p>
    <w:p>
      <w:pPr>
        <w:pStyle w:val="ListBullet"/>
      </w:pPr>
      <w:r/>
      <w:r>
        <w:rPr>
          <w:b/>
        </w:rPr>
        <w:t>Adulte :</w:t>
      </w:r>
      <w:r/>
    </w:p>
    <w:p>
      <w:pPr>
        <w:pStyle w:val="ListBullet"/>
      </w:pPr>
      <w:r>
        <w:t>RGO symptomatique : 15-30 mg une fois par jour pendant 4 semaines.</w:t>
      </w:r>
    </w:p>
    <w:p>
      <w:pPr>
        <w:pStyle w:val="ListBullet"/>
      </w:pPr>
      <w:r>
        <w:t>Œsophagite érosive : 30 mg/jour pendant 4-8 semaines.</w:t>
      </w:r>
    </w:p>
    <w:p>
      <w:pPr>
        <w:pStyle w:val="ListBullet"/>
      </w:pPr>
      <w:r>
        <w:t>Ulcère duodénal : 30 mg/jour pendant 2-4 semaines.</w:t>
      </w:r>
    </w:p>
    <w:p>
      <w:pPr>
        <w:pStyle w:val="ListBullet"/>
      </w:pPr>
      <w:r>
        <w:t>Ulcère gastrique : 30 mg/jour pendant 4-8 semaines.</w:t>
      </w:r>
    </w:p>
    <w:p>
      <w:pPr>
        <w:pStyle w:val="ListBullet"/>
      </w:pPr>
      <w:r>
        <w:t>Éradication *H. pylori* : lansoprazole 30 mg × 2/jour + amoxicilline 1 g × 2/jour + clarithromycine 500 mg × 2/jour pendant 7-14 jours.</w:t>
      </w:r>
    </w:p>
    <w:p>
      <w:pPr>
        <w:pStyle w:val="ListBullet"/>
      </w:pPr>
      <w:r>
        <w:t>Prévention ulcère AINS : 15-30 mg/jour.</w:t>
      </w:r>
    </w:p>
    <w:p>
      <w:pPr>
        <w:pStyle w:val="ListBullet"/>
      </w:pPr>
      <w:r>
        <w:t>Zollinger-Ellison : dose initiale 60 mg/jour, titration jusqu'à 120 mg/jour.</w:t>
      </w:r>
    </w:p>
    <w:p>
      <w:pPr>
        <w:pStyle w:val="ListBullet"/>
      </w:pPr>
      <w:r/>
      <w:r>
        <w:rPr>
          <w:b/>
        </w:rPr>
        <w:t>Enfant &gt; 1 an et ≥ 10 kg :</w:t>
      </w:r>
      <w:r>
        <w:t xml:space="preserve"> RGO érosif : 15 mg/jour (10-30 kg), 30 mg/jour (&gt; 30 kg). Éradication *H. pylori* : 1-2 mg/kg/jour en deux prises (max 30 mg × 2/jour).</w:t>
      </w:r>
    </w:p>
    <w:p>
      <w:pPr>
        <w:pStyle w:val="ListBullet"/>
      </w:pPr>
      <w:r/>
      <w:r>
        <w:rPr>
          <w:b/>
        </w:rPr>
        <w:t>Durée :</w:t>
      </w:r>
      <w:r>
        <w:t xml:space="preserve"> Cure courte 4-8 semaines (RGO/ulcère), 7-14 jours (éradication *H. pylori*), prolongée au cas par cas.</w:t>
      </w:r>
    </w:p>
    <w:p>
      <w:pPr>
        <w:pStyle w:val="ListBullet"/>
      </w:pPr>
      <w:r/>
      <w:r>
        <w:rPr>
          <w:b/>
        </w:rPr>
        <w:t>Moment de la prise :</w:t>
      </w:r>
      <w:r>
        <w:t xml:space="preserve"> </w:t>
      </w:r>
      <w:r>
        <w:rPr>
          <w:b/>
        </w:rPr>
        <w:t>30 minutes avant le petit-déjeuner</w:t>
      </w:r>
      <w:r>
        <w:t>, en une prise unique ; en cas de biquotidien (éradication, Zollinger), seconde prise avant le dîner.</w:t>
      </w:r>
    </w:p>
    <w:p>
      <w:r/>
      <w:r>
        <w:rPr>
          <w:b/>
        </w:rPr>
        <w:t>Arbitrage et Bénéfices des Formes Galéniques :</w:t>
      </w:r>
      <w:r/>
    </w:p>
    <w:p>
      <w:r>
        <w:t xml:space="preserve">Le lansoprazole est disponible en gélules de microgranules gastro-résistants à 15 et 30 mg. La forme </w:t>
      </w:r>
      <w:r>
        <w:rPr>
          <w:b/>
        </w:rPr>
        <w:t>15 mg</w:t>
      </w:r>
      <w:r>
        <w:t xml:space="preserve"> est utile pour le traitement d'entretien du RGO à dose réduite et pour le sevrage progressif. Les conditionnements varient (B/14, B/15, B/30) selon les laboratoires, permettant une adaptation à la durée de prescription. À l'international, le lansoprazole existe en </w:t>
      </w:r>
      <w:r>
        <w:rPr>
          <w:b/>
        </w:rPr>
        <w:t>comprimés orodispersibles</w:t>
      </w:r>
      <w:r>
        <w:t xml:space="preserve"> (Fastroff®, Prevacid® Solutab), particulièrement utiles chez le sujet âgé, dysphagique ou sondé ; cette forme n'est pas disponible en Algérie à ce jour.</w:t>
      </w:r>
    </w:p>
    <w:p>
      <w:r/>
      <w:r>
        <w:rPr>
          <w:b/>
        </w:rPr>
        <w:t>Instructions et Conseils au Patient :</w:t>
      </w:r>
      <w:r/>
    </w:p>
    <w:p>
      <w:pPr>
        <w:pStyle w:val="ListBullet"/>
      </w:pPr>
      <w:r/>
      <w:r>
        <w:rPr>
          <w:b/>
        </w:rPr>
        <w:t>Communication au comptoir :</w:t>
      </w:r>
      <w:r>
        <w:t xml:space="preserve"> « Prenez votre gélule le matin à jeun, 30 minutes avant le petit-déjeuner, avec un grand verre d'eau. Avalez-la entière, ne l'écrasez pas. La durée du traitement est généralement de 4 à 8 semaines ; respectez bien la durée prescrite. Signalez à votre médecin tout médicament anticoagulant ou antiagrégant que vous prenez. »</w:t>
      </w:r>
    </w:p>
    <w:p>
      <w:pPr>
        <w:pStyle w:val="ListBullet"/>
      </w:pPr>
      <w:r/>
      <w:r>
        <w:rPr>
          <w:b/>
        </w:rPr>
        <w:t>Mode d'utilisation pratique :</w:t>
      </w:r>
      <w:r>
        <w:t xml:space="preserve"> En cas d'oubli, ne pas doubler la dose ; prendre la gélule oubliée dès que possible dans la journée, mais toujours avant un repas. Si le patient ne peut avaler la gélule, ouvrir et disperser les microgranules dans une cuillère à soupe de jus de pomme ou orange (acidulé), avaler immédiatement sans croquer.</w:t>
      </w:r>
    </w:p>
    <w:p>
      <w:r/>
      <w:r>
        <w:rPr>
          <w:b/>
        </w:rPr>
        <w:t>Notes, Règles d'Or &amp; Pièges au Comptoir :</w:t>
      </w:r>
      <w:r/>
    </w:p>
    <w:p>
      <w:pPr>
        <w:pStyle w:val="ListBullet"/>
      </w:pPr>
      <w:r/>
      <w:r>
        <w:rPr>
          <w:b/>
        </w:rPr>
        <w:t>Piège classique n°1 — Colite microscopique :</w:t>
      </w:r>
      <w:r>
        <w:t xml:space="preserve"> Le lansoprazole est l'IPP le plus souvent impliqué dans les colites microscopiques (colite lymphocytaire ou collagène). Évoquer ce diagnostic devant toute diarrhée chronique aqueuse persistante sous lansoprazole.</w:t>
      </w:r>
    </w:p>
    <w:p>
      <w:pPr>
        <w:pStyle w:val="ListBullet"/>
      </w:pPr>
      <w:r/>
      <w:r>
        <w:rPr>
          <w:b/>
        </w:rPr>
        <w:t>Piège classique n°2 — Lansoprazole + clopidogrel :</w:t>
      </w:r>
      <w:r>
        <w:t xml:space="preserve"> Préférer le pantoprazole.</w:t>
      </w:r>
    </w:p>
    <w:p>
      <w:pPr>
        <w:pStyle w:val="ListBullet"/>
      </w:pPr>
      <w:r/>
      <w:r>
        <w:rPr>
          <w:b/>
        </w:rPr>
        <w:t>Piège classique n°3 — Confusion 15 mg / 30 mg :</w:t>
      </w:r>
      <w:r>
        <w:t xml:space="preserve"> Vérifier systématiquement le dosage prescrit.</w:t>
      </w:r>
    </w:p>
    <w:p>
      <w:pPr>
        <w:pStyle w:val="ListBullet"/>
      </w:pPr>
      <w:r/>
      <w:r>
        <w:rPr>
          <w:b/>
        </w:rPr>
        <w:t>Règle de prise :</w:t>
      </w:r>
      <w:r>
        <w:t xml:space="preserve"> Unique le matin à jeun, 30 minutes avant le petit-déjeuner.</w:t>
      </w:r>
    </w:p>
    <w:p>
      <w:pPr>
        <w:pStyle w:val="ListBullet"/>
      </w:pPr>
      <w:r/>
      <w:r>
        <w:rPr>
          <w:b/>
        </w:rPr>
        <w:t>Préparation et Conservation :</w:t>
      </w:r>
      <w:r>
        <w:t xml:space="preserve"> À conserver à température &lt; 25 °C, à l'abri de l'humidité et de la lumière. Ne pas transvaser dans pilulier non adapté.</w:t>
      </w:r>
    </w:p>
    <w:p>
      <w:pPr>
        <w:pStyle w:val="ListBullet"/>
      </w:pPr>
      <w:r/>
      <w:r>
        <w:rPr>
          <w:b/>
        </w:rPr>
        <w:t>Piège du surdosage / Substitution :</w:t>
      </w:r>
      <w:r>
        <w:t xml:space="preserve"> Substitution possible entre génériques avec vérification du dosage et de la forme. Pas d'équivalence stricte avec l'oméprazole (30 mg de lansoprazole ≈ 20-40 mg d'oméprazole).</w:t>
      </w:r>
    </w:p>
    <w:p>
      <w:pPr>
        <w:pStyle w:val="Heading3"/>
      </w:pPr>
      <w:r>
        <w:t>4. DCI : Pantoprazole (Seule)</w:t>
      </w:r>
    </w:p>
    <w:p>
      <w:r/>
      <w:r>
        <w:rPr>
          <w:b/>
        </w:rPr>
        <w:t>Liste des Catégories :</w:t>
      </w:r>
      <w:r>
        <w:t xml:space="preserve"> Inhibiteurs de la Pompe à Protons (IPP) ; Anti-ulcéreux ; Inhibiteur de la H⁺/K⁺-ATPase gastrique ; </w:t>
      </w:r>
      <w:r>
        <w:rPr>
          <w:b/>
        </w:rPr>
        <w:t>Liste I</w:t>
      </w:r>
      <w:r>
        <w:t xml:space="preserve"> (20 mg POTONEX) et Liste II (40 mg) ; Prescription médicale obligatoire.</w:t>
      </w:r>
    </w:p>
    <w:p>
      <w:r>
        <w:t xml:space="preserve">Le pantoprazole est l'IPP de </w:t>
      </w:r>
      <w:r>
        <w:rPr>
          <w:b/>
        </w:rPr>
        <w:t>3ᵉ génération</w:t>
      </w:r>
      <w:r>
        <w:t xml:space="preserve">, commercialisé depuis 1994. Il se distingue des autres IPP par une </w:t>
      </w:r>
      <w:r>
        <w:rPr>
          <w:b/>
        </w:rPr>
        <w:t>métabolisation préférentielle par CYP3A4</w:t>
      </w:r>
      <w:r>
        <w:t xml:space="preserve"> (et accessoirement CYP2C19), ce qui le rend </w:t>
      </w:r>
      <w:r>
        <w:rPr>
          <w:b/>
        </w:rPr>
        <w:t>particulièrement adapté aux patients sous clopidogrel</w:t>
      </w:r>
      <w:r>
        <w:t xml:space="preserve"> et aux polymédications. C'est l'IPP de choix chez le patient coronarien ou porteur de stent. Sa biodisponibilité est de 77 % (stable, non affectée par la prise alimentaire répétée). Le pantoprazole présente également une affinité plus spécifique pour la cystéine-813 (et non la cystéine-321 pour le lansoprazole ou la cystéine-892 pour l'oméprazole), ce qui pourrait expliquer un profil de tolérance légèrement différent.</w:t>
      </w:r>
    </w:p>
    <w:p>
      <w:r/>
      <w:r>
        <w:rPr>
          <w:b/>
        </w:rPr>
        <w:t>Médicaments disponibles en Algérie (Marques, Laboratoires, Formes et Dosages) :</w:t>
      </w:r>
      <w:r/>
    </w:p>
    <w:p>
      <w:r/>
      <w:r>
        <w:rPr>
          <w:i/>
        </w:rPr>
        <w:t>Spécialités actives :</w:t>
      </w:r>
      <w:r/>
    </w:p>
    <w:p>
      <w:pPr>
        <w:pStyle w:val="ListBullet"/>
      </w:pPr>
      <w:r/>
      <w:r>
        <w:rPr>
          <w:b/>
        </w:rPr>
        <w:t>POTONEX 20 mg</w:t>
      </w:r>
      <w:r>
        <w:t xml:space="preserve"> (ABDI IBRAHIM REMEDE PHARMA) — Comprimé enrobé gastro-résistant 20 mg — B/14 — Statut : Actif — </w:t>
      </w:r>
      <w:r>
        <w:rPr>
          <w:b/>
        </w:rPr>
        <w:t>Liste I</w:t>
      </w:r>
      <w:r/>
    </w:p>
    <w:p>
      <w:r/>
      <w:r>
        <w:rPr>
          <w:i/>
        </w:rPr>
        <w:t>Spécialités non renouvelables :</w:t>
      </w:r>
      <w:r/>
    </w:p>
    <w:p>
      <w:pPr>
        <w:pStyle w:val="ListBullet"/>
      </w:pPr>
      <w:r/>
      <w:r>
        <w:rPr>
          <w:b/>
        </w:rPr>
        <w:t>RAZON</w:t>
      </w:r>
      <w:r>
        <w:t xml:space="preserve"> (JORDANIAN PHARMACEUTICAL MANUFACTURING Co LTD — JPM) — Comprimé enrobé gastro-résistant 40 mg — B/14 — Statut : Non Renouvelable — Liste II</w:t>
      </w:r>
    </w:p>
    <w:p>
      <w:pPr>
        <w:pStyle w:val="ListBullet"/>
      </w:pPr>
      <w:r/>
      <w:r>
        <w:rPr>
          <w:b/>
        </w:rPr>
        <w:t>PANTODAR</w:t>
      </w:r>
      <w:r>
        <w:t xml:space="preserve"> (DAR AL DAWA) — Comprimé gastro-résistant 40 mg — B/14 — Statut : Non Renouvelable — Liste II</w:t>
      </w:r>
    </w:p>
    <w:p>
      <w:pPr>
        <w:pStyle w:val="ListBullet"/>
      </w:pPr>
      <w:r/>
      <w:r>
        <w:rPr>
          <w:b/>
        </w:rPr>
        <w:t>POTONEX 40 mg</w:t>
      </w:r>
      <w:r>
        <w:t xml:space="preserve"> (ABDI IBRAHIM ILAÇ SANAYI VE TICARET A.Ş) — Comprimé enrobé gastro-résistant 40 mg — B/14 et B/28 — Statut : Non Renouvelable — Liste II</w:t>
      </w:r>
    </w:p>
    <w:p>
      <w:pPr>
        <w:pStyle w:val="ListBullet"/>
      </w:pPr>
      <w:r/>
      <w:r>
        <w:rPr>
          <w:b/>
        </w:rPr>
        <w:t>PANOP</w:t>
      </w:r>
      <w:r>
        <w:t xml:space="preserve"> (GROUPE SANTE) — Gélules à microgranules gastro-résistants 40 mg — Pilulier/14 et Pilulier/28 — Statut : Non Renouvelable — Liste II</w:t>
      </w:r>
    </w:p>
    <w:p>
      <w:r/>
      <w:r>
        <w:rPr>
          <w:b/>
        </w:rPr>
        <w:t>Sous-classe et Mécanisme d'action :</w:t>
      </w:r>
      <w:r/>
    </w:p>
    <w:p>
      <w:pPr>
        <w:pStyle w:val="ListBullet"/>
      </w:pPr>
      <w:r/>
      <w:r>
        <w:rPr>
          <w:b/>
        </w:rPr>
        <w:t>Sous-classe :</w:t>
      </w:r>
      <w:r>
        <w:t xml:space="preserve"> IPP de 3ᵉ génération, dérivé benzimidazolé (A02BC02). Le pantoprazole se distingue par son métabolisme principalement CYP3A4-dépendant, ce qui le rend moins sujet aux interactions métaboliques par CYP2C19 (notamment clopidogrel) que l'oméprazole ou l'ésoméprazole.</w:t>
      </w:r>
    </w:p>
    <w:p>
      <w:pPr>
        <w:pStyle w:val="ListBullet"/>
      </w:pPr>
      <w:r/>
      <w:r>
        <w:rPr>
          <w:b/>
        </w:rPr>
        <w:t>Mécanisme d'action :</w:t>
      </w:r>
      <w:r>
        <w:t xml:space="preserve"> Identique à la classe : prodrogue accumulée dans le canalicule acide → activation par protonation en acide sulfénamide → </w:t>
      </w:r>
      <w:r>
        <w:rPr>
          <w:b/>
        </w:rPr>
        <w:t>liaison covalente irréversible</w:t>
      </w:r>
      <w:r>
        <w:t xml:space="preserve"> sur la </w:t>
      </w:r>
      <w:r>
        <w:rPr>
          <w:b/>
        </w:rPr>
        <w:t>cystéine-813</w:t>
      </w:r>
      <w:r>
        <w:t xml:space="preserve"> (et cystéine-822 spécifique) de la sous-unité α de la H⁺/K⁺-ATPase → inhibition complète de l'échange H⁺/K⁺. Inhibition de la sécrétion basale et stimulée, durée d'action 24-72 heures. Le pantoprazole présente une sélectivité plus marquée pour la pompe à protons gastrique (peu d'effet sur les H⁺/K⁺-ATPases non gastriques), ce qui pourrait expliquer un profil de tolérance légèrement meilleur.</w:t>
      </w:r>
    </w:p>
    <w:p>
      <w:r/>
      <w:r>
        <w:rPr>
          <w:b/>
        </w:rPr>
        <w:t>Profil Pharmacologique :</w:t>
      </w:r>
      <w:r/>
    </w:p>
    <w:p>
      <w:pPr>
        <w:pStyle w:val="ListBullet"/>
      </w:pPr>
      <w:r/>
      <w:r>
        <w:rPr>
          <w:b/>
        </w:rPr>
        <w:t>Indications :</w:t>
      </w:r>
      <w:r>
        <w:t xml:space="preserve"> RGO symptomatique et œsophagite érosive ; traitement d'entretien du RGO ; ulcère duodénal et gastrique ; éradication de *Helicobacter pylori* en trithérapie (amoxicilline + clarithromycine) ; syndrome de Zollinger-Ellison ; prévention des ulcères induits par les AINS. Le pantoprazole est </w:t>
      </w:r>
      <w:r>
        <w:rPr>
          <w:b/>
        </w:rPr>
        <w:t>particulièrement indiqué chez le patient coronarien sous clopidogrel</w:t>
      </w:r>
      <w:r>
        <w:t xml:space="preserve"> ou sous anticoagulants oraux (AVK, AOD), en raison de son moindre profil d'interactions.</w:t>
      </w:r>
    </w:p>
    <w:p>
      <w:pPr>
        <w:pStyle w:val="ListBullet"/>
      </w:pPr>
      <w:r/>
      <w:r>
        <w:rPr>
          <w:b/>
        </w:rPr>
        <w:t>Contre-indications :</w:t>
      </w:r>
      <w:r>
        <w:t xml:space="preserve"> Hypersensibilité aux benzimidazolés ; association à l'atazanavir (CI formelle, comme pour tous les IPP). Le pantoprazole est </w:t>
      </w:r>
      <w:r>
        <w:rPr>
          <w:b/>
        </w:rPr>
        <w:t>l'IPP de choix en cas de coprescription avec le clopidogrel</w:t>
      </w:r>
      <w:r>
        <w:t xml:space="preserve"> (recommandations ANSM/HAS).</w:t>
      </w:r>
    </w:p>
    <w:p>
      <w:pPr>
        <w:pStyle w:val="ListBullet"/>
      </w:pPr>
      <w:r/>
      <w:r>
        <w:rPr>
          <w:b/>
        </w:rPr>
        <w:t>Effets Indésirables :</w:t>
      </w:r>
      <w:r>
        <w:t xml:space="preserve"> Profil similaire aux autres IPP : céphalées, douleurs abdominales, diarrhée, nausées (très fréquents). Au long cours : hypomagnésémie, fractures, infections à *C. difficile*, carence B12, polypes fundiques. Le pantoprazole est associé à un risque moindre de colite microscopique que le lansoprazole. Quelques cas de néphrite interstitielle aiguë, d'érythème polymorphe et de réactions cutanées sévères ont été rapportés.</w:t>
      </w:r>
    </w:p>
    <w:p>
      <w:r/>
      <w:r>
        <w:rPr>
          <w:b/>
        </w:rPr>
        <w:t>Prévention et Gestion des Effets Indésirables :</w:t>
      </w:r>
      <w:r/>
    </w:p>
    <w:p>
      <w:pPr>
        <w:pStyle w:val="ListBullet"/>
      </w:pPr>
      <w:r/>
      <w:r>
        <w:rPr>
          <w:b/>
        </w:rPr>
        <w:t>Mesures Préventives :</w:t>
      </w:r>
      <w:r>
        <w:t xml:space="preserve"> Dose minimale efficace et durée la plus courte possible ; surveillance magnésémie et B12 au long cours ; réévaluation annuelle de l'indication ; sevrage progressif pour éviter le rebond. Le pantoprazole étant l'IPP à privilégier chez le sujet âgé polymédiqué, il est souvent utilisé en traitement d'entretien prolongé : la surveillance biologique est d'autant plus importante.</w:t>
      </w:r>
    </w:p>
    <w:p>
      <w:pPr>
        <w:pStyle w:val="ListBullet"/>
      </w:pPr>
      <w:r/>
      <w:r>
        <w:rPr>
          <w:b/>
        </w:rPr>
        <w:t>Conduite à Tenir :</w:t>
      </w:r>
      <w:r>
        <w:t xml:space="preserve"> Arrêt en cas d'éruption cutanée bulleuse, de dyspnée, d'œdème facial ou d'ictère ; supplémentation Mg²⁺ et/ou B12 si carence biologique ; sevrage progressif ; déclaration de pharmacovigilance pour tout effet grave.</w:t>
      </w:r>
    </w:p>
    <w:p>
      <w:r/>
      <w:r>
        <w:rPr>
          <w:b/>
        </w:rPr>
        <w:t>Interactions Importantes :</w:t>
      </w:r>
      <w:r/>
    </w:p>
    <w:p>
      <w:pPr>
        <w:pStyle w:val="ListBullet"/>
      </w:pPr>
      <w:r/>
      <w:r>
        <w:rPr>
          <w:b/>
        </w:rPr>
        <w:t>Pantoprazole + clopidogrel :</w:t>
      </w:r>
      <w:r>
        <w:t xml:space="preserve"> </w:t>
      </w:r>
      <w:r>
        <w:rPr>
          <w:b/>
        </w:rPr>
        <w:t>Aucune interaction significative.</w:t>
      </w:r>
      <w:r>
        <w:t xml:space="preserve"> Le pantoprazole est l'IPP de référence chez le patient sous clopidogrel (recommandations HAS/ANSM).</w:t>
      </w:r>
    </w:p>
    <w:p>
      <w:pPr>
        <w:pStyle w:val="ListBullet"/>
      </w:pPr>
      <w:r/>
      <w:r>
        <w:rPr>
          <w:b/>
        </w:rPr>
        <w:t>Pantoprazole + atazanavir / nelfinavir :</w:t>
      </w:r>
      <w:r>
        <w:t xml:space="preserve"> Contre-indication formelle (baisse d'absorption, comme pour tous les IPP).</w:t>
      </w:r>
    </w:p>
    <w:p>
      <w:pPr>
        <w:pStyle w:val="ListBullet"/>
      </w:pPr>
      <w:r/>
      <w:r>
        <w:rPr>
          <w:b/>
        </w:rPr>
        <w:t>Pantoprazole + méthotrexate :</w:t>
      </w:r>
      <w:r>
        <w:t xml:space="preserve"> Surveillance (baisse de clairance), identique à tous les IPP.</w:t>
      </w:r>
    </w:p>
    <w:p>
      <w:pPr>
        <w:pStyle w:val="ListBullet"/>
      </w:pPr>
      <w:r/>
      <w:r>
        <w:rPr>
          <w:b/>
        </w:rPr>
        <w:t>Pantoprazole + warfarine, phénytoïne, diazépam, digoxine, théophylline, nifédipine :</w:t>
      </w:r>
      <w:r>
        <w:t xml:space="preserve"> Pas d'interaction significative (avantage du pantoprazole).</w:t>
      </w:r>
    </w:p>
    <w:p>
      <w:pPr>
        <w:pStyle w:val="ListBullet"/>
      </w:pPr>
      <w:r/>
      <w:r>
        <w:rPr>
          <w:b/>
        </w:rPr>
        <w:t>Pantoprazole + kétoconazole, itraconazole, erlotinib, dabigatran :</w:t>
      </w:r>
      <w:r>
        <w:t xml:space="preserve"> Baisse de leur absorption (pH gastrique élevé), identique à tous les IPP.</w:t>
      </w:r>
    </w:p>
    <w:p>
      <w:pPr>
        <w:pStyle w:val="ListBullet"/>
      </w:pPr>
      <w:r/>
      <w:r>
        <w:rPr>
          <w:b/>
        </w:rPr>
        <w:t>Pantoprazole + antiacides :</w:t>
      </w:r>
      <w:r>
        <w:t xml:space="preserve"> Prise à distance de 2 heures.</w:t>
      </w:r>
    </w:p>
    <w:p>
      <w:r/>
      <w:r>
        <w:rPr>
          <w:b/>
        </w:rPr>
        <w:t>Grossesse et Allaitement :</w:t>
      </w:r>
      <w:r/>
    </w:p>
    <w:p>
      <w:pPr>
        <w:pStyle w:val="ListBullet"/>
      </w:pPr>
      <w:r/>
      <w:r>
        <w:rPr>
          <w:b/>
        </w:rPr>
        <w:t>Grossesse :</w:t>
      </w:r>
      <w:r>
        <w:t xml:space="preserve"> Données limitées chez la femme enceinte, mais aucun signal tératogène. Considéré comme compatible pendant la grossesse si nécessaire, mais l'oméprazole (recul supérieur) reste l'IPP de première intention. À éviter au 1er trimestre par prudence si alternative thérapeutique possible.</w:t>
      </w:r>
    </w:p>
    <w:p>
      <w:pPr>
        <w:pStyle w:val="ListBullet"/>
      </w:pPr>
      <w:r/>
      <w:r>
        <w:rPr>
          <w:b/>
        </w:rPr>
        <w:t>Allaitement :</w:t>
      </w:r>
      <w:r>
        <w:t xml:space="preserve"> Le pantoprazole passe dans le lait maternel en très faible quantité. Probablement compatible avec l'allaitement, mais l'oméprazole reste l'IPP de référence chez la femme allaitante.</w:t>
      </w:r>
    </w:p>
    <w:p>
      <w:pPr>
        <w:pStyle w:val="ListBullet"/>
      </w:pPr>
      <w:r/>
      <w:r>
        <w:rPr>
          <w:b/>
        </w:rPr>
        <w:t>Précisions :</w:t>
      </w:r>
      <w:r>
        <w:t xml:space="preserve"> Le pantoprazole est l'IPP de choix chez la femme enceinte sous clopidogrel ou sous polymédication, en raison de son profil d'interactions minimal.</w:t>
      </w:r>
    </w:p>
    <w:p>
      <w:r/>
      <w:r>
        <w:rPr>
          <w:b/>
        </w:rPr>
        <w:t>Posologie et Mode d'administration (Standard) :</w:t>
      </w:r>
      <w:r/>
    </w:p>
    <w:p>
      <w:pPr>
        <w:pStyle w:val="ListBullet"/>
      </w:pPr>
      <w:r/>
      <w:r>
        <w:rPr>
          <w:b/>
        </w:rPr>
        <w:t>Adulte :</w:t>
      </w:r>
      <w:r/>
    </w:p>
    <w:p>
      <w:pPr>
        <w:pStyle w:val="ListBullet"/>
      </w:pPr>
      <w:r>
        <w:t>RGO symptomatique : 20 mg une fois par jour pendant 4 semaines.</w:t>
      </w:r>
    </w:p>
    <w:p>
      <w:pPr>
        <w:pStyle w:val="ListBullet"/>
      </w:pPr>
      <w:r>
        <w:t>Œsophagite érosive : 40 mg/jour pendant 4-8 semaines.</w:t>
      </w:r>
    </w:p>
    <w:p>
      <w:pPr>
        <w:pStyle w:val="ListBullet"/>
      </w:pPr>
      <w:r>
        <w:t>Ulcère duodénal : 40 mg/jour pendant 2-4 semaines.</w:t>
      </w:r>
    </w:p>
    <w:p>
      <w:pPr>
        <w:pStyle w:val="ListBullet"/>
      </w:pPr>
      <w:r>
        <w:t>Ulcère gastrique : 40 mg/jour pendant 4-8 semaines.</w:t>
      </w:r>
    </w:p>
    <w:p>
      <w:pPr>
        <w:pStyle w:val="ListBullet"/>
      </w:pPr>
      <w:r>
        <w:t>Éradication *H. pylori* : pantoprazole 40 mg × 2/jour + amoxicilline 1 g × 2/jour + clarithromycine 500 mg × 2/jour pendant 7-14 jours.</w:t>
      </w:r>
    </w:p>
    <w:p>
      <w:pPr>
        <w:pStyle w:val="ListBullet"/>
      </w:pPr>
      <w:r>
        <w:t>Prévention ulcère AINS : 20 mg/jour.</w:t>
      </w:r>
    </w:p>
    <w:p>
      <w:pPr>
        <w:pStyle w:val="ListBullet"/>
      </w:pPr>
      <w:r>
        <w:t>Zollinger-Ellison : dose initiale 40 mg × 2/jour, titration jusqu'à 80-160 mg/jour.</w:t>
      </w:r>
    </w:p>
    <w:p>
      <w:pPr>
        <w:pStyle w:val="ListBullet"/>
      </w:pPr>
      <w:r/>
      <w:r>
        <w:rPr>
          <w:b/>
        </w:rPr>
        <w:t>Enfant &gt; 5 ans et ≥ 15 kg :</w:t>
      </w:r>
      <w:r>
        <w:t xml:space="preserve"> RGO érosif : 20 mg/jour (15-40 kg), 40 mg/jour (&gt; 40 kg).</w:t>
      </w:r>
    </w:p>
    <w:p>
      <w:pPr>
        <w:pStyle w:val="ListBullet"/>
      </w:pPr>
      <w:r/>
      <w:r>
        <w:rPr>
          <w:b/>
        </w:rPr>
        <w:t>Durée :</w:t>
      </w:r>
      <w:r>
        <w:t xml:space="preserve"> Cure courte 4-8 semaines (RGO/ulcère), 7-14 jours (éradication *H. pylori*), prolongée au cas par cas.</w:t>
      </w:r>
    </w:p>
    <w:p>
      <w:pPr>
        <w:pStyle w:val="ListBullet"/>
      </w:pPr>
      <w:r/>
      <w:r>
        <w:rPr>
          <w:b/>
        </w:rPr>
        <w:t>Moment de la prise :</w:t>
      </w:r>
      <w:r>
        <w:t xml:space="preserve"> </w:t>
      </w:r>
      <w:r>
        <w:rPr>
          <w:b/>
        </w:rPr>
        <w:t>30 minutes avant le petit-déjeuner</w:t>
      </w:r>
      <w:r>
        <w:t>, en une prise unique ; en cas de biquotidien, seconde prise avant le dîner. La prise alimentaire n'affecte pas significativement la biodisponibilité du pantoprazole (avantage par rapport à l'oméprazole).</w:t>
      </w:r>
    </w:p>
    <w:p>
      <w:r/>
      <w:r>
        <w:rPr>
          <w:b/>
        </w:rPr>
        <w:t>Arbitrage et Bénéfices des Formes Galéniques :</w:t>
      </w:r>
      <w:r/>
    </w:p>
    <w:p>
      <w:r>
        <w:t xml:space="preserve">Le pantoprazole est disponible en </w:t>
      </w:r>
      <w:r>
        <w:rPr>
          <w:b/>
        </w:rPr>
        <w:t>comprimés enrobés gastro-résistants</w:t>
      </w:r>
      <w:r>
        <w:t xml:space="preserve"> (20 et 40 mg). Cette forme est plus facile à avaler que les gélules de microgranules, ce qui est un avantage chez le sujet âgé ou dysphagique. Le pantoprazole existe également à l'international en forme IV (lyophilisat 40 mg/flacon) pour usage hospitalier, non disponible en Algérie à ce jour. Le faible nombre de spécialités actives (POTONEX 20 mg uniquement) constitue une limite : la disponibilité du pantoprazole 40 mg en Algérie repose actuellement sur des spécialités non renouvelables, ce qui peut poser problème d'approvisionnement.</w:t>
      </w:r>
    </w:p>
    <w:p>
      <w:r/>
      <w:r>
        <w:rPr>
          <w:b/>
        </w:rPr>
        <w:t>Instructions et Conseils au Patient :</w:t>
      </w:r>
      <w:r/>
    </w:p>
    <w:p>
      <w:pPr>
        <w:pStyle w:val="ListBullet"/>
      </w:pPr>
      <w:r/>
      <w:r>
        <w:rPr>
          <w:b/>
        </w:rPr>
        <w:t>Communication au comptoir :</w:t>
      </w:r>
      <w:r>
        <w:t xml:space="preserve"> « Prenez votre comprimé le matin à jeun, 30 minutes avant le petit-déjeuner, avec un grand verre d'eau. Avalez-le entier, ne le croquez pas, ne l'écrasez pas. La durée du traitement est généralement de 4 à 8 semaines. Signalez à votre médecin tout médicament anticoagulant, antiagrégant (surtout clopidogrel = Plavix®) ou antirétroviral que vous prenez. »</w:t>
      </w:r>
    </w:p>
    <w:p>
      <w:pPr>
        <w:pStyle w:val="ListBullet"/>
      </w:pPr>
      <w:r/>
      <w:r>
        <w:rPr>
          <w:b/>
        </w:rPr>
        <w:t>Mode d'utilisation pratique :</w:t>
      </w:r>
      <w:r>
        <w:t xml:space="preserve"> En cas d'oubli, ne pas doubler la dose ; prendre le comprimé oublié dès que possible dans la journée, mais toujours avant un repas. Ne pas écraser ni disperser le comprimé gastro-résistant.</w:t>
      </w:r>
    </w:p>
    <w:p>
      <w:r/>
      <w:r>
        <w:rPr>
          <w:b/>
        </w:rPr>
        <w:t>Notes, Règles d'Or &amp; Pièges au Comptoir :</w:t>
      </w:r>
      <w:r/>
    </w:p>
    <w:p>
      <w:pPr>
        <w:pStyle w:val="ListBullet"/>
      </w:pPr>
      <w:r/>
      <w:r>
        <w:rPr>
          <w:b/>
        </w:rPr>
        <w:t>Règle d'or n°1 — Pantoprazole = IPP de choix sous clopidogrel :</w:t>
      </w:r>
      <w:r>
        <w:t xml:space="preserve"> Vérifier systématiquement la coprescription IPP + clopidogrel ; si l'IPP prescrit n'est pas le pantoprazole, alerter le médecin pour substitution.</w:t>
      </w:r>
    </w:p>
    <w:p>
      <w:pPr>
        <w:pStyle w:val="ListBullet"/>
      </w:pPr>
      <w:r/>
      <w:r>
        <w:rPr>
          <w:b/>
        </w:rPr>
        <w:t>Piège classique — Disponibilité limitée en Algérie :</w:t>
      </w:r>
      <w:r>
        <w:t xml:space="preserve"> Seul le POTONEX 20 mg est actif ; les dosages à 40 mg ne sont disponibles qu'en non renouvelable. Vérifier la disponibilité avant délivrance et proposer une alternative (ésoméprazole 40 mg) si nécessaire.</w:t>
      </w:r>
    </w:p>
    <w:p>
      <w:pPr>
        <w:pStyle w:val="ListBullet"/>
      </w:pPr>
      <w:r/>
      <w:r>
        <w:rPr>
          <w:b/>
        </w:rPr>
        <w:t>Piège classique — Confusion Liste I / Liste II :</w:t>
      </w:r>
      <w:r>
        <w:t xml:space="preserve"> Le POTONEX 20 mg est classé en </w:t>
      </w:r>
      <w:r>
        <w:rPr>
          <w:b/>
        </w:rPr>
        <w:t>Liste I</w:t>
      </w:r>
      <w:r>
        <w:t xml:space="preserve"> (prescription non renouvelable sauf mention contraire), à la différence des autres IPP qui sont en Liste II. Vérifier le type de prescription.</w:t>
      </w:r>
    </w:p>
    <w:p>
      <w:pPr>
        <w:pStyle w:val="ListBullet"/>
      </w:pPr>
      <w:r/>
      <w:r>
        <w:rPr>
          <w:b/>
        </w:rPr>
        <w:t>Règle de prise :</w:t>
      </w:r>
      <w:r>
        <w:t xml:space="preserve"> Unique le matin à jeun, 30 minutes avant le petit-déjeuner.</w:t>
      </w:r>
    </w:p>
    <w:p>
      <w:pPr>
        <w:pStyle w:val="ListBullet"/>
      </w:pPr>
      <w:r/>
      <w:r>
        <w:rPr>
          <w:b/>
        </w:rPr>
        <w:t>Préparation et Conservation :</w:t>
      </w:r>
      <w:r>
        <w:t xml:space="preserve"> À conserver à température &lt; 25 °C, à l'abri de l'humidité et de la lumière.</w:t>
      </w:r>
    </w:p>
    <w:p>
      <w:pPr>
        <w:pStyle w:val="ListBullet"/>
      </w:pPr>
      <w:r/>
      <w:r>
        <w:rPr>
          <w:b/>
        </w:rPr>
        <w:t>Piège du surdosage / Substitution :</w:t>
      </w:r>
      <w:r>
        <w:t xml:space="preserve"> Substitution possible entre génériques avec vérification du dosage et de la forme. Pas d'équivalence stricte avec l'oméprazole (40 mg de pantoprazole ≈ 20-40 mg d'oméprazole).</w:t>
      </w:r>
    </w:p>
    <w:p>
      <w:pPr>
        <w:pStyle w:val="Heading2"/>
      </w:pPr>
      <w:r>
        <w:t>3. Introduction à la sous-classe des Antihistaminiques H2 (Anti-H2)</w:t>
      </w:r>
    </w:p>
    <w:p>
      <w:r>
        <w:t xml:space="preserve">Les antihistaminiques H2 (anti-H2) ont constitué, des années 1970 jusqu'à l'avènement des IPP, le traitement de référence de l'ulcère gastro-duodénal et du reflux gastro-œsophagien. La </w:t>
      </w:r>
      <w:r>
        <w:rPr>
          <w:b/>
        </w:rPr>
        <w:t>cimétidine</w:t>
      </w:r>
      <w:r>
        <w:t xml:space="preserve"> (Tagamet®, 1976), premier anti-H2 commercialisé, a été suivie de la </w:t>
      </w:r>
      <w:r>
        <w:rPr>
          <w:b/>
        </w:rPr>
        <w:t>ranitidine</w:t>
      </w:r>
      <w:r>
        <w:t xml:space="preserve"> (Zantac® / Azantac®, 1981) et de la </w:t>
      </w:r>
      <w:r>
        <w:rPr>
          <w:b/>
        </w:rPr>
        <w:t>famotidine</w:t>
      </w:r>
      <w:r>
        <w:t xml:space="preserve"> (Pepcid®, 1985), nizatidine et roxatidine. La ranitidine a longtemps été l'un des médicaments les plus prescrits au monde avant son </w:t>
      </w:r>
      <w:r>
        <w:rPr>
          <w:b/>
        </w:rPr>
        <w:t>retrait mondial</w:t>
      </w:r>
      <w:r>
        <w:t xml:space="preserve"> en 2019-2020 pour contamination par la </w:t>
      </w:r>
      <w:r>
        <w:rPr>
          <w:b/>
        </w:rPr>
        <w:t>NDMA</w:t>
      </w:r>
      <w:r>
        <w:t xml:space="preserve"> (N-nitrosodiméthylamine), cancérogène probable pour l'homme (groupe 2B IARC).</w:t>
      </w:r>
    </w:p>
    <w:p>
      <w:r/>
      <w:r>
        <w:rPr>
          <w:b/>
        </w:rPr>
        <w:t>Cible pharmacologique.</w:t>
      </w:r>
      <w:r>
        <w:t xml:space="preserve"> Les anti-H2 sont des </w:t>
      </w:r>
      <w:r>
        <w:rPr>
          <w:b/>
        </w:rPr>
        <w:t>antagonistes compétitifs</w:t>
      </w:r>
      <w:r>
        <w:t xml:space="preserve"> des récepteurs H2 à l'histamine, récepteurs couplés aux protéines Gs situés sur la membrane basolatérale des cellules pariétales fundiques. La stimulation de ces récepteurs par l'histamine (libérée par les cellules entérochromaffines-like, ECL) active l'adénylate cyclase, augmente l'AMPc intracellulaire et déclenche, via la protéine kinase A, l'activation de la pompe à protons H⁺/K⁺-ATPase. En bloquant ce récepteur, les anti-H2 inhibent spécifiquement la sécrétion acide </w:t>
      </w:r>
      <w:r>
        <w:rPr>
          <w:b/>
        </w:rPr>
        <w:t>stimulée par l'histamine</w:t>
      </w:r>
      <w:r>
        <w:t xml:space="preserve"> (mais pas celle stimulée par la gastrine ou l'acétylcholine de façon directe), ce qui explique une inhibition partielle de la sécrétion acide (environ 60-70 %), inférieure à celle des IPP.</w:t>
      </w:r>
    </w:p>
    <w:p>
      <w:r/>
      <w:r>
        <w:rPr>
          <w:b/>
        </w:rPr>
        <w:t>Particularités pharmacocinétiques.</w:t>
      </w:r>
      <w:r>
        <w:t xml:space="preserve"> Les anti-H2 sont absorbés rapidement par voie orale, avec une biodisponibilité de 40 à 80 % (famotidine ~40 %, ranitidine ~50 %). La prise alimentaire n'a pas d'impact significatif. Ils sont métabolisés en partie par le foie (faible pour la famotidine, plus importante pour la ranitidine) et excrétés principalement par voie rénale (filtration glomérulaire et sécrétion tubulaire). Leur </w:t>
      </w:r>
      <w:r>
        <w:rPr>
          <w:b/>
        </w:rPr>
        <w:t>demi-vie plasmatique est courte</w:t>
      </w:r>
      <w:r>
        <w:t xml:space="preserve"> (2-3 heures), nécessitant une administration biquotidienne en pratique clinique. La durée d'action antisécrétoire est de 6 à 12 heures, nettement plus courte que celle des IPP.</w:t>
      </w:r>
    </w:p>
    <w:p>
      <w:r/>
      <w:r>
        <w:rPr>
          <w:b/>
        </w:rPr>
        <w:t>Comparaison avec les IPP.</w:t>
      </w:r>
      <w:r>
        <w:t xml:space="preserve"> Les anti-H2 sont moins puissants que les IPP (inhibition de la sécrétion acide basale de 60-70 % vs &gt; 90 % pour les IPP ; inhibition de la sécrétion stimulée de 50-60 % vs &gt; 80 %). Ils restent néanmoins utiles en deuxième intention, en cas de contre-indication ou d'intolérance aux IPP, ou pour le traitement à la demande du pyrosis occasionnel. La famotidine a connu un regain d'intérêt après le retrait de la ranitidine.</w:t>
      </w:r>
    </w:p>
    <w:p>
      <w:r/>
      <w:r>
        <w:rPr>
          <w:b/>
        </w:rPr>
        <w:t>Épisode NDMA — retrait de la ranitidine.</w:t>
      </w:r>
      <w:r>
        <w:t xml:space="preserve"> En septembre 2019, la FDA et l'EMA ont signalé la présence de </w:t>
      </w:r>
      <w:r>
        <w:rPr>
          <w:b/>
        </w:rPr>
        <w:t>N-nitrosodiméthylamine (NDMA)</w:t>
      </w:r>
      <w:r>
        <w:t xml:space="preserve"> à des concentrations dépassant la limite acceptable (96 ng/jour) dans certains lots de ranitidine. La NDMA se forme à partir de la ranitidine elle-même, par dégradation chimique (notamment à la chaleur, lors du stockage prolongé). La NDMA est classée cancérogène probable pour l'homme (groupe 2B du CIRC) ; l'exposition chronique augmente le risque de tumeurs hépatiques, rénales et digestives. En avril 2020, la FDA a demandé le </w:t>
      </w:r>
      <w:r>
        <w:rPr>
          <w:b/>
        </w:rPr>
        <w:t>retrait immédiat de tous les produits contenant de la ranitidine</w:t>
      </w:r>
      <w:r>
        <w:t xml:space="preserve"> du marché américain. L'EMA a suivi en avril 2020 (recommandation européenne). En Algérie, l'ensemble des spécialités de ranitidine (APITIDINE, AZANTAC, RANITEX, RANITIDINE BGL, LATIDINE, etc.) ont été retirées du marché (R) ou sont en statut non renouvelable. La </w:t>
      </w:r>
      <w:r>
        <w:rPr>
          <w:b/>
        </w:rPr>
        <w:t>famotidine</w:t>
      </w:r>
      <w:r>
        <w:t xml:space="preserve"> n'a pas été concernée par cette contamination et reste disponible.</w:t>
      </w:r>
    </w:p>
    <w:p>
      <w:r/>
      <w:r>
        <w:rPr>
          <w:b/>
        </w:rPr>
        <w:t>Cadre réglementaire algérien.</w:t>
      </w:r>
      <w:r>
        <w:t xml:space="preserve"> En Algérie, les anti-H2 sont en </w:t>
      </w:r>
      <w:r>
        <w:rPr>
          <w:b/>
        </w:rPr>
        <w:t>Liste II</w:t>
      </w:r>
      <w:r>
        <w:t xml:space="preserve"> (prescription médicale obligatoire renouvelable). Seule la </w:t>
      </w:r>
      <w:r>
        <w:rPr>
          <w:b/>
        </w:rPr>
        <w:t>famotidine</w:t>
      </w:r>
      <w:r>
        <w:t xml:space="preserve"> reste active (FAMOXINE 20 et 40 mg, FAMOTIDINE MABO 20 et 40 mg). La ranitidine est entièrement retirée ou non renouvelable.</w:t>
      </w:r>
    </w:p>
    <w:p>
      <w:pPr>
        <w:pStyle w:val="Heading2"/>
      </w:pPr>
      <w:r>
        <w:t>4. Fiches DCI — Antihistaminiques H2</w:t>
      </w:r>
    </w:p>
    <w:p>
      <w:pPr>
        <w:pStyle w:val="Heading3"/>
      </w:pPr>
      <w:r>
        <w:t>5. DCI : Ranitidine (Seule) — (R) RETIRÉE DU MARCHÉ MONDIAL (2019-2020) POUR CONTAMINATION PAR LA NDMA</w:t>
      </w:r>
    </w:p>
    <w:p>
      <w:r/>
      <w:r>
        <w:rPr>
          <w:b/>
        </w:rPr>
        <w:t>Liste des Catégories :</w:t>
      </w:r>
      <w:r>
        <w:t xml:space="preserve"> Antihistaminiques H2 (anti-H2) ; Anti-ulcéreux ; Antagoniste compétitif du récepteur H2 à l'histamine ; Liste II ; </w:t>
      </w:r>
      <w:r>
        <w:rPr>
          <w:b/>
        </w:rPr>
        <w:t>Retirée du marché (R) pour contamination par la NDMA (N-nitrosodiméthylamine, cancérogène probable)</w:t>
      </w:r>
      <w:r>
        <w:t>.</w:t>
      </w:r>
    </w:p>
    <w:p>
      <w:r>
        <w:t xml:space="preserve">La ranitidine a été l'anti-H2 le plus prescrit au monde pendant près de 40 ans (1981-2019), commercialisée sous le nom d'Azantac® (GlaxoSmithKline). Elle présentait un profil d'efficacité et de tolérance supérieur à celui de la cimétidine (moins d'effets antiandrogéniques, moins d'interactions médicamenteuses par inhibition du CYP450). Toutefois, en </w:t>
      </w:r>
      <w:r>
        <w:rPr>
          <w:b/>
        </w:rPr>
        <w:t>septembre 2019</w:t>
      </w:r>
      <w:r>
        <w:t xml:space="preserve">, la FDA a signalé la présence de </w:t>
      </w:r>
      <w:r>
        <w:rPr>
          <w:b/>
        </w:rPr>
        <w:t>N-nitrosodiméthylamine (NDMA)</w:t>
      </w:r>
      <w:r>
        <w:t xml:space="preserve"> à des concentrations dépassant la limite acceptable dans certains lots de ranitidine. La NDMA se forme à partir de la ranitidine elle-même, par </w:t>
      </w:r>
      <w:r>
        <w:rPr>
          <w:b/>
        </w:rPr>
        <w:t>dégradation chimique</w:t>
      </w:r>
      <w:r>
        <w:t xml:space="preserve"> (notamment à la chaleur, lors du stockage prolongé ou dans des conditions de pH inappropriées). En </w:t>
      </w:r>
      <w:r>
        <w:rPr>
          <w:b/>
        </w:rPr>
        <w:t>avril 2020</w:t>
      </w:r>
      <w:r>
        <w:t xml:space="preserve">, la FDA a demandé le </w:t>
      </w:r>
      <w:r>
        <w:rPr>
          <w:b/>
        </w:rPr>
        <w:t>retrait immédiat de tous les produits contenant de la ranitidine</w:t>
      </w:r>
      <w:r>
        <w:t xml:space="preserve"> du marché américain, suivi de l'EMA en Europe. L'ensemble des spécialités de ranitidine ont été retirées du marché algérien ou sont en statut non renouvelable. </w:t>
      </w:r>
      <w:r>
        <w:rPr>
          <w:b/>
        </w:rPr>
        <w:t>La ranitidine ne doit plus être prescrite ni délivrée.</w:t>
      </w:r>
      <w:r>
        <w:t xml:space="preserve"> Les patients antérieurement traités doivent être orientés vers les IPP ou la </w:t>
      </w:r>
      <w:r>
        <w:rPr>
          <w:b/>
        </w:rPr>
        <w:t>famotidine</w:t>
      </w:r>
      <w:r>
        <w:t xml:space="preserve"> (anti-H2 non concerné par la contamination NDMA).</w:t>
      </w:r>
    </w:p>
    <w:p>
      <w:r/>
      <w:r>
        <w:rPr>
          <w:b/>
        </w:rPr>
        <w:t>Médicaments disponibles en Algérie (Marques, Laboratoires, Formes et Dosages) — TOUS RETIRÉS OU NON RENOUUVELABLES :</w:t>
      </w:r>
      <w:r/>
    </w:p>
    <w:p>
      <w:r/>
      <w:r>
        <w:rPr>
          <w:i/>
        </w:rPr>
        <w:t>Spécialités non renouvelables (à titre documentaire) :</w:t>
      </w:r>
      <w:r/>
    </w:p>
    <w:p>
      <w:pPr>
        <w:pStyle w:val="ListBullet"/>
      </w:pPr>
      <w:r/>
      <w:r>
        <w:rPr>
          <w:b/>
        </w:rPr>
        <w:t>RANITEX solution injectable</w:t>
      </w:r>
      <w:r>
        <w:t xml:space="preserve"> (PHARMALLIANCE) — Solution injectable 50 mg/2 mL (25 mg/mL) — B/5 ampoules de 2 mL — Statut : Non Renouvelable</w:t>
      </w:r>
    </w:p>
    <w:p>
      <w:pPr>
        <w:pStyle w:val="ListBullet"/>
      </w:pPr>
      <w:r/>
      <w:r>
        <w:rPr>
          <w:b/>
        </w:rPr>
        <w:t>HISTAC solution injectable</w:t>
      </w:r>
      <w:r>
        <w:t xml:space="preserve"> (RANBAXY-LTD) — Solution injectable 50 mg/2 mL — B/10 ampoules de 2 mL — Statut : Non Renouvelable</w:t>
      </w:r>
    </w:p>
    <w:p>
      <w:pPr>
        <w:pStyle w:val="ListBullet"/>
      </w:pPr>
      <w:r/>
      <w:r>
        <w:rPr>
          <w:b/>
        </w:rPr>
        <w:t>RANITIDINE solution injectable</w:t>
      </w:r>
      <w:r>
        <w:t xml:space="preserve"> (EMPRESSA LABORATORIOS AICA) — Solution injectable IM/IV 25 mg/mL (50 mg/2 mL) — B/100 flacons de 2 mL — Statut : Non Renouvelable</w:t>
      </w:r>
    </w:p>
    <w:p>
      <w:pPr>
        <w:pStyle w:val="ListBullet"/>
      </w:pPr>
      <w:r/>
      <w:r>
        <w:rPr>
          <w:b/>
        </w:rPr>
        <w:t>APITIDINE 150 mg</w:t>
      </w:r>
      <w:r>
        <w:t xml:space="preserve"> (ALGERIAN PHARMACEUTICAL INSTITUTE — API) — Comprimé 150 mg — B/20 — Statut : Non Renouvelable</w:t>
      </w:r>
    </w:p>
    <w:p>
      <w:pPr>
        <w:pStyle w:val="ListBullet"/>
      </w:pPr>
      <w:r/>
      <w:r>
        <w:rPr>
          <w:b/>
        </w:rPr>
        <w:t>APITIDINE 300 mg</w:t>
      </w:r>
      <w:r>
        <w:t xml:space="preserve"> (ALGERIAN PHARMACEUTICAL INSTITUTE — API) — Comprimé 300 mg — B/10 — Statut : Non Renouvelable</w:t>
      </w:r>
    </w:p>
    <w:p>
      <w:pPr>
        <w:pStyle w:val="ListBullet"/>
      </w:pPr>
      <w:r/>
      <w:r>
        <w:rPr>
          <w:b/>
        </w:rPr>
        <w:t>LATIDINE 300 mg</w:t>
      </w:r>
      <w:r>
        <w:t xml:space="preserve"> (GROUPE SAIDAL) — Gélules 300 mg — B/30 — Statut : Non Renouvelable</w:t>
      </w:r>
    </w:p>
    <w:p>
      <w:pPr>
        <w:pStyle w:val="ListBullet"/>
      </w:pPr>
      <w:r/>
      <w:r>
        <w:rPr>
          <w:b/>
        </w:rPr>
        <w:t>RANITEX 300 mg comprimé</w:t>
      </w:r>
      <w:r>
        <w:t xml:space="preserve"> (PHARMALLIANCE) — Comprimé pelliculé 300 mg — B/10 — Statut : Non Renouvelable</w:t>
      </w:r>
    </w:p>
    <w:p>
      <w:pPr>
        <w:pStyle w:val="ListBullet"/>
      </w:pPr>
      <w:r/>
      <w:r>
        <w:rPr>
          <w:b/>
        </w:rPr>
        <w:t>RANACID</w:t>
      </w:r>
      <w:r>
        <w:t xml:space="preserve"> (EL KENDI INDUSTRIE DU MEDICAMENT SARL) — Comprimé pelliculé 75 mg — B/12 — Statut : Non Renouvelable</w:t>
      </w:r>
    </w:p>
    <w:p>
      <w:pPr>
        <w:pStyle w:val="ListBullet"/>
      </w:pPr>
      <w:r/>
      <w:r>
        <w:rPr>
          <w:b/>
        </w:rPr>
        <w:t>APITIDINE 150 mg effervescent</w:t>
      </w:r>
      <w:r>
        <w:t xml:space="preserve"> (API) — Comprimé effervescent 150 mg — B/20 — Statut : Non Renouvelable</w:t>
      </w:r>
    </w:p>
    <w:p>
      <w:pPr>
        <w:pStyle w:val="ListBullet"/>
      </w:pPr>
      <w:r/>
      <w:r>
        <w:rPr>
          <w:b/>
        </w:rPr>
        <w:t>APITIDINE 300 mg effervescent</w:t>
      </w:r>
      <w:r>
        <w:t xml:space="preserve"> (API) — Comprimé effervescent 300 mg — B/10 — Statut : Non Renouvelable</w:t>
      </w:r>
    </w:p>
    <w:p>
      <w:r/>
      <w:r>
        <w:rPr>
          <w:i/>
        </w:rPr>
        <w:t>Spécialités retirées du marché (R) — (à titre documentaire) :</w:t>
      </w:r>
      <w:r/>
    </w:p>
    <w:p>
      <w:pPr>
        <w:pStyle w:val="ListBullet"/>
      </w:pPr>
      <w:r/>
      <w:r>
        <w:rPr>
          <w:b/>
        </w:rPr>
        <w:t>RANITIDINE SIPHARMAL</w:t>
      </w:r>
      <w:r>
        <w:t xml:space="preserve"> (SIPHARMAL) — Solution injectable IM/IV 25 mg/mL (50 mg/2 mL) — B/5 et B/100 ampoules de 2 mL — Statut : Retiré (R)</w:t>
      </w:r>
    </w:p>
    <w:p>
      <w:pPr>
        <w:pStyle w:val="ListBullet"/>
      </w:pPr>
      <w:r/>
      <w:r>
        <w:rPr>
          <w:b/>
        </w:rPr>
        <w:t>RANITAL</w:t>
      </w:r>
      <w:r>
        <w:t xml:space="preserve"> (LEK) — Solution injectable 50 mg/2 mL — B/05 — Statut : Retiré (R)</w:t>
      </w:r>
    </w:p>
    <w:p>
      <w:pPr>
        <w:pStyle w:val="ListBullet"/>
      </w:pPr>
      <w:r/>
      <w:r>
        <w:rPr>
          <w:b/>
        </w:rPr>
        <w:t>AZANTAC solution injectable</w:t>
      </w:r>
      <w:r>
        <w:t xml:space="preserve"> (GLAXO SMITHKLINE) — Solution injectable 50 mg/2 mL — B/05 — Statut : Retiré (R)</w:t>
      </w:r>
    </w:p>
    <w:p>
      <w:pPr>
        <w:pStyle w:val="ListBullet"/>
      </w:pPr>
      <w:r/>
      <w:r>
        <w:rPr>
          <w:b/>
        </w:rPr>
        <w:t>RANITEX solution injectable</w:t>
      </w:r>
      <w:r>
        <w:t xml:space="preserve"> (PHARMALLIANCE) — Solution injectable 50 mg/2 mL — B/5 — Statut : Retiré (R)</w:t>
      </w:r>
    </w:p>
    <w:p>
      <w:pPr>
        <w:pStyle w:val="ListBullet"/>
      </w:pPr>
      <w:r/>
      <w:r>
        <w:rPr>
          <w:b/>
        </w:rPr>
        <w:t>RANITIDAL</w:t>
      </w:r>
      <w:r>
        <w:t xml:space="preserve"> (SOPHAL) — Solution injectable 25 mg/mL (50 mg/2 mL) — B/5 et B/100 — Statut : Retiré (R)</w:t>
      </w:r>
    </w:p>
    <w:p>
      <w:pPr>
        <w:pStyle w:val="ListBullet"/>
      </w:pPr>
      <w:r/>
      <w:r>
        <w:rPr>
          <w:b/>
        </w:rPr>
        <w:t>RATIDEX</w:t>
      </w:r>
      <w:r>
        <w:t xml:space="preserve"> (FRATER-RAZES SPA) — Solution injectable IM/IV 25 mg/mL (50 mg/2 mL) — B/5 et B/50 — Statut : Retiré (R)</w:t>
      </w:r>
    </w:p>
    <w:p>
      <w:pPr>
        <w:pStyle w:val="ListBullet"/>
      </w:pPr>
      <w:r/>
      <w:r>
        <w:rPr>
          <w:b/>
        </w:rPr>
        <w:t>ROLAN</w:t>
      </w:r>
      <w:r>
        <w:t xml:space="preserve"> (HIKMA PHARMACEUTICALS) — Solution injectable IM/IV 25 mg/mL (50 mg/2 mL) — B/05 — Statut : Retiré (R)</w:t>
      </w:r>
    </w:p>
    <w:p>
      <w:pPr>
        <w:pStyle w:val="ListBullet"/>
      </w:pPr>
      <w:r/>
      <w:r>
        <w:rPr>
          <w:b/>
        </w:rPr>
        <w:t>RANITIDINA-NORMON</w:t>
      </w:r>
      <w:r>
        <w:t xml:space="preserve"> (NORMON S.A) — Comprimé 150 mg — B/20 — Statut : Retiré (R)</w:t>
      </w:r>
    </w:p>
    <w:p>
      <w:pPr>
        <w:pStyle w:val="ListBullet"/>
      </w:pPr>
      <w:r/>
      <w:r>
        <w:rPr>
          <w:b/>
        </w:rPr>
        <w:t>ANTAGONIN</w:t>
      </w:r>
      <w:r>
        <w:t xml:space="preserve"> (ARAB PHARMACEUTICAL MANUFACTURING) — Comprimé 150 mg — B/20 — Statut : Retiré (R)</w:t>
      </w:r>
    </w:p>
    <w:p>
      <w:pPr>
        <w:pStyle w:val="ListBullet"/>
      </w:pPr>
      <w:r/>
      <w:r>
        <w:rPr>
          <w:b/>
        </w:rPr>
        <w:t>AZANTAC comprimé 150 mg</w:t>
      </w:r>
      <w:r>
        <w:t xml:space="preserve"> (GLAXO SMITHKLINE) — Comprimé 150 mg — B/30 — Statut : Retiré (R)</w:t>
      </w:r>
    </w:p>
    <w:p>
      <w:pPr>
        <w:pStyle w:val="ListBullet"/>
      </w:pPr>
      <w:r/>
      <w:r>
        <w:rPr>
          <w:b/>
        </w:rPr>
        <w:t>GASTIDINE</w:t>
      </w:r>
      <w:r>
        <w:t xml:space="preserve"> (GEOPHARM) — Comprimé 150 mg — B/20 — Statut : Retiré (R)</w:t>
      </w:r>
    </w:p>
    <w:p>
      <w:pPr>
        <w:pStyle w:val="ListBullet"/>
      </w:pPr>
      <w:r/>
      <w:r>
        <w:rPr>
          <w:b/>
        </w:rPr>
        <w:t>HISTAC comprimé 150 mg</w:t>
      </w:r>
      <w:r>
        <w:t xml:space="preserve"> (RANBAXY) — Comprimé 150 mg — B/20, B/30 et B/60 — Statut : Retiré (R)</w:t>
      </w:r>
    </w:p>
    <w:p>
      <w:pPr>
        <w:pStyle w:val="ListBullet"/>
      </w:pPr>
      <w:r/>
      <w:r>
        <w:rPr>
          <w:b/>
        </w:rPr>
        <w:t>NIPODUR</w:t>
      </w:r>
      <w:r>
        <w:t xml:space="preserve"> (ANFARM HELLAS SA) — Comprimé 150 mg — B/20 — Statut : Retiré (R)</w:t>
      </w:r>
    </w:p>
    <w:p>
      <w:pPr>
        <w:pStyle w:val="ListBullet"/>
      </w:pPr>
      <w:r/>
      <w:r>
        <w:rPr>
          <w:b/>
        </w:rPr>
        <w:t>PEPTAC 150 mg</w:t>
      </w:r>
      <w:r>
        <w:t xml:space="preserve"> (RAM PHARMA) — Comprimé 150 mg — B/20 — Statut : Retiré (R)</w:t>
      </w:r>
    </w:p>
    <w:p>
      <w:pPr>
        <w:pStyle w:val="ListBullet"/>
      </w:pPr>
      <w:r/>
      <w:r>
        <w:rPr>
          <w:b/>
        </w:rPr>
        <w:t>RANICARE</w:t>
      </w:r>
      <w:r>
        <w:t xml:space="preserve"> (BIOCARE) — Comprimé 150 mg — B/30 — Statut : Retiré (R)</w:t>
      </w:r>
    </w:p>
    <w:p>
      <w:pPr>
        <w:pStyle w:val="ListBullet"/>
      </w:pPr>
      <w:r/>
      <w:r>
        <w:rPr>
          <w:b/>
        </w:rPr>
        <w:t>RANIDINE</w:t>
      </w:r>
      <w:r>
        <w:t xml:space="preserve"> (JORDANIAN PHARMACEUTICAL MANUFACTURING) — Comprimé 150 mg — B/20 — Statut : Retiré (R)</w:t>
      </w:r>
    </w:p>
    <w:p>
      <w:pPr>
        <w:pStyle w:val="ListBullet"/>
      </w:pPr>
      <w:r/>
      <w:r>
        <w:rPr>
          <w:b/>
        </w:rPr>
        <w:t>RANIMAT</w:t>
      </w:r>
      <w:r>
        <w:t xml:space="preserve"> (PROMOPHARM) — Comprimé 150 mg et 300 mg — B/30 et B/30 — Statut : Retiré (R)</w:t>
      </w:r>
    </w:p>
    <w:p>
      <w:pPr>
        <w:pStyle w:val="ListBullet"/>
      </w:pPr>
      <w:r/>
      <w:r>
        <w:rPr>
          <w:b/>
        </w:rPr>
        <w:t>RANIMAX</w:t>
      </w:r>
      <w:r>
        <w:t xml:space="preserve"> (JAZEERA) — Comprimé 150 mg — B/20 — Statut : Retiré (R)</w:t>
      </w:r>
    </w:p>
    <w:p>
      <w:pPr>
        <w:pStyle w:val="ListBullet"/>
      </w:pPr>
      <w:r/>
      <w:r>
        <w:rPr>
          <w:b/>
        </w:rPr>
        <w:t>RANIMED</w:t>
      </w:r>
      <w:r>
        <w:t xml:space="preserve"> (SANAMED) — Comprimé 150 mg — B/30 — Statut : Retiré (R)</w:t>
      </w:r>
    </w:p>
    <w:p>
      <w:pPr>
        <w:pStyle w:val="ListBullet"/>
      </w:pPr>
      <w:r/>
      <w:r>
        <w:rPr>
          <w:b/>
        </w:rPr>
        <w:t>RANITAL comprimé</w:t>
      </w:r>
      <w:r>
        <w:t xml:space="preserve"> (GALENICA) — Comprimé 150 mg — B/20 — Statut : Retiré (R)</w:t>
      </w:r>
    </w:p>
    <w:p>
      <w:pPr>
        <w:pStyle w:val="ListBullet"/>
      </w:pPr>
      <w:r/>
      <w:r>
        <w:rPr>
          <w:b/>
        </w:rPr>
        <w:t>RANITIDAL comprimé</w:t>
      </w:r>
      <w:r>
        <w:t xml:space="preserve"> (SOPHAL) — Comprimé 150 mg — B/20 — Statut : Retiré (R)</w:t>
      </w:r>
    </w:p>
    <w:p>
      <w:pPr>
        <w:pStyle w:val="ListBullet"/>
      </w:pPr>
      <w:r/>
      <w:r>
        <w:rPr>
          <w:b/>
        </w:rPr>
        <w:t>RANITIDINE</w:t>
      </w:r>
      <w:r>
        <w:t xml:space="preserve"> (MEDICUBA) — Comprimé 150 mg — B/20 — Statut : Retiré (R)</w:t>
      </w:r>
    </w:p>
    <w:p>
      <w:pPr>
        <w:pStyle w:val="ListBullet"/>
      </w:pPr>
      <w:r/>
      <w:r>
        <w:rPr>
          <w:b/>
        </w:rPr>
        <w:t>STOMADINE</w:t>
      </w:r>
      <w:r>
        <w:t xml:space="preserve"> (GROUPE SANTE) — Comprimé 150 mg — B/30 — Statut : Retiré (R)</w:t>
      </w:r>
    </w:p>
    <w:p>
      <w:pPr>
        <w:pStyle w:val="ListBullet"/>
      </w:pPr>
      <w:r/>
      <w:r>
        <w:rPr>
          <w:b/>
        </w:rPr>
        <w:t>TERPOSEN 150</w:t>
      </w:r>
      <w:r>
        <w:t xml:space="preserve"> (VIR SA) — Comprimé 150 mg — B/20 — Statut : Retiré (R)</w:t>
      </w:r>
    </w:p>
    <w:p>
      <w:pPr>
        <w:pStyle w:val="ListBullet"/>
      </w:pPr>
      <w:r/>
      <w:r>
        <w:rPr>
          <w:b/>
        </w:rPr>
        <w:t>GERTOCALM</w:t>
      </w:r>
      <w:r>
        <w:t xml:space="preserve"> (FARAN SA) — Comprimé 150 mg — B/20 — Statut : Retiré (R)</w:t>
      </w:r>
    </w:p>
    <w:p>
      <w:pPr>
        <w:pStyle w:val="ListBullet"/>
      </w:pPr>
      <w:r/>
      <w:r>
        <w:rPr>
          <w:b/>
        </w:rPr>
        <w:t>GASTREX 150</w:t>
      </w:r>
      <w:r>
        <w:t xml:space="preserve"> (PETRA PHARM) — Comprimé pelliculé 150 mg — B/20 et B/60 — Statut : Retiré (R)</w:t>
      </w:r>
    </w:p>
    <w:p>
      <w:pPr>
        <w:pStyle w:val="ListBullet"/>
      </w:pPr>
      <w:r/>
      <w:r>
        <w:rPr>
          <w:b/>
        </w:rPr>
        <w:t>ULTIDIN</w:t>
      </w:r>
      <w:r>
        <w:t xml:space="preserve"> (HEMOFARM) — Comprimé pelliculé 150 mg — B/20 — Statut : Retiré (R)</w:t>
      </w:r>
    </w:p>
    <w:p>
      <w:pPr>
        <w:pStyle w:val="ListBullet"/>
      </w:pPr>
      <w:r/>
      <w:r>
        <w:rPr>
          <w:b/>
        </w:rPr>
        <w:t>RANID</w:t>
      </w:r>
      <w:r>
        <w:t xml:space="preserve"> (TABUK) — Comprimé pelliculé 150 mg — B/20 — Statut : Retiré (R)</w:t>
      </w:r>
    </w:p>
    <w:p>
      <w:pPr>
        <w:pStyle w:val="ListBullet"/>
      </w:pPr>
      <w:r/>
      <w:r>
        <w:rPr>
          <w:b/>
        </w:rPr>
        <w:t>ULRAN</w:t>
      </w:r>
      <w:r>
        <w:t xml:space="preserve"> (KRKA) — Comprimé 150 mg — B/20 — Statut : Retiré (R)</w:t>
      </w:r>
    </w:p>
    <w:p>
      <w:pPr>
        <w:pStyle w:val="ListBullet"/>
      </w:pPr>
      <w:r/>
      <w:r>
        <w:rPr>
          <w:b/>
        </w:rPr>
        <w:t>APITIDINE 150 mg comprimé</w:t>
      </w:r>
      <w:r>
        <w:t xml:space="preserve"> (API) — Comprimé 150 mg — B/20 — Statut : Retiré (R)</w:t>
      </w:r>
    </w:p>
    <w:p>
      <w:pPr>
        <w:pStyle w:val="ListBullet"/>
      </w:pPr>
      <w:r/>
      <w:r>
        <w:rPr>
          <w:b/>
        </w:rPr>
        <w:t>LATIDINE 150 mg</w:t>
      </w:r>
      <w:r>
        <w:t xml:space="preserve"> (SAIDAL) — Gélules 150 mg — B/30 — Statut : Retiré (R)</w:t>
      </w:r>
    </w:p>
    <w:p>
      <w:pPr>
        <w:pStyle w:val="ListBullet"/>
      </w:pPr>
      <w:r/>
      <w:r>
        <w:rPr>
          <w:b/>
        </w:rPr>
        <w:t>RANIMEX</w:t>
      </w:r>
      <w:r>
        <w:t xml:space="preserve"> (KPMA) — Comprimé pelliculé 150 mg — B/30 et B/60 — Statut : Retiré (R)</w:t>
      </w:r>
    </w:p>
    <w:p>
      <w:pPr>
        <w:pStyle w:val="ListBullet"/>
      </w:pPr>
      <w:r/>
      <w:r>
        <w:rPr>
          <w:b/>
        </w:rPr>
        <w:t>RANITEX comprimé pelliculé</w:t>
      </w:r>
      <w:r>
        <w:t xml:space="preserve"> (PHARMALLIANCE) — Comprimé pelliculé 150 mg — B/20, B/30 et B/60 — Statut : Retiré (R)</w:t>
      </w:r>
    </w:p>
    <w:p>
      <w:pPr>
        <w:pStyle w:val="ListBullet"/>
      </w:pPr>
      <w:r/>
      <w:r>
        <w:rPr>
          <w:b/>
        </w:rPr>
        <w:t>RANITIDINE BGL</w:t>
      </w:r>
      <w:r>
        <w:t xml:space="preserve"> (BIOGALENIC) — Comprimé pelliculé 150 mg — B/60 — Statut : Retiré (R)</w:t>
      </w:r>
    </w:p>
    <w:p>
      <w:pPr>
        <w:pStyle w:val="ListBullet"/>
      </w:pPr>
      <w:r/>
      <w:r>
        <w:rPr>
          <w:b/>
        </w:rPr>
        <w:t>RANITIDINE MABO</w:t>
      </w:r>
      <w:r>
        <w:t xml:space="preserve"> (MERINAL) — Comprimé pelliculé 150 mg — B/30 et B/60 — Statut : Retiré (R)</w:t>
      </w:r>
    </w:p>
    <w:p>
      <w:pPr>
        <w:pStyle w:val="ListBullet"/>
      </w:pPr>
      <w:r/>
      <w:r>
        <w:rPr>
          <w:b/>
        </w:rPr>
        <w:t>RANITIDINE BIOGARAN</w:t>
      </w:r>
      <w:r>
        <w:t xml:space="preserve"> (BIOGARAN) — Comprimé pelliculé 150 mg et 300 mg — B/30 et B/14 — Statut : Retiré (R)</w:t>
      </w:r>
    </w:p>
    <w:p>
      <w:pPr>
        <w:pStyle w:val="ListBullet"/>
      </w:pPr>
      <w:r/>
      <w:r>
        <w:rPr>
          <w:b/>
        </w:rPr>
        <w:t>RANIVITAL</w:t>
      </w:r>
      <w:r>
        <w:t xml:space="preserve"> (BIOVITAL Sarl) — Comprimé pelliculé 150 mg — B/30 — Statut : Retiré (R)</w:t>
      </w:r>
    </w:p>
    <w:p>
      <w:pPr>
        <w:pStyle w:val="ListBullet"/>
      </w:pPr>
      <w:r/>
      <w:r>
        <w:rPr>
          <w:b/>
        </w:rPr>
        <w:t>PEPTAC 300 mg</w:t>
      </w:r>
      <w:r>
        <w:t xml:space="preserve"> (AMMAN PHARMACEUTICAL INDUSTRIE) — Comprimé 300 mg — B/10 — Statut : Retiré (R)</w:t>
      </w:r>
    </w:p>
    <w:p>
      <w:pPr>
        <w:pStyle w:val="ListBullet"/>
      </w:pPr>
      <w:r/>
      <w:r>
        <w:rPr>
          <w:b/>
        </w:rPr>
        <w:t>RANIDINE 300 mg</w:t>
      </w:r>
      <w:r>
        <w:t xml:space="preserve"> (JPM) — Comprimé 300 mg — B/10 — Statut : Retiré (R)</w:t>
      </w:r>
    </w:p>
    <w:p>
      <w:pPr>
        <w:pStyle w:val="ListBullet"/>
      </w:pPr>
      <w:r/>
      <w:r>
        <w:rPr>
          <w:b/>
        </w:rPr>
        <w:t>TERPOSEN 300</w:t>
      </w:r>
      <w:r>
        <w:t xml:space="preserve"> (VIR SA) — Comprimé 300 mg — B/10 — Statut : Retiré (R)</w:t>
      </w:r>
    </w:p>
    <w:p>
      <w:pPr>
        <w:pStyle w:val="ListBullet"/>
      </w:pPr>
      <w:r/>
      <w:r>
        <w:rPr>
          <w:b/>
        </w:rPr>
        <w:t>APITIDINE 300 mg comprimé</w:t>
      </w:r>
      <w:r>
        <w:t xml:space="preserve"> (API) — Comprimé 300 mg — B/10 — Statut : Retiré (R)</w:t>
      </w:r>
    </w:p>
    <w:p>
      <w:pPr>
        <w:pStyle w:val="ListBullet"/>
      </w:pPr>
      <w:r/>
      <w:r>
        <w:rPr>
          <w:b/>
        </w:rPr>
        <w:t>RANICARE 300 mg</w:t>
      </w:r>
      <w:r>
        <w:t xml:space="preserve"> (BIOCARE) — Comprimé pelliculé 300 mg — B/10 et B/14 — Statut : Retiré (R)</w:t>
      </w:r>
    </w:p>
    <w:p>
      <w:pPr>
        <w:pStyle w:val="ListBullet"/>
      </w:pPr>
      <w:r/>
      <w:r>
        <w:rPr>
          <w:b/>
        </w:rPr>
        <w:t>RANIMEX 300 mg</w:t>
      </w:r>
      <w:r>
        <w:t xml:space="preserve"> (KPMA) — Comprimé pelliculé 300 mg — B/20 — Statut : Retiré (R)</w:t>
      </w:r>
    </w:p>
    <w:p>
      <w:pPr>
        <w:pStyle w:val="ListBullet"/>
      </w:pPr>
      <w:r/>
      <w:r>
        <w:rPr>
          <w:b/>
        </w:rPr>
        <w:t>RANITEX 300 mg comprimé</w:t>
      </w:r>
      <w:r>
        <w:t xml:space="preserve"> (PHARMALLIANCE) — Comprimé pelliculé 300 mg — B/10 — Statut : Retiré (R)</w:t>
      </w:r>
    </w:p>
    <w:p>
      <w:pPr>
        <w:pStyle w:val="ListBullet"/>
      </w:pPr>
      <w:r/>
      <w:r>
        <w:rPr>
          <w:b/>
        </w:rPr>
        <w:t>APITIDINE 150 mg effervescent</w:t>
      </w:r>
      <w:r>
        <w:t xml:space="preserve"> (API) — Comprimé effervescent 150 mg — B/20 — Statut : Retiré (R)</w:t>
      </w:r>
    </w:p>
    <w:p>
      <w:pPr>
        <w:pStyle w:val="ListBullet"/>
      </w:pPr>
      <w:r/>
      <w:r>
        <w:rPr>
          <w:b/>
        </w:rPr>
        <w:t>APITIDINE 300 mg effervescent</w:t>
      </w:r>
      <w:r>
        <w:t xml:space="preserve"> (API) — Comprimé effervescent 300 mg — B/10 — Statut : Retiré (R)</w:t>
      </w:r>
    </w:p>
    <w:p>
      <w:r/>
      <w:r>
        <w:rPr>
          <w:b/>
        </w:rPr>
        <w:t>Sous-classe et Mécanisme d'action :</w:t>
      </w:r>
      <w:r/>
    </w:p>
    <w:p>
      <w:pPr>
        <w:pStyle w:val="ListBullet"/>
      </w:pPr>
      <w:r/>
      <w:r>
        <w:rPr>
          <w:b/>
        </w:rPr>
        <w:t>Sous-classe :</w:t>
      </w:r>
      <w:r>
        <w:t xml:space="preserve"> Antihistaminique H2 (anti-H2) de 2ᵉ génération, dérivé du noyau furane (à la différence de la cimétidine qui est un dérivé imidazolique). Classification ATC : A02BA02.</w:t>
      </w:r>
    </w:p>
    <w:p>
      <w:pPr>
        <w:pStyle w:val="ListBullet"/>
      </w:pPr>
      <w:r/>
      <w:r>
        <w:rPr>
          <w:b/>
        </w:rPr>
        <w:t>Mécanisme d'action :</w:t>
      </w:r>
      <w:r>
        <w:t xml:space="preserve"> La ranitidine est un </w:t>
      </w:r>
      <w:r>
        <w:rPr>
          <w:b/>
        </w:rPr>
        <w:t>antagoniste compétitif</w:t>
      </w:r>
      <w:r>
        <w:t xml:space="preserve"> du récepteur H2 à l'histamine, récepteur couplé aux protéines Gs situé sur la membrane basolatérale des cellules pariétales fundiques. En bloquant ce récepteur, la ranitidine inhibe la cascade : histamine → H2 → Gs → adénylate cyclase → AMPc → protéine kinase A → activation de la H⁺/K⁺-ATPase. L'inhibition de la sécrétion acide est partielle (~60-70 % de la sécrétion basale, ~50 % de la sécrétion stimulée par les repas), car elle ne bloque pas les voies cholinergique (M3) et gastrinique (CCK2). La durée d'action est de 6 à 12 heures, imposant une administration biquotidienne.</w:t>
      </w:r>
    </w:p>
    <w:p>
      <w:r/>
      <w:r>
        <w:rPr>
          <w:b/>
        </w:rPr>
        <w:t>Profil Pharmacologique :</w:t>
      </w:r>
      <w:r/>
    </w:p>
    <w:p>
      <w:pPr>
        <w:pStyle w:val="ListBullet"/>
      </w:pPr>
      <w:r/>
      <w:r>
        <w:rPr>
          <w:b/>
        </w:rPr>
        <w:t>Indications :</w:t>
      </w:r>
      <w:r>
        <w:t xml:space="preserve"> </w:t>
      </w:r>
      <w:r>
        <w:rPr>
          <w:b/>
        </w:rPr>
        <w:t>À titre historique uniquement</w:t>
      </w:r>
      <w:r>
        <w:t xml:space="preserve"> — la ranitidine n'est plus indiquée ni disponible. Historiquement : RGO symptomatique et œsophagite érosive ; ulcère duodénal et gastrique ; éradication de *Helicobacter pylori* en association ; prévention du syndrome de Mendelson (aspiration acide) en anesthésie ; syndrome de Zollinger-Ellison ; prophylaxie de l'ulcère de stress en réanimation.</w:t>
      </w:r>
    </w:p>
    <w:p>
      <w:pPr>
        <w:pStyle w:val="ListBullet"/>
      </w:pPr>
      <w:r/>
      <w:r>
        <w:rPr>
          <w:b/>
        </w:rPr>
        <w:t>Contre-indications :</w:t>
      </w:r>
      <w:r>
        <w:t xml:space="preserve"> Hypersensibilité aux anti-H2 ; </w:t>
      </w:r>
      <w:r>
        <w:rPr>
          <w:b/>
        </w:rPr>
        <w:t>ranitidine retirée du marché mondial (2019-2020)</w:t>
      </w:r>
      <w:r>
        <w:t xml:space="preserve"> pour contamination par la NDMA — ne plus prescrire ni délivrer.</w:t>
      </w:r>
    </w:p>
    <w:p>
      <w:pPr>
        <w:pStyle w:val="ListBullet"/>
      </w:pPr>
      <w:r/>
      <w:r>
        <w:rPr>
          <w:b/>
        </w:rPr>
        <w:t>Effets Indésirables :</w:t>
      </w:r>
      <w:r>
        <w:t xml:space="preserve"> Historiques (à titre informatif) : céphalées, vertiges, diarrhée ou constipation, rash. Rares : bradycardie sinusale (forme IV), hépatites cytolytiques, thrombopénie, leucopénie, agranulocytose, gynécomastie (rare, à la différence de la cimétidine), confusion chez le sujet âgé ou insuffisant rénal. </w:t>
      </w:r>
      <w:r>
        <w:rPr>
          <w:b/>
        </w:rPr>
        <w:t>Risque spécifique (raison du retrait) :</w:t>
      </w:r>
      <w:r>
        <w:t xml:space="preserve"> contamination par la </w:t>
      </w:r>
      <w:r>
        <w:rPr>
          <w:b/>
        </w:rPr>
        <w:t>NDMA</w:t>
      </w:r>
      <w:r>
        <w:t>, cancérogène probable (groupe 2B CIRC) ; exposition chronique augmente le risque de tumeurs hépatiques, rénales et digestives.</w:t>
      </w:r>
    </w:p>
    <w:p>
      <w:r/>
      <w:r>
        <w:rPr>
          <w:b/>
        </w:rPr>
        <w:t>Prévention et Gestion des Effets Indésirables :</w:t>
      </w:r>
      <w:r/>
    </w:p>
    <w:p>
      <w:pPr>
        <w:pStyle w:val="ListBullet"/>
      </w:pPr>
      <w:r/>
      <w:r>
        <w:rPr>
          <w:b/>
        </w:rPr>
        <w:t>Mesures Préventives :</w:t>
      </w:r>
      <w:r>
        <w:t xml:space="preserve"> </w:t>
      </w:r>
      <w:r>
        <w:rPr>
          <w:b/>
        </w:rPr>
        <w:t>NE PLUS PRESCRIRE NI DÉLIVRER DE RANITIDINE.</w:t>
      </w:r>
      <w:r>
        <w:t xml:space="preserve"> Tout patient antérieurement traité par ranitidine doit être orienté vers une alternative : IPP (oméprazole, ésoméprazole, pantoprazole) en première intention, ou famotidine (anti-H2 non concerné par la contamination NDMA) en cas de contre-indication ou d'intolérance aux IPP.</w:t>
      </w:r>
    </w:p>
    <w:p>
      <w:pPr>
        <w:pStyle w:val="ListBullet"/>
      </w:pPr>
      <w:r/>
      <w:r>
        <w:rPr>
          <w:b/>
        </w:rPr>
        <w:t>Conduite à Tenir :</w:t>
      </w:r>
      <w:r>
        <w:t xml:space="preserve"> Au comptoir, refuser la délivrance de toute spécialité contenant de la ranitidine, même si l'ordonnance est ancienne. Expliquer au patient le motif du retrait (contamination par un cancérogène probable) et le substituer par un IPP ou de la famotidine après avis médical. Les patients ayant une exposition prolongée (&gt; 1 an) ou à dose élevée peuvent bénéficier d'une consultation médicale pour évaluation du rapport bénéfice/risque individuel, mais aucune surveillance spécifique systématique n'est recommandée.</w:t>
      </w:r>
    </w:p>
    <w:p>
      <w:r/>
      <w:r>
        <w:rPr>
          <w:b/>
        </w:rPr>
        <w:t>Interactions Importantes :</w:t>
      </w:r>
      <w:r/>
    </w:p>
    <w:p>
      <w:pPr>
        <w:pStyle w:val="ListBullet"/>
      </w:pPr>
      <w:r>
        <w:t>À titre historique (puisque la molécule est retirée) : la ranitidine n'était pas un inhibiteur significatif du CYP450 (à la différence de la cimétidine), ce qui expliquait son meilleur profil d'interactions. Quelques interactions décrites : baisse d'absorption du kétoconazole, de l'itraconazole, de l'atazanavir (par augmentation du pH gastrique) ; potentialisation de la warfarine et de la nifédipine (légère) ; compétition tubulaire rénale avec la procainamide.</w:t>
      </w:r>
    </w:p>
    <w:p>
      <w:r/>
      <w:r>
        <w:rPr>
          <w:b/>
        </w:rPr>
        <w:t>Grossesse et Allaitement :</w:t>
      </w:r>
      <w:r/>
    </w:p>
    <w:p>
      <w:pPr>
        <w:pStyle w:val="ListBullet"/>
      </w:pPr>
      <w:r/>
      <w:r>
        <w:rPr>
          <w:b/>
        </w:rPr>
        <w:t>Grossesse :</w:t>
      </w:r>
      <w:r>
        <w:t xml:space="preserve"> La ranitidine était considérée comme compatible pendant la grossesse (données rassurantes, utilisation historique dans le syndrome de Mendelson). </w:t>
      </w:r>
      <w:r>
        <w:rPr>
          <w:b/>
        </w:rPr>
        <w:t>Toutefois, en raison du retrait du marché, elle ne doit plus être utilisée chez la femme enceinte.</w:t>
      </w:r>
      <w:r>
        <w:t xml:space="preserve"> Recourir à l'oméprazole ou à la famotidine.</w:t>
      </w:r>
    </w:p>
    <w:p>
      <w:pPr>
        <w:pStyle w:val="ListBullet"/>
      </w:pPr>
      <w:r/>
      <w:r>
        <w:rPr>
          <w:b/>
        </w:rPr>
        <w:t>Allaitement :</w:t>
      </w:r>
      <w:r>
        <w:t xml:space="preserve"> La ranitidine passait dans le lait maternel (ratio lait/plasma ~5, ce qui était un point d'attention). </w:t>
      </w:r>
      <w:r>
        <w:rPr>
          <w:b/>
        </w:rPr>
        <w:t>Ne plus utiliser chez la femme allaitante.</w:t>
      </w:r>
      <w:r>
        <w:t xml:space="preserve"> Préférer l'oméprazole.</w:t>
      </w:r>
    </w:p>
    <w:p>
      <w:r/>
      <w:r>
        <w:rPr>
          <w:b/>
        </w:rPr>
        <w:t>Posologie et Mode d'administration (Standard) :</w:t>
      </w:r>
      <w:r/>
    </w:p>
    <w:p>
      <w:pPr>
        <w:pStyle w:val="ListBullet"/>
      </w:pPr>
      <w:r/>
      <w:r>
        <w:rPr>
          <w:b/>
        </w:rPr>
        <w:t>À titre historique uniquement</w:t>
      </w:r>
      <w:r>
        <w:t xml:space="preserve"> (la ranitidine n'est plus disponible) :</w:t>
      </w:r>
    </w:p>
    <w:p>
      <w:pPr>
        <w:pStyle w:val="ListBullet"/>
      </w:pPr>
      <w:r>
        <w:t>Adulte oral : 150 mg × 2/jour (matin et soir) ou 300 mg au coucher.</w:t>
      </w:r>
    </w:p>
    <w:p>
      <w:pPr>
        <w:pStyle w:val="ListBullet"/>
      </w:pPr>
      <w:r>
        <w:t>Forme IM/IV : 50 mg × 3-4/jour (syndrome de Mendelson, Zollinger-Ellison).</w:t>
      </w:r>
    </w:p>
    <w:p>
      <w:pPr>
        <w:pStyle w:val="ListBullet"/>
      </w:pPr>
      <w:r>
        <w:t>Enfant : 2-4 mg/kg/jour en 2 prises.</w:t>
      </w:r>
    </w:p>
    <w:p>
      <w:pPr>
        <w:pStyle w:val="ListBullet"/>
      </w:pPr>
      <w:r/>
      <w:r>
        <w:rPr>
          <w:b/>
        </w:rPr>
        <w:t>Substitution recommandée :</w:t>
      </w:r>
      <w:r/>
    </w:p>
    <w:p>
      <w:pPr>
        <w:pStyle w:val="ListBullet"/>
      </w:pPr>
      <w:r>
        <w:t>Oméprazole 20 mg/jour (équivalent anti-sécrétoire supérieur).</w:t>
      </w:r>
    </w:p>
    <w:p>
      <w:pPr>
        <w:pStyle w:val="ListBullet"/>
      </w:pPr>
      <w:r>
        <w:t>Famotidine 20-40 mg/jour (équivalent anti-H2).</w:t>
      </w:r>
    </w:p>
    <w:p>
      <w:r/>
      <w:r>
        <w:rPr>
          <w:b/>
        </w:rPr>
        <w:t>Arbitrage et Bénéfices des Formes Galéniques :</w:t>
      </w:r>
      <w:r/>
    </w:p>
    <w:p>
      <w:r>
        <w:t xml:space="preserve">La ranitidine existait historiquement en comprimés (75, 150 et 300 mg), comprimés effervescents (150 et 300 mg) et solution injectable IM/IV (50 mg/2 mL). </w:t>
      </w:r>
      <w:r>
        <w:rPr>
          <w:b/>
        </w:rPr>
        <w:t>Toutes les formes sont retirées du marché algérien.</w:t>
      </w:r>
      <w:r>
        <w:t xml:space="preserve"> La seule alternative en anti-H2 disponible est la </w:t>
      </w:r>
      <w:r>
        <w:rPr>
          <w:b/>
        </w:rPr>
        <w:t>famotidine</w:t>
      </w:r>
      <w:r>
        <w:t xml:space="preserve"> (FAMOXINE, FAMOTIDINE MABO).</w:t>
      </w:r>
    </w:p>
    <w:p>
      <w:r/>
      <w:r>
        <w:rPr>
          <w:b/>
        </w:rPr>
        <w:t>Instructions et Conseils au Patient :</w:t>
      </w:r>
      <w:r/>
    </w:p>
    <w:p>
      <w:pPr>
        <w:pStyle w:val="ListBullet"/>
      </w:pPr>
      <w:r/>
      <w:r>
        <w:rPr>
          <w:b/>
        </w:rPr>
        <w:t>Communication au comptoir :</w:t>
      </w:r>
      <w:r>
        <w:t xml:space="preserve"> « La ranitidine (Azantac®, Ranitex®, etc.) a été retirée du marché en 2019-2020 car elle peut contenir une substance potentiellement cancérogène (NDMA). Je ne peux pas vous la délivrer. Je vous propose de contacter votre médecin pour qu'il vous prescrive un médicament équivalent (oméprazole, ésoméprazole ou famotidine). »</w:t>
      </w:r>
    </w:p>
    <w:p>
      <w:pPr>
        <w:pStyle w:val="ListBullet"/>
      </w:pPr>
      <w:r/>
      <w:r>
        <w:rPr>
          <w:b/>
        </w:rPr>
        <w:t>Mode d'utilisation pratique :</w:t>
      </w:r>
      <w:r>
        <w:t xml:space="preserve"> Ne pas utiliser de ranitidine restée éventuellement dans les armoires à pharmacie domestiques. Rapporter les conditionnements non utilisés en pharmacie pour destruction.</w:t>
      </w:r>
    </w:p>
    <w:p>
      <w:r/>
      <w:r>
        <w:rPr>
          <w:b/>
        </w:rPr>
        <w:t>Notes, Règles d'Or &amp; Pièges au Comptoir :</w:t>
      </w:r>
      <w:r/>
    </w:p>
    <w:p>
      <w:pPr>
        <w:pStyle w:val="ListBullet"/>
      </w:pPr>
      <w:r/>
      <w:r>
        <w:rPr>
          <w:b/>
        </w:rPr>
        <w:t>Piège classique n°1 — Ordonnance ancienne prescrivant de la ranitidine :</w:t>
      </w:r>
      <w:r>
        <w:t xml:space="preserve"> Refuser la délivrance et orienter le patient vers son médecin pour substitution par un IPP ou de la famotidine.</w:t>
      </w:r>
    </w:p>
    <w:p>
      <w:pPr>
        <w:pStyle w:val="ListBullet"/>
      </w:pPr>
      <w:r/>
      <w:r>
        <w:rPr>
          <w:b/>
        </w:rPr>
        <w:t>Piège classique n°2 — Stocks domestiques périmés :</w:t>
      </w:r>
      <w:r>
        <w:t xml:space="preserve"> Inviter les patients à rapporter les anciens conditionnements pour destruction.</w:t>
      </w:r>
    </w:p>
    <w:p>
      <w:pPr>
        <w:pStyle w:val="ListBullet"/>
      </w:pPr>
      <w:r/>
      <w:r>
        <w:rPr>
          <w:b/>
        </w:rPr>
        <w:t>Piège classique n°3 — Confusion ranitidine / famotidine :</w:t>
      </w:r>
      <w:r>
        <w:t xml:space="preserve"> La famotidine n'a pas été concernée par la contamination NDMA et reste disponible. Ne pas confondre les deux anti-H2.</w:t>
      </w:r>
    </w:p>
    <w:p>
      <w:pPr>
        <w:pStyle w:val="ListBullet"/>
      </w:pPr>
      <w:r/>
      <w:r>
        <w:rPr>
          <w:b/>
        </w:rPr>
        <w:t>Règle de prise :</w:t>
      </w:r>
      <w:r>
        <w:t xml:space="preserve"> Ne s'applique plus (ranitidine retirée).</w:t>
      </w:r>
    </w:p>
    <w:p>
      <w:pPr>
        <w:pStyle w:val="ListBullet"/>
      </w:pPr>
      <w:r/>
      <w:r>
        <w:rPr>
          <w:b/>
        </w:rPr>
        <w:t>Préparation et Conservation :</w:t>
      </w:r>
      <w:r>
        <w:t xml:space="preserve"> Ne pas conserver de ranitidine à domicile.</w:t>
      </w:r>
    </w:p>
    <w:p>
      <w:pPr>
        <w:pStyle w:val="ListBullet"/>
      </w:pPr>
      <w:r/>
      <w:r>
        <w:rPr>
          <w:b/>
        </w:rPr>
        <w:t>Piège du surdosage / Substitution :</w:t>
      </w:r>
      <w:r>
        <w:t xml:space="preserve"> Substitution systématique par IPP (oméprazole 20 mg/jour) ou famotidine 20-40 mg/jour.</w:t>
      </w:r>
    </w:p>
    <w:p>
      <w:pPr>
        <w:pStyle w:val="Heading3"/>
      </w:pPr>
      <w:r>
        <w:t>6. DCI : Famotidine (Seule)</w:t>
      </w:r>
    </w:p>
    <w:p>
      <w:r/>
      <w:r>
        <w:rPr>
          <w:b/>
        </w:rPr>
        <w:t>Liste des Catégories :</w:t>
      </w:r>
      <w:r>
        <w:t xml:space="preserve"> Antihistaminiques H2 (anti-H2) ; Anti-ulcéreux ; Antagoniste compétitif du récepteur H2 à l'histamine ; Liste II ; Prescription médicale obligatoire ; Forme orale (comprimé).</w:t>
      </w:r>
    </w:p>
    <w:p>
      <w:r>
        <w:t xml:space="preserve">La famotidine est un anti-H2 de 3ᵉ génération, commercialisé depuis 1985 sous le nom de Pepcid® (Merck). Elle se distingue de la ranitidine par une </w:t>
      </w:r>
      <w:r>
        <w:rPr>
          <w:b/>
        </w:rPr>
        <w:t>puissance antisécrétoire supérieure</w:t>
      </w:r>
      <w:r>
        <w:t xml:space="preserve"> (20 à 30 fois plus puissante que la ranitidine sur une base molaire), une </w:t>
      </w:r>
      <w:r>
        <w:rPr>
          <w:b/>
        </w:rPr>
        <w:t>demi-vie plasmatique plus longue</w:t>
      </w:r>
      <w:r>
        <w:t xml:space="preserve"> (3 heures vs 2 heures) et une </w:t>
      </w:r>
      <w:r>
        <w:rPr>
          <w:b/>
        </w:rPr>
        <w:t>durée d'action plus prolongée</w:t>
      </w:r>
      <w:r>
        <w:t xml:space="preserve"> (10-12 heures vs 6-8 heures). Elle n'est pas métabolisée par le CYP450 de façon significative (peu d'interactions médicamenteuses, à la différence de la cimétidine), et est excrétée principalement par voie rénale. La famotidine a connu un </w:t>
      </w:r>
      <w:r>
        <w:rPr>
          <w:b/>
        </w:rPr>
        <w:t>regain d'intérêt majeur</w:t>
      </w:r>
      <w:r>
        <w:t xml:space="preserve"> après le retrait de la ranitidine en 2019-2020, et constitue désormais l'</w:t>
      </w:r>
      <w:r>
        <w:rPr>
          <w:b/>
        </w:rPr>
        <w:t>anti-H2 de référence</w:t>
      </w:r>
      <w:r>
        <w:t xml:space="preserve"> en Algérie.</w:t>
      </w:r>
    </w:p>
    <w:p>
      <w:r/>
      <w:r>
        <w:rPr>
          <w:b/>
        </w:rPr>
        <w:t>Médicaments disponibles en Algérie (Marques, Laboratoires, Formes et Dosages) :</w:t>
      </w:r>
      <w:r/>
    </w:p>
    <w:p>
      <w:r/>
      <w:r>
        <w:rPr>
          <w:i/>
        </w:rPr>
        <w:t>Spécialités actives :</w:t>
      </w:r>
      <w:r/>
    </w:p>
    <w:p>
      <w:pPr>
        <w:pStyle w:val="ListBullet"/>
      </w:pPr>
      <w:r/>
      <w:r>
        <w:rPr>
          <w:b/>
        </w:rPr>
        <w:t>FAMOTIDINE MABO 40</w:t>
      </w:r>
      <w:r>
        <w:t xml:space="preserve"> (LABORATOIRES MERINAL) — Comprimé 40 mg — B/20 — Statut : Actif</w:t>
      </w:r>
    </w:p>
    <w:p>
      <w:pPr>
        <w:pStyle w:val="ListBullet"/>
      </w:pPr>
      <w:r/>
      <w:r>
        <w:rPr>
          <w:b/>
        </w:rPr>
        <w:t>FAMOXINE 40 mg</w:t>
      </w:r>
      <w:r>
        <w:t xml:space="preserve"> (PHARMALLIANCE) — Comprimé pelliculé 40 mg — B/20 — Statut : Actif</w:t>
      </w:r>
    </w:p>
    <w:p>
      <w:pPr>
        <w:pStyle w:val="ListBullet"/>
      </w:pPr>
      <w:r/>
      <w:r>
        <w:rPr>
          <w:b/>
        </w:rPr>
        <w:t>FAMOTIDINE MABO 20</w:t>
      </w:r>
      <w:r>
        <w:t xml:space="preserve"> (LABORATOIRES MERINAL) — Comprimé 20 mg — B/20 — Statut : Actif</w:t>
      </w:r>
    </w:p>
    <w:p>
      <w:pPr>
        <w:pStyle w:val="ListBullet"/>
      </w:pPr>
      <w:r/>
      <w:r>
        <w:rPr>
          <w:b/>
        </w:rPr>
        <w:t>FAMOXINE 20 mg</w:t>
      </w:r>
      <w:r>
        <w:t xml:space="preserve"> (PHARMALLIANCE) — Comprimé pelliculé 20 mg — B/20 — Statut : Actif</w:t>
      </w:r>
    </w:p>
    <w:p>
      <w:r/>
      <w:r>
        <w:rPr>
          <w:i/>
        </w:rPr>
        <w:t>Spécialités retirées du marché (R) :</w:t>
      </w:r>
      <w:r/>
    </w:p>
    <w:p>
      <w:pPr>
        <w:pStyle w:val="ListBullet"/>
      </w:pPr>
      <w:r/>
      <w:r>
        <w:rPr>
          <w:b/>
        </w:rPr>
        <w:t>FAMOTIDYN-HISPAL</w:t>
      </w:r>
      <w:r>
        <w:t xml:space="preserve"> (HISPAL PHARMA SPA) — Comprimé 40 mg — B/20 — Statut : Retiré (R)</w:t>
      </w:r>
    </w:p>
    <w:p>
      <w:pPr>
        <w:pStyle w:val="ListBullet"/>
      </w:pPr>
      <w:r/>
      <w:r>
        <w:rPr>
          <w:b/>
        </w:rPr>
        <w:t>FAMODINE</w:t>
      </w:r>
      <w:r>
        <w:t xml:space="preserve"> (HIKMA PHARMACEUTICALS) — Comprimé 20 mg — B/20 — Statut : Retiré (R)</w:t>
      </w:r>
    </w:p>
    <w:p>
      <w:r/>
      <w:r>
        <w:rPr>
          <w:b/>
        </w:rPr>
        <w:t>Sous-classe et Mécanisme d'action :</w:t>
      </w:r>
      <w:r/>
    </w:p>
    <w:p>
      <w:pPr>
        <w:pStyle w:val="ListBullet"/>
      </w:pPr>
      <w:r/>
      <w:r>
        <w:rPr>
          <w:b/>
        </w:rPr>
        <w:t>Sous-classe :</w:t>
      </w:r>
      <w:r>
        <w:t xml:space="preserve"> Antihistaminique H2 (anti-H2) de 3ᵉ génération, dérivé du noyau thiazole (à la différence de la cimétidine imidazolique et de la ranitidine furanique). Classification ATC : A02BA03.</w:t>
      </w:r>
    </w:p>
    <w:p>
      <w:pPr>
        <w:pStyle w:val="ListBullet"/>
      </w:pPr>
      <w:r/>
      <w:r>
        <w:rPr>
          <w:b/>
        </w:rPr>
        <w:t>Mécanisme d'action :</w:t>
      </w:r>
      <w:r>
        <w:t xml:space="preserve"> La famotidine est un </w:t>
      </w:r>
      <w:r>
        <w:rPr>
          <w:b/>
        </w:rPr>
        <w:t>antagoniste compétitif du récepteur H2</w:t>
      </w:r>
      <w:r>
        <w:t xml:space="preserve"> à l'histamine, récepteur couplé aux protéines Gs situé sur la membrane basolatérale des cellules pariétales fundiques. En bloquant ce récepteur, la famotidine inhibe la cascade : histamine → H2 → Gs → adénylate cyclase → AMPc → protéine kinase A → activation de la H⁺/K⁺-ATPase. L'inhibition de la sécrétion acide est partielle (~60-70 % de la sécrétion basale, ~50 % de la sécrétion stimulée par les repas), car elle ne bloque pas les voies cholinergique (M3) et gastrinique (CCK2). La durée d'action est de </w:t>
      </w:r>
      <w:r>
        <w:rPr>
          <w:b/>
        </w:rPr>
        <w:t>10 à 12 heures</w:t>
      </w:r>
      <w:r>
        <w:t xml:space="preserve">, plus longue que la ranitidine (6-8 h), ce qui permet une administration </w:t>
      </w:r>
      <w:r>
        <w:rPr>
          <w:b/>
        </w:rPr>
        <w:t>biquotidienne</w:t>
      </w:r>
      <w:r>
        <w:t xml:space="preserve"> (voire une fois par jour pour le traitement d'entretien à 20 mg). La famotidine est </w:t>
      </w:r>
      <w:r>
        <w:rPr>
          <w:b/>
        </w:rPr>
        <w:t>20 à 30 fois plus puissante</w:t>
      </w:r>
      <w:r>
        <w:t xml:space="preserve"> que la ranitidine sur une base molaire.</w:t>
      </w:r>
    </w:p>
    <w:p>
      <w:r/>
      <w:r>
        <w:rPr>
          <w:b/>
        </w:rPr>
        <w:t>Profil Pharmacologique :</w:t>
      </w:r>
      <w:r/>
    </w:p>
    <w:p>
      <w:pPr>
        <w:pStyle w:val="ListBullet"/>
      </w:pPr>
      <w:r/>
      <w:r>
        <w:rPr>
          <w:b/>
        </w:rPr>
        <w:t>Indications :</w:t>
      </w:r>
      <w:r>
        <w:t xml:space="preserve"> Reflux gastro-œsophagien (RGO) symptomatique ; ulcère duodénal et gastrique ; éradication de *Helicobacter pylori* en association (amoxicilline + clarithromycine) ; syndrome de Zollinger-Ellison ; prévention des ulcères induits par les AINS ; alternative aux IPP en cas de contre-indication, d'intolérance ou d'inefficacité des IPP. La famotidine est particulièrement indiquée chez les patients intolérants aux IPP (céphalées chroniques, diarrhée persistante, hypomagnésémie symptomatique) ou présentant un RGO nocturne résiduel sous IPP.</w:t>
      </w:r>
    </w:p>
    <w:p>
      <w:pPr>
        <w:pStyle w:val="ListBullet"/>
      </w:pPr>
      <w:r/>
      <w:r>
        <w:rPr>
          <w:b/>
        </w:rPr>
        <w:t>Contre-indications :</w:t>
      </w:r>
      <w:r>
        <w:t xml:space="preserve"> Hypersensibilité aux anti-H2 ; prudence en cas d'insuffisance rénale (adaptation posologique nécessaire) ; prudence chez le sujet âgé (risque de confusion mentale).</w:t>
      </w:r>
    </w:p>
    <w:p>
      <w:pPr>
        <w:pStyle w:val="ListBullet"/>
      </w:pPr>
      <w:r/>
      <w:r>
        <w:rPr>
          <w:b/>
        </w:rPr>
        <w:t>Effets Indésirables :</w:t>
      </w:r>
      <w:r>
        <w:t xml:space="preserve"> Céphalées, vertiges, diarrhée ou constipation, rash (fréquents) ; rares : bradycardie sinusale, bloc auriculo-ventriculaire (formes IV, non disponibles en Algérie), hépatites cytolytiques, thrombopénie, leucopénie, agranulocytose, confusion mentale (sujet âgé ou insuffisant rénal), gynécomastie (exceptionnelle, à la différence de la cimétidine). </w:t>
      </w:r>
      <w:r>
        <w:rPr>
          <w:b/>
        </w:rPr>
        <w:t>Au long cours :</w:t>
      </w:r>
      <w:r>
        <w:t xml:space="preserve"> tolérance/acquomanie (tachyphylaxie possible après 2-4 semaines, nécessitant une rotation IPP/anti-H2 ou une augmentation de dose) ; risque d'infections à *C. difficile* et de pneumonies (moindre qu'avec les IPP).</w:t>
      </w:r>
    </w:p>
    <w:p>
      <w:r/>
      <w:r>
        <w:rPr>
          <w:b/>
        </w:rPr>
        <w:t>Prévention et Gestion des Effets Indésirables :</w:t>
      </w:r>
      <w:r/>
    </w:p>
    <w:p>
      <w:pPr>
        <w:pStyle w:val="ListBullet"/>
      </w:pPr>
      <w:r/>
      <w:r>
        <w:rPr>
          <w:b/>
        </w:rPr>
        <w:t>Mesures Préventives :</w:t>
      </w:r>
      <w:r>
        <w:t xml:space="preserve"> Dose minimale efficace et durée la plus courte possible ; adaptation posologique en cas d'insuffisance rénale (ClCr &lt; 50 mL/min : demi-dose) ; surveillance de l'état mental chez le sujet âgé ; éviter l'usage prolongé en monothérapie sans réévaluation (risque de tachyphylaxie).</w:t>
      </w:r>
    </w:p>
    <w:p>
      <w:pPr>
        <w:pStyle w:val="ListBullet"/>
      </w:pPr>
      <w:r/>
      <w:r>
        <w:rPr>
          <w:b/>
        </w:rPr>
        <w:t>Conduite à Tenir :</w:t>
      </w:r>
      <w:r>
        <w:t xml:space="preserve"> Arrêt en cas de confusion mentale (sujet âgé), de rash étendu, d'ictère ou de signes d'hypersensibilité ; supplémentation alternative IPP en cas d'échec (tachyphylaxie) ; déclaration de pharmacovigilance pour tout effet grave.</w:t>
      </w:r>
    </w:p>
    <w:p>
      <w:r/>
      <w:r>
        <w:rPr>
          <w:b/>
        </w:rPr>
        <w:t>Interactions Importantes :</w:t>
      </w:r>
      <w:r/>
    </w:p>
    <w:p>
      <w:pPr>
        <w:pStyle w:val="ListBullet"/>
      </w:pPr>
      <w:r/>
      <w:r>
        <w:rPr>
          <w:b/>
        </w:rPr>
        <w:t>Famotidine + antiacides / sucralfate :</w:t>
      </w:r>
      <w:r>
        <w:t xml:space="preserve"> Prise à distance de 2 heures (les antiacides peuvent réduire l'absorption de la famotidine).</w:t>
      </w:r>
    </w:p>
    <w:p>
      <w:pPr>
        <w:pStyle w:val="ListBullet"/>
      </w:pPr>
      <w:r/>
      <w:r>
        <w:rPr>
          <w:b/>
        </w:rPr>
        <w:t>Famotidine + kétoconazole, itraconazole, posaconazole, atazanavir, erlotinib :</w:t>
      </w:r>
      <w:r>
        <w:t xml:space="preserve"> Baisse de leur absorption (augmentation du pH gastrique), identique à tous les anti-H2 et IPP.</w:t>
      </w:r>
    </w:p>
    <w:p>
      <w:pPr>
        <w:pStyle w:val="ListBullet"/>
      </w:pPr>
      <w:r/>
      <w:r>
        <w:rPr>
          <w:b/>
        </w:rPr>
        <w:t>Famotidine + procainamide :</w:t>
      </w:r>
      <w:r>
        <w:t xml:space="preserve"> Compétition tubulaire rénale (les deux sont sécrétés par la base organique cationique) → augmentation des taux de procainamide.</w:t>
      </w:r>
    </w:p>
    <w:p>
      <w:pPr>
        <w:pStyle w:val="ListBullet"/>
      </w:pPr>
      <w:r/>
      <w:r>
        <w:rPr>
          <w:b/>
        </w:rPr>
        <w:t>Famotidine + cefditoren, cefpodoxime, enoxacin :</w:t>
      </w:r>
      <w:r>
        <w:t xml:space="preserve"> Baisse de leur absorption.</w:t>
      </w:r>
    </w:p>
    <w:p>
      <w:pPr>
        <w:pStyle w:val="ListBullet"/>
      </w:pPr>
      <w:r>
        <w:t xml:space="preserve">À la différence de la cimétidine, la famotidine </w:t>
      </w:r>
      <w:r>
        <w:rPr>
          <w:b/>
        </w:rPr>
        <w:t>n'inhibe pas significativement le CYP450</w:t>
      </w:r>
      <w:r>
        <w:t>, ce qui explique son faible profil d'interactions médicamenteuses systémiques.</w:t>
      </w:r>
    </w:p>
    <w:p>
      <w:r/>
      <w:r>
        <w:rPr>
          <w:b/>
        </w:rPr>
        <w:t>Grossesse et Allaitement :</w:t>
      </w:r>
      <w:r/>
    </w:p>
    <w:p>
      <w:pPr>
        <w:pStyle w:val="ListBullet"/>
      </w:pPr>
      <w:r/>
      <w:r>
        <w:rPr>
          <w:b/>
        </w:rPr>
        <w:t>Grossesse :</w:t>
      </w:r>
      <w:r>
        <w:t xml:space="preserve"> Les données animales et humaines sont limitées mais rassurantes. La famotidine est considérée comme </w:t>
      </w:r>
      <w:r>
        <w:rPr>
          <w:b/>
        </w:rPr>
        <w:t>compatible pendant la grossesse</w:t>
      </w:r>
      <w:r>
        <w:t xml:space="preserve"> si nécessaire (CRAT, LactMed), en deuxième intention après l'oméprazole. À éviter au 1er trimestre par prudence si alternative thérapeutique possible.</w:t>
      </w:r>
    </w:p>
    <w:p>
      <w:pPr>
        <w:pStyle w:val="ListBullet"/>
      </w:pPr>
      <w:r/>
      <w:r>
        <w:rPr>
          <w:b/>
        </w:rPr>
        <w:t>Allaitement :</w:t>
      </w:r>
      <w:r>
        <w:t xml:space="preserve"> La famotidine passe dans le lait maternel en faible quantité (ratio lait/plasma ~1,5). Considérée comme </w:t>
      </w:r>
      <w:r>
        <w:rPr>
          <w:b/>
        </w:rPr>
        <w:t>compatible avec l'allaitement</w:t>
      </w:r>
      <w:r>
        <w:t xml:space="preserve"> aux doses thérapeutiques (CRAT, LactMed), mais l'oméprazole reste l'IPP de référence chez la femme allaitante en raison du recul supérieur.</w:t>
      </w:r>
    </w:p>
    <w:p>
      <w:pPr>
        <w:pStyle w:val="ListBullet"/>
      </w:pPr>
      <w:r/>
      <w:r>
        <w:rPr>
          <w:b/>
        </w:rPr>
        <w:t>Précisions :</w:t>
      </w:r>
      <w:r>
        <w:t xml:space="preserve"> La famotidine est une alternative utile à l'oméprazole chez la femme enceinte en cas d'intolérance ou de contre-indication aux IPP.</w:t>
      </w:r>
    </w:p>
    <w:p>
      <w:r/>
      <w:r>
        <w:rPr>
          <w:b/>
        </w:rPr>
        <w:t>Posologie et Mode d'administration (Standard) :</w:t>
      </w:r>
      <w:r/>
    </w:p>
    <w:p>
      <w:pPr>
        <w:pStyle w:val="ListBullet"/>
      </w:pPr>
      <w:r/>
      <w:r>
        <w:rPr>
          <w:b/>
        </w:rPr>
        <w:t>Adulte :</w:t>
      </w:r>
      <w:r/>
    </w:p>
    <w:p>
      <w:pPr>
        <w:pStyle w:val="ListBullet"/>
      </w:pPr>
      <w:r>
        <w:t>RGO symptomatique : 20 mg × 2/jour pendant 4-6 semaines.</w:t>
      </w:r>
    </w:p>
    <w:p>
      <w:pPr>
        <w:pStyle w:val="ListBullet"/>
      </w:pPr>
      <w:r>
        <w:t>Œsophagite érosive : 20-40 mg × 2/jour pendant 6-12 semaines.</w:t>
      </w:r>
    </w:p>
    <w:p>
      <w:pPr>
        <w:pStyle w:val="ListBullet"/>
      </w:pPr>
      <w:r>
        <w:t>Ulcère duodénal : 40 mg au coucher pendant 4-8 semaines (ou 20 mg × 2/jour).</w:t>
      </w:r>
    </w:p>
    <w:p>
      <w:pPr>
        <w:pStyle w:val="ListBullet"/>
      </w:pPr>
      <w:r>
        <w:t>Ulcère gastrique : 40 mg au coucher pendant 6-8 semaines.</w:t>
      </w:r>
    </w:p>
    <w:p>
      <w:pPr>
        <w:pStyle w:val="ListBullet"/>
      </w:pPr>
      <w:r>
        <w:t>Éradication *H. pylori* : famotidine 20 mg × 2/jour + amoxicilline 1 g × 2/jour + clarithromycine 500 mg × 2/jour pendant 7-14 jours (alternative à l'IPP).</w:t>
      </w:r>
    </w:p>
    <w:p>
      <w:pPr>
        <w:pStyle w:val="ListBullet"/>
      </w:pPr>
      <w:r>
        <w:t>Prévention ulcère AINS : 20 mg × 2/jour ou 40 mg au coucher.</w:t>
      </w:r>
    </w:p>
    <w:p>
      <w:pPr>
        <w:pStyle w:val="ListBullet"/>
      </w:pPr>
      <w:r>
        <w:t>Zollinger-Ellison : dose initiale 20 mg × 6/jour (120 mg/jour), titration jusqu'à 480 mg/jour.</w:t>
      </w:r>
    </w:p>
    <w:p>
      <w:pPr>
        <w:pStyle w:val="ListBullet"/>
      </w:pPr>
      <w:r>
        <w:t>Traitement d'entretien : 20 mg au coucher.</w:t>
      </w:r>
    </w:p>
    <w:p>
      <w:pPr>
        <w:pStyle w:val="ListBullet"/>
      </w:pPr>
      <w:r/>
      <w:r>
        <w:rPr>
          <w:b/>
        </w:rPr>
        <w:t>Enfant &gt; 12 ans :</w:t>
      </w:r>
      <w:r>
        <w:t xml:space="preserve"> 0,5 mg/kg/jour en 2 prises (max 40 mg/jour).</w:t>
      </w:r>
    </w:p>
    <w:p>
      <w:pPr>
        <w:pStyle w:val="ListBullet"/>
      </w:pPr>
      <w:r/>
      <w:r>
        <w:rPr>
          <w:b/>
        </w:rPr>
        <w:t>Insuffisance rénale (ClCr &lt; 50 mL/min) :</w:t>
      </w:r>
      <w:r>
        <w:t xml:space="preserve"> Demi-dose (20 mg/jour ou 40 mg un jour sur deux).</w:t>
      </w:r>
    </w:p>
    <w:p>
      <w:pPr>
        <w:pStyle w:val="ListBullet"/>
      </w:pPr>
      <w:r/>
      <w:r>
        <w:rPr>
          <w:b/>
        </w:rPr>
        <w:t>Durée :</w:t>
      </w:r>
      <w:r>
        <w:t xml:space="preserve"> Cure courte 4-8 semaines (RGO/ulcère), 7-14 jours (éradication *H. pylori*), prolongée au cas par cas (Zollinger-Ellison, prévention AINS, entretien RGO sévère).</w:t>
      </w:r>
    </w:p>
    <w:p>
      <w:pPr>
        <w:pStyle w:val="ListBullet"/>
      </w:pPr>
      <w:r/>
      <w:r>
        <w:rPr>
          <w:b/>
        </w:rPr>
        <w:t>Moment de la prise :</w:t>
      </w:r>
      <w:r>
        <w:t xml:space="preserve"> Idéalement </w:t>
      </w:r>
      <w:r>
        <w:rPr>
          <w:b/>
        </w:rPr>
        <w:t>au coucher</w:t>
      </w:r>
      <w:r>
        <w:t xml:space="preserve"> (pour une dose unique) ou </w:t>
      </w:r>
      <w:r>
        <w:rPr>
          <w:b/>
        </w:rPr>
        <w:t>matin et soir</w:t>
      </w:r>
      <w:r>
        <w:t xml:space="preserve"> (biquotidien). La prise alimentaire n'a pas d'impact significatif sur l'absorption.</w:t>
      </w:r>
    </w:p>
    <w:p>
      <w:r/>
      <w:r>
        <w:rPr>
          <w:b/>
        </w:rPr>
        <w:t>Arbitrage et Bénéfices des Formes Galéniques :</w:t>
      </w:r>
      <w:r/>
    </w:p>
    <w:p>
      <w:r>
        <w:t xml:space="preserve">La famotidine est disponible en Algérie en </w:t>
      </w:r>
      <w:r>
        <w:rPr>
          <w:b/>
        </w:rPr>
        <w:t>comprimés</w:t>
      </w:r>
      <w:r>
        <w:t xml:space="preserve"> (20 et 40 mg). Cette forme est facile à avaler et bien adaptée au sujet âgé. La disponibilité des deux dosages (20 et 40 mg) permet une adaptation fine à l'indication : 20 mg pour le traitement d'entretien et le RGO léger, 40 mg pour les ulcères et le Zollinger-Ellison. La famotidine n'existe pas en forme IV en Algérie (à l'international, forme IV disponible pour usage hospitalier). La famotidine peut être utilisée en traitement à la demande du pyrosis occasionnel (20 mg en prise unique selon les symptômes), alternative à l'IPP à la demande.</w:t>
      </w:r>
    </w:p>
    <w:p>
      <w:r/>
      <w:r>
        <w:rPr>
          <w:b/>
        </w:rPr>
        <w:t>Instructions et Conseils au Patient :</w:t>
      </w:r>
      <w:r/>
    </w:p>
    <w:p>
      <w:pPr>
        <w:pStyle w:val="ListBullet"/>
      </w:pPr>
      <w:r/>
      <w:r>
        <w:rPr>
          <w:b/>
        </w:rPr>
        <w:t>Communication au comptoir :</w:t>
      </w:r>
      <w:r>
        <w:t xml:space="preserve"> « Prenez votre comprimé au coucher (ou matin et soir selon la prescription), avec un peu d'eau. La durée du traitement est généralement de 4 à 8 semaines ; respectez bien la durée prescrite. En cas d'oubli, ne doublez pas la dose. Si vous êtes âgé ou si vous avez une insuffisance rénale, signalez-le à votre médecin pour adapter la dose. »</w:t>
      </w:r>
    </w:p>
    <w:p>
      <w:pPr>
        <w:pStyle w:val="ListBullet"/>
      </w:pPr>
      <w:r/>
      <w:r>
        <w:rPr>
          <w:b/>
        </w:rPr>
        <w:t>Mode d'utilisation pratique :</w:t>
      </w:r>
      <w:r>
        <w:t xml:space="preserve"> En cas d'oubli, prendre le comprimé oublié dès que possible dans la journée. Ne pas associer systématiquement à des antiacides (les prendre à 2 heures d'intervalle).</w:t>
      </w:r>
    </w:p>
    <w:p>
      <w:r/>
      <w:r>
        <w:rPr>
          <w:b/>
        </w:rPr>
        <w:t>Notes, Règles d'Or &amp; Pièges au Comptoir :</w:t>
      </w:r>
      <w:r/>
    </w:p>
    <w:p>
      <w:pPr>
        <w:pStyle w:val="ListBullet"/>
      </w:pPr>
      <w:r/>
      <w:r>
        <w:rPr>
          <w:b/>
        </w:rPr>
        <w:t>Règle d'or n°1 — Famotidine = anti-H2 de référence après le retrait de la ranitidine :</w:t>
      </w:r>
      <w:r>
        <w:t xml:space="preserve"> La famotidine est l'alternative de choix en cas de contre-indication, d'intolérance ou d'inefficacité des IPP, et constitue le seul anti-H2 actif disponible en Algérie.</w:t>
      </w:r>
    </w:p>
    <w:p>
      <w:pPr>
        <w:pStyle w:val="ListBullet"/>
      </w:pPr>
      <w:r/>
      <w:r>
        <w:rPr>
          <w:b/>
        </w:rPr>
        <w:t>Piège classique n°1 — Adaptation posologique en cas d'insuffisance rénale :</w:t>
      </w:r>
      <w:r>
        <w:t xml:space="preserve"> La famotidine est excrétée par voie rénale ; en cas de ClCr &lt; 50 mL/min, la dose doit être réduite de moitié.</w:t>
      </w:r>
    </w:p>
    <w:p>
      <w:pPr>
        <w:pStyle w:val="ListBullet"/>
      </w:pPr>
      <w:r/>
      <w:r>
        <w:rPr>
          <w:b/>
        </w:rPr>
        <w:t>Piège classique n°2 — Tachyphylaxie :</w:t>
      </w:r>
      <w:r>
        <w:t xml:space="preserve"> Efficacité anti-sécrétoire qui diminue après 2-4 semaines de traitement continu ; envisager une rotation IPP / famotidine si échappement thérapeutique.</w:t>
      </w:r>
    </w:p>
    <w:p>
      <w:pPr>
        <w:pStyle w:val="ListBullet"/>
      </w:pPr>
      <w:r/>
      <w:r>
        <w:rPr>
          <w:b/>
        </w:rPr>
        <w:t>Piège classique n°3 — Confusion mentale du sujet âgé :</w:t>
      </w:r>
      <w:r>
        <w:t xml:space="preserve"> Surveiller l'état mental chez le sujet âgé sous famotidine (effet central décrit).</w:t>
      </w:r>
    </w:p>
    <w:p>
      <w:pPr>
        <w:pStyle w:val="ListBullet"/>
      </w:pPr>
      <w:r/>
      <w:r>
        <w:rPr>
          <w:b/>
        </w:rPr>
        <w:t>Règle de prise :</w:t>
      </w:r>
      <w:r>
        <w:t xml:space="preserve"> Au coucher (dose unique) ou matin et soir (biquotidien).</w:t>
      </w:r>
    </w:p>
    <w:p>
      <w:pPr>
        <w:pStyle w:val="ListBullet"/>
      </w:pPr>
      <w:r/>
      <w:r>
        <w:rPr>
          <w:b/>
        </w:rPr>
        <w:t>Préparation et Conservation :</w:t>
      </w:r>
      <w:r>
        <w:t xml:space="preserve"> À conserver à température &lt; 25 °C, à l'abri de l'humidité et de la lumière.</w:t>
      </w:r>
    </w:p>
    <w:p>
      <w:pPr>
        <w:pStyle w:val="ListBullet"/>
      </w:pPr>
      <w:r/>
      <w:r>
        <w:rPr>
          <w:b/>
        </w:rPr>
        <w:t>Piège du surdosage / Substitution :</w:t>
      </w:r>
      <w:r>
        <w:t xml:space="preserve"> En cas de substitution depuis la ranitidine, les équivalences approximatives sont : ranitidine 150 mg ≈ famotidine 20 mg ; ranitidine 300 mg ≈ famotidine 40 mg. Vérifier systématiquement l'ordonnance pour identifier les éventuelles doubles prescriptions.</w:t>
      </w:r>
    </w:p>
    <w:p>
      <w:pPr>
        <w:pStyle w:val="Heading2"/>
      </w:pPr>
      <w:r>
        <w:t>5. Tableau Comparatif Synthétique des Anti-sécréteurs Gastriques</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Mécanisme d'action</w:t>
            </w:r>
          </w:p>
        </w:tc>
        <w:tc>
          <w:tcPr>
            <w:tcW w:type="dxa" w:w="1169"/>
          </w:tcPr>
          <w:p>
            <w:r>
              <w:rPr>
                <w:b/>
                <w:sz w:val="20"/>
              </w:rPr>
              <w:t>Demi-vie plasmatique</w:t>
            </w:r>
          </w:p>
        </w:tc>
        <w:tc>
          <w:tcPr>
            <w:tcW w:type="dxa" w:w="1169"/>
          </w:tcPr>
          <w:p>
            <w:r>
              <w:rPr>
                <w:b/>
                <w:sz w:val="20"/>
              </w:rPr>
              <w:t>Posologie usuelle (Adulte)</w:t>
            </w:r>
          </w:p>
        </w:tc>
        <w:tc>
          <w:tcPr>
            <w:tcW w:type="dxa" w:w="1169"/>
          </w:tcPr>
          <w:p>
            <w:r>
              <w:rPr>
                <w:b/>
                <w:sz w:val="20"/>
              </w:rPr>
              <w:t>Effet indésirable majeur</w:t>
            </w:r>
          </w:p>
        </w:tc>
        <w:tc>
          <w:tcPr>
            <w:tcW w:type="dxa" w:w="1169"/>
          </w:tcPr>
          <w:p>
            <w:r>
              <w:rPr>
                <w:b/>
                <w:sz w:val="20"/>
              </w:rPr>
              <w:t>Contre-indication principale</w:t>
            </w:r>
          </w:p>
        </w:tc>
        <w:tc>
          <w:tcPr>
            <w:tcW w:type="dxa" w:w="1169"/>
          </w:tcPr>
          <w:p>
            <w:r>
              <w:rPr>
                <w:b/>
                <w:sz w:val="20"/>
              </w:rPr>
              <w:t>Grossesse / Allaitement</w:t>
            </w:r>
          </w:p>
        </w:tc>
      </w:tr>
      <w:tr>
        <w:tc>
          <w:tcPr>
            <w:tcW w:type="dxa" w:w="1169"/>
          </w:tcPr>
          <w:p>
            <w:r>
              <w:rPr>
                <w:sz w:val="20"/>
              </w:rPr>
              <w:t>**Oméprazole**</w:t>
            </w:r>
          </w:p>
        </w:tc>
        <w:tc>
          <w:tcPr>
            <w:tcW w:type="dxa" w:w="1169"/>
          </w:tcPr>
          <w:p>
            <w:r>
              <w:rPr>
                <w:sz w:val="20"/>
              </w:rPr>
              <w:t>IPP (racémique)</w:t>
            </w:r>
          </w:p>
        </w:tc>
        <w:tc>
          <w:tcPr>
            <w:tcW w:type="dxa" w:w="1169"/>
          </w:tcPr>
          <w:p>
            <w:r>
              <w:rPr>
                <w:sz w:val="20"/>
              </w:rPr>
              <w:t>Inhibition irréversible covalente H⁺/K⁺-ATPase (Cys-813/892)</w:t>
            </w:r>
          </w:p>
        </w:tc>
        <w:tc>
          <w:tcPr>
            <w:tcW w:type="dxa" w:w="1169"/>
          </w:tcPr>
          <w:p>
            <w:r>
              <w:rPr>
                <w:sz w:val="20"/>
              </w:rPr>
              <w:t>~1 h (effet 24-72 h)</w:t>
            </w:r>
          </w:p>
        </w:tc>
        <w:tc>
          <w:tcPr>
            <w:tcW w:type="dxa" w:w="1169"/>
          </w:tcPr>
          <w:p>
            <w:r>
              <w:rPr>
                <w:sz w:val="20"/>
              </w:rPr>
              <w:t>20 mg/j (RGO) à 60-120 mg/j (Zollinger)</w:t>
            </w:r>
          </w:p>
        </w:tc>
        <w:tc>
          <w:tcPr>
            <w:tcW w:type="dxa" w:w="1169"/>
          </w:tcPr>
          <w:p>
            <w:r>
              <w:rPr>
                <w:sz w:val="20"/>
              </w:rPr>
              <w:t>Hypomagnésémie, fracture, infection à *C. difficile*, carence B12 au long cours ; interaction clopidogrel (CYP2C19)</w:t>
            </w:r>
          </w:p>
        </w:tc>
        <w:tc>
          <w:tcPr>
            <w:tcW w:type="dxa" w:w="1169"/>
          </w:tcPr>
          <w:p>
            <w:r>
              <w:rPr>
                <w:sz w:val="20"/>
              </w:rPr>
              <w:t>Atazanavir ; clopidogrel (à éviter)</w:t>
            </w:r>
          </w:p>
        </w:tc>
        <w:tc>
          <w:tcPr>
            <w:tcW w:type="dxa" w:w="1169"/>
          </w:tcPr>
          <w:p>
            <w:r>
              <w:rPr>
                <w:sz w:val="20"/>
              </w:rPr>
              <w:t>Compatible (1&lt;sup&gt;er&lt;/sup&gt; intention IPP) / Compatible</w:t>
            </w:r>
          </w:p>
        </w:tc>
      </w:tr>
      <w:tr>
        <w:tc>
          <w:tcPr>
            <w:tcW w:type="dxa" w:w="1169"/>
          </w:tcPr>
          <w:p>
            <w:r>
              <w:rPr>
                <w:sz w:val="20"/>
              </w:rPr>
              <w:t>**Ésoméprazole**</w:t>
            </w:r>
          </w:p>
        </w:tc>
        <w:tc>
          <w:tcPr>
            <w:tcW w:type="dxa" w:w="1169"/>
          </w:tcPr>
          <w:p>
            <w:r>
              <w:rPr>
                <w:sz w:val="20"/>
              </w:rPr>
              <w:t>IPP (S-isomère oméprazole)</w:t>
            </w:r>
          </w:p>
        </w:tc>
        <w:tc>
          <w:tcPr>
            <w:tcW w:type="dxa" w:w="1169"/>
          </w:tcPr>
          <w:p>
            <w:r>
              <w:rPr>
                <w:sz w:val="20"/>
              </w:rPr>
              <w:t>Inhibition irréversible covalente H⁺/K⁺-ATPase (Cys-813)</w:t>
            </w:r>
          </w:p>
        </w:tc>
        <w:tc>
          <w:tcPr>
            <w:tcW w:type="dxa" w:w="1169"/>
          </w:tcPr>
          <w:p>
            <w:r>
              <w:rPr>
                <w:sz w:val="20"/>
              </w:rPr>
              <w:t>~1,5 h (effet 24-72 h)</w:t>
            </w:r>
          </w:p>
        </w:tc>
        <w:tc>
          <w:tcPr>
            <w:tcW w:type="dxa" w:w="1169"/>
          </w:tcPr>
          <w:p>
            <w:r>
              <w:rPr>
                <w:sz w:val="20"/>
              </w:rPr>
              <w:t>20 mg/j (RGO) à 40-80 mg/j (œsophagite, Zollinger)</w:t>
            </w:r>
          </w:p>
        </w:tc>
        <w:tc>
          <w:tcPr>
            <w:tcW w:type="dxa" w:w="1169"/>
          </w:tcPr>
          <w:p>
            <w:r>
              <w:rPr>
                <w:sz w:val="20"/>
              </w:rPr>
              <w:t>Profil identique à l'oméprazole ; moindre interaction clopidogrel</w:t>
            </w:r>
          </w:p>
        </w:tc>
        <w:tc>
          <w:tcPr>
            <w:tcW w:type="dxa" w:w="1169"/>
          </w:tcPr>
          <w:p>
            <w:r>
              <w:rPr>
                <w:sz w:val="20"/>
              </w:rPr>
              <w:t>Atazanavir</w:t>
            </w:r>
          </w:p>
        </w:tc>
        <w:tc>
          <w:tcPr>
            <w:tcW w:type="dxa" w:w="1169"/>
          </w:tcPr>
          <w:p>
            <w:r>
              <w:rPr>
                <w:sz w:val="20"/>
              </w:rPr>
              <w:t>Compatible / Compatible (préférer oméprazole)</w:t>
            </w:r>
          </w:p>
        </w:tc>
      </w:tr>
      <w:tr>
        <w:tc>
          <w:tcPr>
            <w:tcW w:type="dxa" w:w="1169"/>
          </w:tcPr>
          <w:p>
            <w:r>
              <w:rPr>
                <w:sz w:val="20"/>
              </w:rPr>
              <w:t>**Lansoprazole**</w:t>
            </w:r>
          </w:p>
        </w:tc>
        <w:tc>
          <w:tcPr>
            <w:tcW w:type="dxa" w:w="1169"/>
          </w:tcPr>
          <w:p>
            <w:r>
              <w:rPr>
                <w:sz w:val="20"/>
              </w:rPr>
              <w:t>IPP (2&lt;sup&gt;e&lt;/sup&gt; génération)</w:t>
            </w:r>
          </w:p>
        </w:tc>
        <w:tc>
          <w:tcPr>
            <w:tcW w:type="dxa" w:w="1169"/>
          </w:tcPr>
          <w:p>
            <w:r>
              <w:rPr>
                <w:sz w:val="20"/>
              </w:rPr>
              <w:t>Inhibition irréversible covalente H⁺/K⁺-ATPase (Cys-813/321)</w:t>
            </w:r>
          </w:p>
        </w:tc>
        <w:tc>
          <w:tcPr>
            <w:tcW w:type="dxa" w:w="1169"/>
          </w:tcPr>
          <w:p>
            <w:r>
              <w:rPr>
                <w:sz w:val="20"/>
              </w:rPr>
              <w:t>~1,5 h (effet 24-72 h)</w:t>
            </w:r>
          </w:p>
        </w:tc>
        <w:tc>
          <w:tcPr>
            <w:tcW w:type="dxa" w:w="1169"/>
          </w:tcPr>
          <w:p>
            <w:r>
              <w:rPr>
                <w:sz w:val="20"/>
              </w:rPr>
              <w:t>15-30 mg/j (RGO) à 60-120 mg/j (Zollinger)</w:t>
            </w:r>
          </w:p>
        </w:tc>
        <w:tc>
          <w:tcPr>
            <w:tcW w:type="dxa" w:w="1169"/>
          </w:tcPr>
          <w:p>
            <w:r>
              <w:rPr>
                <w:sz w:val="20"/>
              </w:rPr>
              <w:t>Profil identique aux IPP ; **colite microscopique** plus fréquente qu'avec autres IPP</w:t>
            </w:r>
          </w:p>
        </w:tc>
        <w:tc>
          <w:tcPr>
            <w:tcW w:type="dxa" w:w="1169"/>
          </w:tcPr>
          <w:p>
            <w:r>
              <w:rPr>
                <w:sz w:val="20"/>
              </w:rPr>
              <w:t>Atazanavir ; clopidogrel (à éviter)</w:t>
            </w:r>
          </w:p>
        </w:tc>
        <w:tc>
          <w:tcPr>
            <w:tcW w:type="dxa" w:w="1169"/>
          </w:tcPr>
          <w:p>
            <w:r>
              <w:rPr>
                <w:sz w:val="20"/>
              </w:rPr>
              <w:t>Compatible (2&lt;sup&gt;e&lt;/sup&gt; intention après oméprazole) / Compatible (préférer oméprazole)</w:t>
            </w:r>
          </w:p>
        </w:tc>
      </w:tr>
      <w:tr>
        <w:tc>
          <w:tcPr>
            <w:tcW w:type="dxa" w:w="1169"/>
          </w:tcPr>
          <w:p>
            <w:r>
              <w:rPr>
                <w:sz w:val="20"/>
              </w:rPr>
              <w:t>**Pantoprazole**</w:t>
            </w:r>
          </w:p>
        </w:tc>
        <w:tc>
          <w:tcPr>
            <w:tcW w:type="dxa" w:w="1169"/>
          </w:tcPr>
          <w:p>
            <w:r>
              <w:rPr>
                <w:sz w:val="20"/>
              </w:rPr>
              <w:t>IPP (3&lt;sup&gt;e&lt;/sup&gt; génération)</w:t>
            </w:r>
          </w:p>
        </w:tc>
        <w:tc>
          <w:tcPr>
            <w:tcW w:type="dxa" w:w="1169"/>
          </w:tcPr>
          <w:p>
            <w:r>
              <w:rPr>
                <w:sz w:val="20"/>
              </w:rPr>
              <w:t>Inhibition irréversible covalente H⁺/K⁺-ATPase (Cys-813/822)</w:t>
            </w:r>
          </w:p>
        </w:tc>
        <w:tc>
          <w:tcPr>
            <w:tcW w:type="dxa" w:w="1169"/>
          </w:tcPr>
          <w:p>
            <w:r>
              <w:rPr>
                <w:sz w:val="20"/>
              </w:rPr>
              <w:t>~1 h (effet 24-72 h)</w:t>
            </w:r>
          </w:p>
        </w:tc>
        <w:tc>
          <w:tcPr>
            <w:tcW w:type="dxa" w:w="1169"/>
          </w:tcPr>
          <w:p>
            <w:r>
              <w:rPr>
                <w:sz w:val="20"/>
              </w:rPr>
              <w:t>20 mg/j (RGO) à 40-80 mg/j (œsophagite, Zollinger)</w:t>
            </w:r>
          </w:p>
        </w:tc>
        <w:tc>
          <w:tcPr>
            <w:tcW w:type="dxa" w:w="1169"/>
          </w:tcPr>
          <w:p>
            <w:r>
              <w:rPr>
                <w:sz w:val="20"/>
              </w:rPr>
              <w:t>Profil identique aux IPP ; moindre interaction clopidogrel</w:t>
            </w:r>
          </w:p>
        </w:tc>
        <w:tc>
          <w:tcPr>
            <w:tcW w:type="dxa" w:w="1169"/>
          </w:tcPr>
          <w:p>
            <w:r>
              <w:rPr>
                <w:sz w:val="20"/>
              </w:rPr>
              <w:t>Atazanavir</w:t>
            </w:r>
          </w:p>
        </w:tc>
        <w:tc>
          <w:tcPr>
            <w:tcW w:type="dxa" w:w="1169"/>
          </w:tcPr>
          <w:p>
            <w:r>
              <w:rPr>
                <w:sz w:val="20"/>
              </w:rPr>
              <w:t>Compatible / Compatible (préférer oméprazole)</w:t>
            </w:r>
          </w:p>
        </w:tc>
      </w:tr>
      <w:tr>
        <w:tc>
          <w:tcPr>
            <w:tcW w:type="dxa" w:w="1169"/>
          </w:tcPr>
          <w:p>
            <w:r>
              <w:rPr>
                <w:sz w:val="20"/>
              </w:rPr>
              <w:t>**Ranitidine**</w:t>
            </w:r>
          </w:p>
        </w:tc>
        <w:tc>
          <w:tcPr>
            <w:tcW w:type="dxa" w:w="1169"/>
          </w:tcPr>
          <w:p>
            <w:r>
              <w:rPr>
                <w:sz w:val="20"/>
              </w:rPr>
              <w:t>Anti-H2 (retirée)</w:t>
            </w:r>
          </w:p>
        </w:tc>
        <w:tc>
          <w:tcPr>
            <w:tcW w:type="dxa" w:w="1169"/>
          </w:tcPr>
          <w:p>
            <w:r>
              <w:rPr>
                <w:sz w:val="20"/>
              </w:rPr>
              <w:t>Antagoniste compétitif H2 → baisse AMPc → baisse activation H⁺/K⁺-ATPase</w:t>
            </w:r>
          </w:p>
        </w:tc>
        <w:tc>
          <w:tcPr>
            <w:tcW w:type="dxa" w:w="1169"/>
          </w:tcPr>
          <w:p>
            <w:r>
              <w:rPr>
                <w:sz w:val="20"/>
              </w:rPr>
              <w:t>~2-3 h (effet 6-8 h)</w:t>
            </w:r>
          </w:p>
        </w:tc>
        <w:tc>
          <w:tcPr>
            <w:tcW w:type="dxa" w:w="1169"/>
          </w:tcPr>
          <w:p>
            <w:r>
              <w:rPr>
                <w:sz w:val="20"/>
              </w:rPr>
              <w:t>**Retirée du marché (2019-2020)**</w:t>
            </w:r>
          </w:p>
        </w:tc>
        <w:tc>
          <w:tcPr>
            <w:tcW w:type="dxa" w:w="1169"/>
          </w:tcPr>
          <w:p>
            <w:r>
              <w:rPr>
                <w:sz w:val="20"/>
              </w:rPr>
              <w:t>**Contamination NDMA (cancérogène probable)**</w:t>
            </w:r>
          </w:p>
        </w:tc>
        <w:tc>
          <w:tcPr>
            <w:tcW w:type="dxa" w:w="1169"/>
          </w:tcPr>
          <w:p>
            <w:r>
              <w:rPr>
                <w:sz w:val="20"/>
              </w:rPr>
              <w:t>**Ne plus prescrire ni délivrer**</w:t>
            </w:r>
          </w:p>
        </w:tc>
        <w:tc>
          <w:tcPr>
            <w:tcW w:type="dxa" w:w="1169"/>
          </w:tcPr>
          <w:p>
            <w:r>
              <w:rPr>
                <w:sz w:val="20"/>
              </w:rPr>
              <w:t>Ne plus utiliser / Ne plus utiliser</w:t>
            </w:r>
          </w:p>
        </w:tc>
      </w:tr>
      <w:tr>
        <w:tc>
          <w:tcPr>
            <w:tcW w:type="dxa" w:w="1169"/>
          </w:tcPr>
          <w:p>
            <w:r>
              <w:rPr>
                <w:sz w:val="20"/>
              </w:rPr>
              <w:t>**Famotidine**</w:t>
            </w:r>
          </w:p>
        </w:tc>
        <w:tc>
          <w:tcPr>
            <w:tcW w:type="dxa" w:w="1169"/>
          </w:tcPr>
          <w:p>
            <w:r>
              <w:rPr>
                <w:sz w:val="20"/>
              </w:rPr>
              <w:t>Anti-H2 (3&lt;sup&gt;e&lt;/sup&gt; génération)</w:t>
            </w:r>
          </w:p>
        </w:tc>
        <w:tc>
          <w:tcPr>
            <w:tcW w:type="dxa" w:w="1169"/>
          </w:tcPr>
          <w:p>
            <w:r>
              <w:rPr>
                <w:sz w:val="20"/>
              </w:rPr>
              <w:t>Antagoniste compétitif H2 → baisse AMPc → baisse activation H⁺/K⁺-ATPase</w:t>
            </w:r>
          </w:p>
        </w:tc>
        <w:tc>
          <w:tcPr>
            <w:tcW w:type="dxa" w:w="1169"/>
          </w:tcPr>
          <w:p>
            <w:r>
              <w:rPr>
                <w:sz w:val="20"/>
              </w:rPr>
              <w:t>~3 h (effet 10-12 h)</w:t>
            </w:r>
          </w:p>
        </w:tc>
        <w:tc>
          <w:tcPr>
            <w:tcW w:type="dxa" w:w="1169"/>
          </w:tcPr>
          <w:p>
            <w:r>
              <w:rPr>
                <w:sz w:val="20"/>
              </w:rPr>
              <w:t>20-40 mg/jour (1 ou 2 prises) ; 20-40 mg × 2/j (RGO)</w:t>
            </w:r>
          </w:p>
        </w:tc>
        <w:tc>
          <w:tcPr>
            <w:tcW w:type="dxa" w:w="1169"/>
          </w:tcPr>
          <w:p>
            <w:r>
              <w:rPr>
                <w:sz w:val="20"/>
              </w:rPr>
              <w:t>Tachyphylaxie (2-4 semaines) ; confusion sujet âgé ; interaction procainamide</w:t>
            </w:r>
          </w:p>
        </w:tc>
        <w:tc>
          <w:tcPr>
            <w:tcW w:type="dxa" w:w="1169"/>
          </w:tcPr>
          <w:p>
            <w:r>
              <w:rPr>
                <w:sz w:val="20"/>
              </w:rPr>
              <w:t>Hypersensibilité ; prudence insuffisance rénale</w:t>
            </w:r>
          </w:p>
        </w:tc>
        <w:tc>
          <w:tcPr>
            <w:tcW w:type="dxa" w:w="1169"/>
          </w:tcPr>
          <w:p>
            <w:r>
              <w:rPr>
                <w:sz w:val="20"/>
              </w:rPr>
              <w:t>Compatible (2&lt;sup&gt;e&lt;/sup&gt; intention après oméprazole) / Compatible</w:t>
            </w:r>
          </w:p>
        </w:tc>
      </w:tr>
    </w:tbl>
    <w:p/>
    <w:p>
      <w:pPr>
        <w:pStyle w:val="Heading3"/>
      </w:pPr>
      <w:r>
        <w:t>Points clés à retenir</w:t>
      </w:r>
    </w:p>
    <w:p>
      <w:pPr>
        <w:pStyle w:val="ListNumber"/>
      </w:pPr>
      <w:r/>
      <w:r>
        <w:rPr>
          <w:b/>
        </w:rPr>
        <w:t>Règle d'or n°1 — Prise de l'IPP :</w:t>
      </w:r>
      <w:r>
        <w:t xml:space="preserve"> 30 minutes avant le petit-déjeuner, en une prise unique le matin. La prise alimentaire active la pompe à protons, conditionnant l'activation de l'IPP.</w:t>
      </w:r>
    </w:p>
    <w:p>
      <w:pPr>
        <w:pStyle w:val="ListNumber"/>
      </w:pPr>
      <w:r/>
      <w:r>
        <w:rPr>
          <w:b/>
        </w:rPr>
        <w:t>Règle d'or n°2 — Clopidogrel + IPP :</w:t>
      </w:r>
      <w:r>
        <w:t xml:space="preserve"> Préférer le </w:t>
      </w:r>
      <w:r>
        <w:rPr>
          <w:b/>
        </w:rPr>
        <w:t>pantoprazole</w:t>
      </w:r>
      <w:r>
        <w:t xml:space="preserve"> (ou à défaut l'ésoméprazole). Éviter l'oméprazole et le lansoprazole (inhibition du CYP2C19 réduisant l'activation du clopidogrel).</w:t>
      </w:r>
    </w:p>
    <w:p>
      <w:pPr>
        <w:pStyle w:val="ListNumber"/>
      </w:pPr>
      <w:r/>
      <w:r>
        <w:rPr>
          <w:b/>
        </w:rPr>
        <w:t>Règle d'or n°3 — Atazanavir + IPP :</w:t>
      </w:r>
      <w:r>
        <w:t xml:space="preserve"> Contre-indication formelle (tous IPP). Baisse d'absorption de l'antiprotéase et risque d'échec virologique.</w:t>
      </w:r>
    </w:p>
    <w:p>
      <w:pPr>
        <w:pStyle w:val="ListNumber"/>
      </w:pPr>
      <w:r/>
      <w:r>
        <w:rPr>
          <w:b/>
        </w:rPr>
        <w:t>Règle d'or n°4 — Ranitidine retirée :</w:t>
      </w:r>
      <w:r>
        <w:t xml:space="preserve"> Ne plus prescrire ni délivrer de ranitidine (contamination NDMA, cancérogène probable). Substituer par un IPP ou de la famotidine.</w:t>
      </w:r>
    </w:p>
    <w:p>
      <w:pPr>
        <w:pStyle w:val="ListNumber"/>
      </w:pPr>
      <w:r/>
      <w:r>
        <w:rPr>
          <w:b/>
        </w:rPr>
        <w:t>Règle d'or n°5 — Famotidine = anti-H2 de référence :</w:t>
      </w:r>
      <w:r>
        <w:t xml:space="preserve"> Seul anti-H2 actif disponible en Algérie après le retrait de la ranitidine. Alternative aux IPP en cas de contre-indication, d'intolérance ou d'inefficacité.</w:t>
      </w:r>
    </w:p>
    <w:p>
      <w:pPr>
        <w:pStyle w:val="ListNumber"/>
      </w:pPr>
      <w:r/>
      <w:r>
        <w:rPr>
          <w:b/>
        </w:rPr>
        <w:t>Règle d'or n°6 — Surveillance au long cours :</w:t>
      </w:r>
      <w:r>
        <w:t xml:space="preserve"> Tout traitement IPP &gt; 1 an justifie une surveillance biannuelle de la magnésémie et annuelle de la vitamine B12, surtout chez le sujet âgé, diabétique ou dénutri.</w:t>
      </w:r>
    </w:p>
    <w:p>
      <w:pPr>
        <w:pStyle w:val="ListNumber"/>
      </w:pPr>
      <w:r/>
      <w:r>
        <w:rPr>
          <w:b/>
        </w:rPr>
        <w:t>Règle d'or n°7 — Sevrage progressif :</w:t>
      </w:r>
      <w:r>
        <w:t xml:space="preserve"> Ne jamais arrêter brutalement un IPP pris au long cours (risque d'hypersecrétion rebond par hypergastrinémie compensatrice). Réduction de 50 % pendant 4 semaines puis un jour sur deux.</w:t>
      </w:r>
    </w:p>
    <w:p>
      <w:pPr>
        <w:pStyle w:val="ListNumber"/>
      </w:pPr>
      <w:r/>
      <w:r>
        <w:rPr>
          <w:b/>
        </w:rPr>
        <w:t>Règle d'or n°8 — Réévaluation annuelle :</w:t>
      </w:r>
      <w:r>
        <w:t xml:space="preserve"> La HAS recommande une réévaluation annuelle de l'indication d'un IPP au long cours, avec recherche de la dose minimale efficace et discussion de l'arrêt éventuel.</w:t>
      </w:r>
    </w:p>
    <w:p>
      <w:pPr>
        <w:pStyle w:val="Heading3"/>
      </w:pPr>
      <w:r>
        <w:t>Références bibliographiques principales</w:t>
      </w:r>
    </w:p>
    <w:p>
      <w:pPr>
        <w:pStyle w:val="ListNumber"/>
      </w:pPr>
      <w:r/>
      <w:r>
        <w:rPr>
          <w:b/>
        </w:rPr>
        <w:t>ANSM (Agence Nationale de Sécurité du Médicament et des Produits de Santé).</w:t>
      </w:r>
      <w:r>
        <w:t xml:space="preserve"> Résumé des Caractéristiques du Produit (RCP) — Oméprazole, Ésoméprazole, Lansoprazole, Pantoprazole, Famotidine.</w:t>
      </w:r>
    </w:p>
    <w:p>
      <w:pPr>
        <w:pStyle w:val="ListNumber"/>
      </w:pPr>
      <w:r/>
      <w:r>
        <w:rPr>
          <w:b/>
        </w:rPr>
        <w:t>VIDAL</w:t>
      </w:r>
      <w:r>
        <w:t xml:space="preserve"> — Dictionnaire des médicaments.</w:t>
      </w:r>
    </w:p>
    <w:p>
      <w:pPr>
        <w:pStyle w:val="ListNumber"/>
      </w:pPr>
      <w:r/>
      <w:r>
        <w:rPr>
          <w:b/>
        </w:rPr>
        <w:t>Thériaque</w:t>
      </w:r>
      <w:r>
        <w:t xml:space="preserve"> — Banque de données en pharmacologie clinique.</w:t>
      </w:r>
    </w:p>
    <w:p>
      <w:pPr>
        <w:pStyle w:val="ListNumber"/>
      </w:pPr>
      <w:r/>
      <w:r>
        <w:rPr>
          <w:b/>
        </w:rPr>
        <w:t>CRAT (Centre de Renseignement sur les Agents Tératogènes).</w:t>
      </w:r>
      <w:r>
        <w:t xml:space="preserve"> Fiches Oméprazole, Ésoméprazole, Lansoprazole, Pantoprazole, Famotidine, Ranitidine.</w:t>
      </w:r>
    </w:p>
    <w:p>
      <w:pPr>
        <w:pStyle w:val="ListNumber"/>
      </w:pPr>
      <w:r/>
      <w:r>
        <w:rPr>
          <w:b/>
        </w:rPr>
        <w:t>LactMed</w:t>
      </w:r>
      <w:r>
        <w:t xml:space="preserve"> — Drugs and Lactation Database (NIH/NLM).</w:t>
      </w:r>
    </w:p>
    <w:p>
      <w:pPr>
        <w:pStyle w:val="ListNumber"/>
      </w:pPr>
      <w:r/>
      <w:r>
        <w:rPr>
          <w:b/>
        </w:rPr>
        <w:t>UpToDate</w:t>
      </w:r>
      <w:r>
        <w:t xml:space="preserve"> — "Proton pump inhibitors: Overview of use and adverse effects in the treatment of peptic acid disease" ; "Pharmacology of antiulcer medications".</w:t>
      </w:r>
    </w:p>
    <w:p>
      <w:pPr>
        <w:pStyle w:val="ListNumber"/>
      </w:pPr>
      <w:r/>
      <w:r>
        <w:rPr>
          <w:b/>
        </w:rPr>
        <w:t>Micromedex</w:t>
      </w:r>
      <w:r>
        <w:t xml:space="preserve"> — Drug Information.</w:t>
      </w:r>
    </w:p>
    <w:p>
      <w:pPr>
        <w:pStyle w:val="ListNumber"/>
      </w:pPr>
      <w:r/>
      <w:r>
        <w:rPr>
          <w:b/>
        </w:rPr>
        <w:t>HAS (Haute Autorité de Santé).</w:t>
      </w:r>
      <w:r>
        <w:t xml:space="preserve"> Bon usage des IPP ; réévaluation de l'indication.</w:t>
      </w:r>
    </w:p>
    <w:p>
      <w:pPr>
        <w:pStyle w:val="ListNumber"/>
      </w:pPr>
      <w:r/>
      <w:r>
        <w:rPr>
          <w:b/>
        </w:rPr>
        <w:t>ACG (American College of Gastroenterology).</w:t>
      </w:r>
      <w:r>
        <w:t xml:space="preserve"> Guidelines for the diagnosis and treatment of GERD.</w:t>
      </w:r>
    </w:p>
    <w:p>
      <w:pPr>
        <w:pStyle w:val="ListNumber"/>
      </w:pPr>
      <w:r/>
      <w:r>
        <w:rPr>
          <w:b/>
        </w:rPr>
        <w:t>ESGE (European Society of Gastrointestinal Endoscopy).</w:t>
      </w:r>
      <w:r>
        <w:t xml:space="preserve"> Guideline on nonvariceal upper GI bleeding.</w:t>
      </w:r>
    </w:p>
    <w:p>
      <w:pPr>
        <w:pStyle w:val="ListNumber"/>
      </w:pPr>
      <w:r/>
      <w:r>
        <w:rPr>
          <w:b/>
        </w:rPr>
        <w:t>FDA (Food and Drug Administration).</w:t>
      </w:r>
      <w:r>
        <w:t xml:space="preserve"> Ranitidine market withdrawal (April 2020).</w:t>
      </w:r>
    </w:p>
    <w:p>
      <w:pPr>
        <w:pStyle w:val="ListNumber"/>
      </w:pPr>
      <w:r/>
      <w:r>
        <w:rPr>
          <w:b/>
        </w:rPr>
        <w:t>EMA (European Medicines Agency).</w:t>
      </w:r>
      <w:r>
        <w:t xml:space="preserve"> Ranitidine referral (2020).</w:t>
      </w:r>
    </w:p>
    <w:p>
      <w:pPr>
        <w:pStyle w:val="ListNumber"/>
      </w:pPr>
      <w:r/>
      <w:r>
        <w:rPr>
          <w:b/>
        </w:rPr>
        <w:t>Nomenclature algérienne des médicaments — Avril 2026.</w:t>
      </w:r>
      <w:r/>
    </w:p>
    <w:p>
      <w:r/>
      <w:r>
        <w:rPr>
          <w:i/>
        </w:rPr>
        <w:t>Fin du Chapitre 51 — Anti-sécréteurs gastriques : IPP et Anti-H2</w:t>
      </w:r>
      <w:r/>
    </w:p>
    <w:p>
      <w:pPr>
        <w:pStyle w:val="Heading1"/>
      </w:pPr>
      <w:r>
        <w:t>Section 52 — Antiacides, Alginates, Pansements Gastriques et Carminatifs</w:t>
      </w:r>
    </w:p>
    <w:p>
      <w:pPr>
        <w:pStyle w:val="Heading2"/>
      </w:pPr>
      <w:r>
        <w:t>Fascicule VI — Gastro-entérologie</w:t>
      </w:r>
    </w:p>
    <w:p>
      <w:pPr>
        <w:pStyle w:val="Heading2"/>
      </w:pPr>
      <w:r>
        <w:t>Introduction du chapitre</w:t>
      </w:r>
    </w:p>
    <w:p>
      <w:r>
        <w:t xml:space="preserve">Les antiacides, alginates, pansements gastriques et carminatifs constituent la famille thérapeutique de première ligne, accessible en automédication pour la majorité d'entre eux, qui prend en charge les symptômes fonctionnels digestifs hauts (pyrosis, régurgitations, hyperchlorhydrie, ballonnements, météorisme) et participe à l'éradication de </w:t>
      </w:r>
      <w:r>
        <w:rPr>
          <w:i/>
        </w:rPr>
        <w:t>Helicobacter pylori</w:t>
      </w:r>
      <w:r>
        <w:t xml:space="preserve"> (sels de bismuth). Au carrefour de la pharmacologie clinique et de la pratique officinale, ces molécules partagent une caractéristique PK commune : </w:t>
      </w:r>
      <w:r>
        <w:rPr>
          <w:b/>
        </w:rPr>
        <w:t>leur action est essentiellement locale, intraluminale, sans passage systémique significatif</w:t>
      </w:r>
      <w:r>
        <w:t xml:space="preserve"> à l'exception des carbonates/bicarbonates (apport sodé, alcalinisation systémique) et du bismuth (rare accumulation rénale en cas d'insuffisance rénale chronique). Cette particularité PK conditionne leur sécurité d'emploi globale mais impose une vigilance particulière vis-à-vis des </w:t>
      </w:r>
      <w:r>
        <w:rPr>
          <w:b/>
        </w:rPr>
        <w:t>interactions médicamenteuses par chélation</w:t>
      </w:r>
      <w:r>
        <w:t xml:space="preserve"> (antiacides ↔ antibiotiques, anticoagulants, hormones thyroïdiennes, fer, bisphosphonates), qui restent le piège majeur au comptoir.</w:t>
      </w:r>
    </w:p>
    <w:p>
      <w:r>
        <w:t xml:space="preserve">Le marché algérien compte plus de </w:t>
      </w:r>
      <w:r>
        <w:rPr>
          <w:b/>
        </w:rPr>
        <w:t>80 spécialités</w:t>
      </w:r>
      <w:r>
        <w:t xml:space="preserve"> actives, non renouvelables ou retirées réparties sur 9 sous-classes canoniques, allant des associations classiques hydroxyde d'aluminium/hydroxyde de magnésium (Maalox, Sailox, Bilox, Hysalox) aux pansements bismuthés quadrithérapies anti-</w:t>
      </w:r>
      <w:r>
        <w:rPr>
          <w:i/>
        </w:rPr>
        <w:t>H. pylori</w:t>
      </w:r>
      <w:r>
        <w:t xml:space="preserve"> (Dispylori, Pylorix), en passant par les associations alginates-bicarbonate de sodium (Nobac, Gastomax, Gavix, Gastrium) qui ont supplanté le princeps Gaviscon désormais retiré, et les combinaisons antispasmodiques-carminatives (Météospasmyl, Rovaspasmyl, Biospasmyl). Cette diversité reflète la prévalence élevée des troubles fonctionnels digestifs en Algérie et la place stratégique du pharmacien d'officine dans l'orientation diagnostique : distinguer un simple reflux gastro-œsophagien (RGO) banal d'une symptomatologie d'alarme (dysphagie, amaigrissement, anémie, hématémèse) nécessitant un endoscopie.</w:t>
      </w:r>
    </w:p>
    <w:p>
      <w:r>
        <w:t xml:space="preserve">La règle d'or transversale est triple : </w:t>
      </w:r>
      <w:r>
        <w:rPr>
          <w:b/>
        </w:rPr>
        <w:t>(1)</w:t>
      </w:r>
      <w:r>
        <w:t xml:space="preserve"> espacer la prise de tout autre médicament d'au moins 2 heures par rapport aux antiacides ; </w:t>
      </w:r>
      <w:r>
        <w:rPr>
          <w:b/>
        </w:rPr>
        <w:t>(2)</w:t>
      </w:r>
      <w:r>
        <w:t xml:space="preserve"> limiter l'automédication à 2 semaines, consulter au-delà ; </w:t>
      </w:r>
      <w:r>
        <w:rPr>
          <w:b/>
        </w:rPr>
        <w:t>(3)</w:t>
      </w:r>
      <w:r>
        <w:t xml:space="preserve"> adapter la classe au profil patient — insuffisant rénal (préférer carbonate de calcium ou alginate, éviter magnésium et bismuth), femme enceinte (préférer Al/Mg au bicarbonate, éviter bismuth), sujet âgé sous polypillule (vigilance interactions). Ce chapitre détaille les 9 DCIs canoniques couvrant l'ensemble du paysage thérapeutique algérien de cette famille.</w:t>
      </w:r>
    </w:p>
    <w:p>
      <w:pPr>
        <w:pStyle w:val="Heading2"/>
      </w:pPr>
      <w:r>
        <w:t>1. Antiacides et alginates (reflux)</w:t>
      </w:r>
    </w:p>
    <w:p>
      <w:r>
        <w:t xml:space="preserve">Les alginates représentent une classe unique à la croisée des antiacides et des topiques : ils combinent la neutralisation acide (bicarbonate de sodium, carbonate de calcium) avec la formation d'un </w:t>
      </w:r>
      <w:r>
        <w:rPr>
          <w:b/>
        </w:rPr>
        <w:t>gel flottant de basse densité</w:t>
      </w:r>
      <w:r>
        <w:t xml:space="preserve"> qui surnage au-dessus du contenu gastrique et constitue une barrière physique anti-reflux. Mécanistiquement, l'acide alginique (polysaccharide naturel extrait des algues brunes </w:t>
      </w:r>
      <w:r>
        <w:rPr>
          <w:i/>
        </w:rPr>
        <w:t>Laminaria</w:t>
      </w:r>
      <w:r>
        <w:t xml:space="preserve">) est transformé en </w:t>
      </w:r>
      <w:r>
        <w:rPr>
          <w:b/>
        </w:rPr>
        <w:t>alginate de sodium</w:t>
      </w:r>
      <w:r>
        <w:t xml:space="preserve">, qui en milieu acide (pH &lt; 3) précipite en gel d'acide alginique insoluble ; le bicarbonate de sodium libère du CO₂ qui reste piégé dans le gel, le rendant moins dense que le contenu gastrique — il flotte littéralement en surface. Lors d'un reflux, c'est ce "raft" (radeau) qui remonte en premier dans l'œsophage, protégeant la muqueuse de l'acide. Cette action mécanique explique leur efficacité prédominante sur les </w:t>
      </w:r>
      <w:r>
        <w:rPr>
          <w:b/>
        </w:rPr>
        <w:t>régurgitations et pyrosis post-prandiaux</w:t>
      </w:r>
      <w:r>
        <w:t>, moindre sur la douleur épigastrique pure.</w:t>
      </w:r>
    </w:p>
    <w:p>
      <w:r>
        <w:t xml:space="preserve">Contrairement aux IPP qui nécessitent 3 à 5 jours pour atteindre leur effet maximal, les alginates agissent </w:t>
      </w:r>
      <w:r>
        <w:rPr>
          <w:b/>
        </w:rPr>
        <w:t>en 3 à 5 minutes</w:t>
      </w:r>
      <w:r>
        <w:t xml:space="preserve"> et constituent le traitement de secours idéal chez les patients déjà sous IPP avec symptômes résiduels. La nomenclature algérienne montre une substitution massive du princeps Gaviscon (SmithKline Beecham, désormais non renouvelable) par des génériques locaux (Nobac, Gastomax, Gavix, Gastrium, Gatimox) tous dosés à 500 mg/267 mg/160 mg (alginate Na/bicarbonate Na/carbonate Ca) en comprimés à croquer ou 50 mg/26,7 mg par mL en suspension buvable, avec parfois adjonction de carbonate de calcium (160 mg par comprimé) pour augmenter la capacité neutralisante.</w:t>
      </w:r>
    </w:p>
    <w:p>
      <w:pPr>
        <w:pStyle w:val="Heading2"/>
      </w:pPr>
      <w:r>
        <w:t>2. Antiacides - Combinaisons Al/Mg</w:t>
      </w:r>
    </w:p>
    <w:p>
      <w:r>
        <w:t xml:space="preserve">L'association hydroxyde d'aluminium (Al(OH)₃) et hydroxyde de magnésium (Mg(OH)₂) est l'archétype de l'antiacide </w:t>
      </w:r>
      <w:r>
        <w:rPr>
          <w:b/>
        </w:rPr>
        <w:t>non systémique</w:t>
      </w:r>
      <w:r>
        <w:t xml:space="preserve">, développée pour équilibrer les effets indésirables opposés des deux sels : l'hydroxyde d'aluminium est </w:t>
      </w:r>
      <w:r>
        <w:rPr>
          <w:b/>
        </w:rPr>
        <w:t>constipant</w:t>
      </w:r>
      <w:r>
        <w:t xml:space="preserve"> (précipitation de phosphates insolubles dans la lumière intestinale → hypophosphatémie possible en usage prolongé), tandis que l'hydroxyde de magnésium est </w:t>
      </w:r>
      <w:r>
        <w:rPr>
          <w:b/>
        </w:rPr>
        <w:t>laxatif</w:t>
      </w:r>
      <w:r>
        <w:t xml:space="preserve"> (effet osmotique du Mg²⁺ non absorbé). La combinaison équilibrée (généralement ratio 1:1 ou 2:1 selon les formes) permet d'obtenir une </w:t>
      </w:r>
      <w:r>
        <w:rPr>
          <w:b/>
        </w:rPr>
        <w:t>neutralisation acide rapide</w:t>
      </w:r>
      <w:r>
        <w:t xml:space="preserve"> (HCl + Al(OH)₃ → AlCl₃ + H₂O ; HCl + Mg(OH)₂ → MgCl₂ + H₂O) avec un profil digestif favorable.</w:t>
      </w:r>
    </w:p>
    <w:p>
      <w:r>
        <w:t xml:space="preserve">Mécanistiquement, ces hydroxydes insolubles agissent par </w:t>
      </w:r>
      <w:r>
        <w:rPr>
          <w:b/>
        </w:rPr>
        <w:t>neutralisation chimique stoichiométrique</w:t>
      </w:r>
      <w:r>
        <w:t xml:space="preserve"> de l'acide chlorhydrique gastrique, augmentant le pH intragastrique de 1-2 à 4-5 pendant 30-60 minutes. Contrairement aux alginates, ils ne forment pas de radeau flottant et n'ont donc pas d'action spécifique sur le reflux. Leur indication principale est </w:t>
      </w:r>
      <w:r>
        <w:rPr>
          <w:b/>
        </w:rPr>
        <w:t>l'hyperchlorhydrie et la dyspepsie épigastrique</w:t>
      </w:r>
      <w:r>
        <w:t xml:space="preserve"> sans régurgitation. Sur le marché algérien, plus de 20 spécialités ont existé (Maalox princeps, Sailox, Bilox, Hysalox, Antaxid, Gaalox, Maalus, Gastrogel, Alugel, Novagel, Gastroversal) dont beaucoup sont aujourd'hui retirées ou non renouvelables — subsistent principalement Maalox Maux d'Estomac (Propharmal), Sailox (Saidal), Hysalox (Hysa) et Bilox (Biopharm) en suspension buvable flacon ou sachets. La présence de trisilicate de magnésium (Gastracid, Contracide) ou d'oxyde d'aluminium hydraté (Estrogel, Alugel) dans certaines formes historiques n'a plus d'intérêt thérapeutique démontré aujourd'hui.</w:t>
      </w:r>
    </w:p>
    <w:p>
      <w:pPr>
        <w:pStyle w:val="Heading2"/>
      </w:pPr>
      <w:r>
        <w:t>3. Antiacides + carminatifs</w:t>
      </w:r>
    </w:p>
    <w:p>
      <w:r>
        <w:t xml:space="preserve">L'association hydroxyde d'aluminium + hydroxyde de magnésium + siméticone (ou diméticone) répond à la </w:t>
      </w:r>
      <w:r>
        <w:rPr>
          <w:b/>
        </w:rPr>
        <w:t>présentation clinique mixte</w:t>
      </w:r>
      <w:r>
        <w:t xml:space="preserve"> où coexistent symptômes acides (pyrosis, douleur épigastrique) et symptômes gaz (ballonnements, météorisme, éructations). La siméticone (diméthylsiloxane polymérisée à 4000-5000 unités, additionnée de dioxyde de silice) est un tensioactif non ionique qui </w:t>
      </w:r>
      <w:r>
        <w:rPr>
          <w:b/>
        </w:rPr>
        <w:t>abaisse la tension superficielle des bulles de gaz</w:t>
      </w:r>
      <w:r>
        <w:t xml:space="preserve"> digestives, provoquant leur coalescence en bulles volumineuses facilement éructées ou absorbées. Elle agit purement localement, sans absorption systémique.</w:t>
      </w:r>
    </w:p>
    <w:p>
      <w:r>
        <w:t>Sur le marché algérien, cette sous-classe est réduite à une seule spécialité active (Gaalox Plus de Geopharm : 200 mg/200 mg/25 mg comprimés à croquer), d'autres associations ayant disparu (Polysilane Delalande avec siméticone + oxyde d'aluminium, Gastralge avec diméticone + Al(OH)₃, Maalus avec diméticone). Cette raréfaction témoigne de la concurrence des associations alginates-bicarbonate (qui couvrent le même spectre) et des spécialités séparées (antiacide d'un côté, siméticone de l'autre). Le ratio Al/Mg 1:1 équilibré conserve le profil constipation/diarrhée neutralisé, et la siméticone à 25 mg par comprimé reste en dessous du dosage optimal anti-météorisme (siméticone pure nécessite 1-2 g/jour pour efficacité maximale).</w:t>
      </w:r>
    </w:p>
    <w:p>
      <w:pPr>
        <w:pStyle w:val="Heading2"/>
      </w:pPr>
      <w:r>
        <w:t>4. Antiacides - Carbonates/bicarbonates</w:t>
      </w:r>
    </w:p>
    <w:p>
      <w:r>
        <w:t xml:space="preserve">Le bicarbonate de sodium (NaHCO₃) est l'antiacide </w:t>
      </w:r>
      <w:r>
        <w:rPr>
          <w:b/>
        </w:rPr>
        <w:t>systémique</w:t>
      </w:r>
      <w:r>
        <w:t xml:space="preserve"> par excellence : soluble, il neutralise HCl (NaHCO₃ + HCl → NaCl + H₂O + CO₂) mais le sodium et une partie du bicarbonate sont </w:t>
      </w:r>
      <w:r>
        <w:rPr>
          <w:b/>
        </w:rPr>
        <w:t>absorbés</w:t>
      </w:r>
      <w:r>
        <w:t>, pouvant induire une alcalinisation systémique, une hypernatrémie, une rétention hydrosodée. Cette particularité le cantonne aujourd'hui à des usages spécifiques : alcalinisation urinaire (prévention lithiase urique, potentialisation aminoglycosides), traitement de l'acidose métabolique sévère (forme injectable), composant des effervescents associés à l'acide citrique (Digesversal). En association, il constitue le moteur CO₂ des formes effervescentes (acide citrique + bicarbonate → citrate de sodium + eau + CO₂, le CO₂ assurant la dissolution rapide).</w:t>
      </w:r>
    </w:p>
    <w:p>
      <w:r>
        <w:t xml:space="preserve">La nomenclature algérienne liste essentiellement des formes injectables (Renaudin 0,084 = 8,4 g/100 mL ; Saidal 0,014 = 1,4 g/100 mL ; Aguettant 0,042 = 4,2 g/100 mL) pour acidose métabolique sévère, hyperkaliémie, intoxications tricycliques (alcalinisation sodium). La spécialité orale historique Digesversal (acide citrique/bicarbonate sodique en sachets effervescents) est retirée. L'usage antiacide oral pur du bicarbonate est aujourd'hui </w:t>
      </w:r>
      <w:r>
        <w:rPr>
          <w:b/>
        </w:rPr>
        <w:t>déconseillé</w:t>
      </w:r>
      <w:r>
        <w:t xml:space="preserve"> chez la femme enceinte (hypernatrémie maternelle et fœtale, alcalose), le nourrisson (acidose de rebond, distension gastrique par CO₂), l'insuffisant cardiaque (surcharge sodée), le sujet hypertendu non contrôlé. Il persiste en automédication sous forme de "bicarbonate de soude alimentaire" non régulé, ce qui doit alerter le pharmacien sur les risques en cas d'usage chronique.</w:t>
      </w:r>
    </w:p>
    <w:p>
      <w:pPr>
        <w:pStyle w:val="Heading2"/>
      </w:pPr>
      <w:r>
        <w:t>5. Antiacides - Carbonates Ca/Mg</w:t>
      </w:r>
    </w:p>
    <w:p>
      <w:r>
        <w:t xml:space="preserve">L'association carbonate de calcium (CaCO₃) + carbonate de magnésium (MgCO₃, généralement forme "lourde" pour stabilité galénique) représente une alternative intéressante aux hydroxydes Al/Mg : le carbonate de calcium est un antiacide </w:t>
      </w:r>
      <w:r>
        <w:rPr>
          <w:b/>
        </w:rPr>
        <w:t>puissant à action rapide</w:t>
      </w:r>
      <w:r>
        <w:t>, qui neutralise HCl (CaCO₃ + 2 HCl → CaCl₂ + H₂O + CO₂) avec libération de CO₂ pouvant induire éructations et distension gastrique. Son avantage est l'apport calcique (utile chez la femme ménopausée ostéopénique) et l'absence de constipation majeure (le calcium est moins constipant que l'aluminium). Le carbonate de magnésium apporte l'effet laxatif osmotique compensateur.</w:t>
      </w:r>
    </w:p>
    <w:p>
      <w:r>
        <w:t xml:space="preserve">Cette combinaison est illustrée en Algérie par le princeps </w:t>
      </w:r>
      <w:r>
        <w:rPr>
          <w:b/>
        </w:rPr>
        <w:t>Rennie</w:t>
      </w:r>
      <w:r>
        <w:t xml:space="preserve"> (Bayer) 680 mg/80 mg comprimés à croquer, qui reste l'une des spécialités les plus prescrites et reconnaissables du marché. Sa variante </w:t>
      </w:r>
      <w:r>
        <w:rPr>
          <w:b/>
        </w:rPr>
        <w:t>Rennie Deflatine</w:t>
      </w:r>
      <w:r>
        <w:t xml:space="preserve"> (680 mg/80 mg/25 mg) adjoint de la diméticone pour l'effet carminatif. Le générique </w:t>
      </w:r>
      <w:r>
        <w:rPr>
          <w:b/>
        </w:rPr>
        <w:t>Renibon</w:t>
      </w:r>
      <w:r>
        <w:t xml:space="preserve"> (Oubari et Radwan Pharma) est non renouvelable. Cette classe est particulièrement adaptée à la </w:t>
      </w:r>
      <w:r>
        <w:rPr>
          <w:b/>
        </w:rPr>
        <w:t>dyspepsie post-prandiale et au RGO intermittent</w:t>
      </w:r>
      <w:r>
        <w:t xml:space="preserve"> du sujet jeune sans comorbidité. Chez le patient insuffisant rénal, le carbonate de calcium est préférable aux hydroxydes (Al et Mg s'accumulent en IRC), mais expose à l'</w:t>
      </w:r>
      <w:r>
        <w:rPr>
          <w:b/>
        </w:rPr>
        <w:t>hypercalcémie</w:t>
      </w:r>
      <w:r>
        <w:t xml:space="preserve"> et à l'</w:t>
      </w:r>
      <w:r>
        <w:rPr>
          <w:b/>
        </w:rPr>
        <w:t>alcalose de lait et calcium</w:t>
      </w:r>
      <w:r>
        <w:t xml:space="preserve"> (syndrome de Burnett) en cas d'usage chronique (&gt; 4 g/jour de CaCO₃ sur plusieurs semaines).</w:t>
      </w:r>
    </w:p>
    <w:p>
      <w:pPr>
        <w:pStyle w:val="Heading2"/>
      </w:pPr>
      <w:r>
        <w:t>6. Antiacides magnésiens / Suppléments Mg</w:t>
      </w:r>
    </w:p>
    <w:p>
      <w:r>
        <w:t xml:space="preserve">Le magnésium se décline en Algérie sous </w:t>
      </w:r>
      <w:r>
        <w:rPr>
          <w:b/>
        </w:rPr>
        <w:t>quatre sels distincts</w:t>
      </w:r>
      <w:r>
        <w:t xml:space="preserve"> aux indications divergentes : </w:t>
      </w:r>
      <w:r>
        <w:rPr>
          <w:b/>
        </w:rPr>
        <w:t>(1)</w:t>
      </w:r>
      <w:r>
        <w:t xml:space="preserve"> hydroxyde de magnésium (Mg(OH)₂) — antiacide-laxatif puissant (Laxel), </w:t>
      </w:r>
      <w:r>
        <w:rPr>
          <w:b/>
        </w:rPr>
        <w:t>(2)</w:t>
      </w:r>
      <w:r>
        <w:t xml:space="preserve"> oxyde de magnésium (MgO) — supplémentation magnésique orale (Magno Sanol, O Mag), </w:t>
      </w:r>
      <w:r>
        <w:rPr>
          <w:b/>
        </w:rPr>
        <w:t>(3)</w:t>
      </w:r>
      <w:r>
        <w:t xml:space="preserve"> sulfate de magnésium (MgSO₄) — forme injectable IV/IM pour hypomagnésémie sévère, éclampsie, urgences hypertensives, </w:t>
      </w:r>
      <w:r>
        <w:rPr>
          <w:b/>
        </w:rPr>
        <w:t>(4)</w:t>
      </w:r>
      <w:r>
        <w:t xml:space="preserve"> pidolate de magnésium (acide pyrrolidone-carboxylique de magnésium) — forme la plus biodisponible pour supplémentations (Pyromag, Tonimag, Actimag, Isomag, Magne, Pidomag, Vitamag, Enermag). </w:t>
      </w:r>
    </w:p>
    <w:p>
      <w:r>
        <w:t xml:space="preserve">Le pidolate est un transporteur physiologique qui permet une </w:t>
      </w:r>
      <w:r>
        <w:rPr>
          <w:b/>
        </w:rPr>
        <w:t>absorption intestinale rapide et complète</w:t>
      </w:r>
      <w:r>
        <w:t xml:space="preserve"> du Mg²⁺, supérieure à celle des oxydes et hydroxydes. C'est pourquoi il domine le marché algérien de la complémentation (20 spécialités recensées, dont 8 actives). Le magnésium élément (Mg²⁺) est un cofacteur de plus de 300 enzymes (ATPases, kinases, pompes Na⁺/K⁺-ATPase), intervient dans la neurotransmission (blocage NMDA), la contraction musculaire (compétition Ca²⁺), et son déficit entraîne crampes, fatigue, irritabilité, tétanie. L'usage antiacide du magnésium seul est marginal (préférer Al/Mg ou carbonate Ca/Mg), mais l'hydroxyde de magnésium pur conserve une place dans la </w:t>
      </w:r>
      <w:r>
        <w:rPr>
          <w:b/>
        </w:rPr>
        <w:t>laxation osmotique</w:t>
      </w:r>
      <w:r>
        <w:t>. Le sulfate de magnésique injectable reste un médicament d'urgence (éclampsie, tachyarythmies ventriculaires hypokaliémiques, asthme sévère réfractaire).</w:t>
      </w:r>
    </w:p>
    <w:p>
      <w:pPr>
        <w:pStyle w:val="Heading2"/>
      </w:pPr>
      <w:r>
        <w:t>7. Carminatifs (anti-météorisme)</w:t>
      </w:r>
    </w:p>
    <w:p>
      <w:r>
        <w:t xml:space="preserve">Les carminatifs désignent la classe des tensioactifs digestifs dominée par la </w:t>
      </w:r>
      <w:r>
        <w:rPr>
          <w:b/>
        </w:rPr>
        <w:t>siméticone</w:t>
      </w:r>
      <w:r>
        <w:t xml:space="preserve"> (mélange de diméthylsiloxane polymérisé à 4000-5000 unités + dioxyde de silice hydraté) et la </w:t>
      </w:r>
      <w:r>
        <w:rPr>
          <w:b/>
        </w:rPr>
        <w:t>diméticone</w:t>
      </w:r>
      <w:r>
        <w:t xml:space="preserve"> (polydiméthylsiloxane pur sans silice, légèrement moins efficace). Leur mécanisme est purement </w:t>
      </w:r>
      <w:r>
        <w:rPr>
          <w:b/>
        </w:rPr>
        <w:t>physico-chimique</w:t>
      </w:r>
      <w:r>
        <w:t xml:space="preserve"> : ils abaissent la tension superficielle des bulles de gaz digestives (N₂, O₂, CO₂, H₂, CH₄ issus de la fermentation bactérienne et de l'aérophagie), provoquant leur coalescence en bulles volumineuses facilement éructées (route orale) ou absorbées (route colique puis exhalées pulmonaires). Aucune absorption systémique, aucun métabolisme, excrétion fécale à 100%.</w:t>
      </w:r>
    </w:p>
    <w:p>
      <w:r>
        <w:t xml:space="preserve">La siméticone est indiquée dans </w:t>
      </w:r>
      <w:r>
        <w:rPr>
          <w:b/>
        </w:rPr>
        <w:t>le météorisme, les ballonnements post-prandiaux, l'aérophagie, l'aécolie pré-menstruelle, la préparation radiologique et coloscopique</w:t>
      </w:r>
      <w:r>
        <w:t xml:space="preserve"> (réduction des gaz masquant les lésions). En Algérie, les formes disponibles incluent Freegas (80 mg comprimés à croquer sans sucre menthe), et les associations diméticone/gaiazulène (Pepsane, Pepsulene) en gel buvable à 3 g/sachet avec un anti-inflammatoire naturel (gaiazulène dérivé de la camomille). Les formes historiques Polysilane (diméticone activée + gomme de caroube), Gastralge, et Polysilane Delalande sont retirées/non renouvelables. La posologie optimale est de 1 à 2 g/jour en 3 prises post-prandiales, soit 6 à 12 comprimés de Freegas ou 2 à 4 sachets de Pepsane.</w:t>
      </w:r>
    </w:p>
    <w:p>
      <w:pPr>
        <w:pStyle w:val="Heading2"/>
      </w:pPr>
      <w:r>
        <w:t>8. Pansements gastriques - Sels de bismuth</w:t>
      </w:r>
    </w:p>
    <w:p>
      <w:r>
        <w:t xml:space="preserve">Le bismuth est un métal lourd (Z = 83) utilisé sous deux sels principaux : </w:t>
      </w:r>
      <w:r>
        <w:rPr>
          <w:b/>
        </w:rPr>
        <w:t>(1)</w:t>
      </w:r>
      <w:r>
        <w:t xml:space="preserve"> sous-citrate de bismuth (colloïdal), principal composant des trithérapies/quadrithérapies anti-</w:t>
      </w:r>
      <w:r>
        <w:rPr>
          <w:i/>
        </w:rPr>
        <w:t>H. pylori</w:t>
      </w:r>
      <w:r>
        <w:t xml:space="preserve"> ; </w:t>
      </w:r>
      <w:r>
        <w:rPr>
          <w:b/>
        </w:rPr>
        <w:t>(2)</w:t>
      </w:r>
      <w:r>
        <w:t xml:space="preserve"> subsalicylate de bismuth, dominant en Amérique du Nord pour la diarrhée du voyageur. Le bismuth exerce un </w:t>
      </w:r>
      <w:r>
        <w:rPr>
          <w:b/>
        </w:rPr>
        <w:t>quadruple effet</w:t>
      </w:r>
      <w:r>
        <w:t xml:space="preserve"> : </w:t>
      </w:r>
      <w:r>
        <w:rPr>
          <w:b/>
        </w:rPr>
        <w:t>(a)</w:t>
      </w:r>
      <w:r>
        <w:t xml:space="preserve"> cytoprotection mucosique (précipitation en milieu acide d'un complexe bismuth-protéine formant un film protecteur recouvrant les ulcérations), </w:t>
      </w:r>
      <w:r>
        <w:rPr>
          <w:b/>
        </w:rPr>
        <w:t>(b)</w:t>
      </w:r>
      <w:r>
        <w:t xml:space="preserve"> antibactérien direct contre </w:t>
      </w:r>
      <w:r>
        <w:rPr>
          <w:i/>
        </w:rPr>
        <w:t>H. pylori</w:t>
      </w:r>
      <w:r>
        <w:t xml:space="preserve"> (inhibition de l'uréase, de l'adhésion, de la ATPase membranaire), </w:t>
      </w:r>
      <w:r>
        <w:rPr>
          <w:b/>
        </w:rPr>
        <w:t>(c)</w:t>
      </w:r>
      <w:r>
        <w:t xml:space="preserve"> anti-sécrétoire modéré, </w:t>
      </w:r>
      <w:r>
        <w:rPr>
          <w:b/>
        </w:rPr>
        <w:t>(d)</w:t>
      </w:r>
      <w:r>
        <w:t xml:space="preserve"> anti-diarrhéique (subsali-cylate libérant salicylate anti-inflammatoire intestinal).</w:t>
      </w:r>
    </w:p>
    <w:p>
      <w:r>
        <w:t xml:space="preserve">La particularité algérienne est la disponibilité de </w:t>
      </w:r>
      <w:r>
        <w:rPr>
          <w:b/>
        </w:rPr>
        <w:t>quadrithérapies pré-combinées</w:t>
      </w:r>
      <w:r>
        <w:t xml:space="preserve"> (Pylera-like) : Dispylori (Saiph) et Pylorix (Pharmalliance) associent sous-citrate de bismuth 140 mg + métronidazole 125 mg + tétracycline 125 mg en gélules, boîtes de 120 (cure de 10 jours). Cette combinaison, validée par les conférences de consensus (Maastricht V, Toronto) en traitement de seconde ligne après échec IPP-amoxicilline-clarithromycine, atteint des taux d'éradication de </w:t>
      </w:r>
      <w:r>
        <w:rPr>
          <w:i/>
        </w:rPr>
        <w:t>H. pylori</w:t>
      </w:r>
      <w:r>
        <w:t xml:space="preserve"> &gt; 90 % en intention de traiter. Le Bismatrol (Beit Jala) 262 mg de subsalicylate en comprimés reste indiqué dans la diarrhée aiguë et la prévention de la diarrhée du voyageur. Les associations historiques à usage rectal (Anusol, Rectosan-A avec oxyde de zinc, sous-gallate de bismuth, baume du Pérou, belladone, benzocaïne) sont retirées. Le bismuth impose la </w:t>
      </w:r>
      <w:r>
        <w:rPr>
          <w:b/>
        </w:rPr>
        <w:t>surveillance rénale</w:t>
      </w:r>
      <w:r>
        <w:t xml:space="preserve"> (élimination rénale exclusive, accumulation en IRC avec risque d'encéphalopathie bismuthique) et la </w:t>
      </w:r>
      <w:r>
        <w:rPr>
          <w:b/>
        </w:rPr>
        <w:t>douche informationnelle</w:t>
      </w:r>
      <w:r>
        <w:t xml:space="preserve"> du patient sur les seles noires et la langue noire (inoffensives mais impressionnantes).</w:t>
      </w:r>
    </w:p>
    <w:p>
      <w:pPr>
        <w:pStyle w:val="Heading2"/>
      </w:pPr>
      <w:r>
        <w:t>9. Associations antiacides + antispasmodiques</w:t>
      </w:r>
    </w:p>
    <w:p>
      <w:r>
        <w:t xml:space="preserve">Cette sous-classe combine un antispasmodique musculotrope (alvérine, dérivé de la phénéthylamine agissant sur le muscle lisse digestif par inhibition directe de la contraction, indépendamment des récepteurs) avec un carminatif (siméticone/diméticone) pour couvrir les </w:t>
      </w:r>
      <w:r>
        <w:rPr>
          <w:b/>
        </w:rPr>
        <w:t>troubles fonctionnels intestinaux mixtes</w:t>
      </w:r>
      <w:r>
        <w:t xml:space="preserve"> associant spasmes et ballonnements (colon irritable avec météorisme, dyspepsies fonctionnelles à composante douloureuse et gazeuse). L'alvérine (citrate ou chlorhydrate) est non atropinique, dénuée d'effets anticholinergiques centraux ou périphériques (pas de sécheresse buccale, troubles visuels, rétention urinaire), ce qui en fait une option de choix chez le sujet âgé et en cas de prostate adénomateuse.</w:t>
      </w:r>
    </w:p>
    <w:p>
      <w:r>
        <w:t xml:space="preserve">L'association est codifiée en Algérie par trois spécialités strictement identiques sur le plan galénique (60 mg alvérine + 300 mg siméticone en capsule molle) : Météospasmyl (Mayoly Spindler Algérie, princeps français), Rovaspasmyl (Rovac) et Biospasmyl (Biovital). Cette uniformité galénique simplifie la substitution pharmacien possible. L'indication princeps est le </w:t>
      </w:r>
      <w:r>
        <w:rPr>
          <w:b/>
        </w:rPr>
        <w:t>traitement symptomatique des douleurs spasmodiques intestinales accompagnées de troubles fonctionnels du transit</w:t>
      </w:r>
      <w:r>
        <w:t>, en particulier le syndrome de l'intestin irritable (SII) avec ballonnements. La posologie est de 1 capsule 2 à 3 fois par jour au moment des repas, pendant 2 à 4 semaines maximum. Au-delà, une consultation médicale s'impose pour éliminer une pathologie organique.</w:t>
      </w:r>
    </w:p>
    <w:p>
      <w:pPr>
        <w:pStyle w:val="Heading2"/>
      </w:pPr>
      <w:r>
        <w:t>FICHES DÉTAILLÉES PAR DCI</w:t>
      </w:r>
    </w:p>
    <w:p>
      <w:pPr>
        <w:pStyle w:val="Heading3"/>
      </w:pPr>
      <w:r>
        <w:t>1. DCI : Acide alginique + Associations (alginate de sodium + bicarbonate de sodium ± carbonate de calcium) (En Association)</w:t>
      </w:r>
    </w:p>
    <w:p>
      <w:r/>
      <w:r>
        <w:rPr>
          <w:b/>
        </w:rPr>
        <w:t>Liste des Catégories :</w:t>
      </w:r>
      <w:r>
        <w:t xml:space="preserve"> Antiacides et alginates (reflux), spécialités principalement en accès libre (Liste II pour certaines, hors liste pour la majorité), indiquées dans le reflux gastro-œsophagien (RGO), les régurgitations acides et le pyrosis.</w:t>
      </w:r>
    </w:p>
    <w:p>
      <w:r>
        <w:t xml:space="preserve">L'acide alginique est un polysaccharide anionique linéaire extrait des parois cellulaires d'algues brunes (Phaeophyta, </w:t>
      </w:r>
      <w:r>
        <w:rPr>
          <w:i/>
        </w:rPr>
        <w:t>Laminaria hyperborea</w:t>
      </w:r>
      <w:r>
        <w:t xml:space="preserve">, </w:t>
      </w:r>
      <w:r>
        <w:rPr>
          <w:i/>
        </w:rPr>
        <w:t>Macrocystis pyrifera</w:t>
      </w:r>
      <w:r>
        <w:t>). Associé au bicarbonate de sodium en milieu gastrique acide, il subit une transformation chimique double : l'alginate de sodium précipite en acide alginique insoluble (formant un gel), tandis que le bicarbonate libère du CO₂ qui reste piégé dans la matrice gel. Ce radeau ("raft") de basse densité surnage le contenu gastrique et constitue une barrière physique contre le reflux. La cinétique d'action est ultra-rapide (60 secondes), la durée d'efficacité 3 à 4 heures. Le passage systémique est nul ou négligeable (l'alginate n'est pas absorbé, le bicarbonate en partie absorbé mais à doses anti-reflux sans retentissement acido-basique significatif).</w:t>
      </w:r>
    </w:p>
    <w:p>
      <w:r/>
      <w:r>
        <w:rPr>
          <w:b/>
        </w:rPr>
        <w:t>Médicaments disponibles en Algérie (Marques, Laboratoires, Formes et Dosages) :</w:t>
      </w:r>
      <w:r/>
    </w:p>
    <w:p>
      <w:pPr>
        <w:pStyle w:val="ListBullet"/>
      </w:pPr>
      <w:r/>
      <w:r>
        <w:rPr>
          <w:b/>
        </w:rPr>
        <w:t>NOBAC ADULTE GOUT FRAISE</w:t>
      </w:r>
      <w:r>
        <w:t xml:space="preserve"> (BIOPHARM)</w:t>
      </w:r>
    </w:p>
    <w:p>
      <w:pPr>
        <w:pStyle w:val="ListBullet"/>
      </w:pPr>
      <w:r>
        <w:t>Formes et Dosages : Suspension buvable — Alginate de sodium/Bicarbonate de sodium 50 mg/26,7 mg par mL — Flacon 200 mL</w:t>
      </w:r>
    </w:p>
    <w:p>
      <w:pPr>
        <w:pStyle w:val="ListBullet"/>
      </w:pPr>
      <w:r>
        <w:t>Statut : Actif</w:t>
      </w:r>
    </w:p>
    <w:p>
      <w:pPr>
        <w:pStyle w:val="ListBullet"/>
      </w:pPr>
      <w:r/>
      <w:r>
        <w:rPr>
          <w:b/>
        </w:rPr>
        <w:t>NOBAC ADULTE GOUT MENTHE</w:t>
      </w:r>
      <w:r>
        <w:t xml:space="preserve"> (BIOPHARM)</w:t>
      </w:r>
    </w:p>
    <w:p>
      <w:pPr>
        <w:pStyle w:val="ListBullet"/>
      </w:pPr>
      <w:r>
        <w:t>Formes et Dosages : Suspension buvable — Alginate de sodium/Bicarbonate de sodium 50 mg/26,7 mg par mL — Flacon 200 mL</w:t>
      </w:r>
    </w:p>
    <w:p>
      <w:pPr>
        <w:pStyle w:val="ListBullet"/>
      </w:pPr>
      <w:r>
        <w:t>Statut : Actif</w:t>
      </w:r>
    </w:p>
    <w:p>
      <w:pPr>
        <w:pStyle w:val="ListBullet"/>
      </w:pPr>
      <w:r/>
      <w:r>
        <w:rPr>
          <w:b/>
        </w:rPr>
        <w:t>NOBAC FRAISE</w:t>
      </w:r>
      <w:r>
        <w:t xml:space="preserve"> (BIOPHARM)</w:t>
      </w:r>
    </w:p>
    <w:p>
      <w:pPr>
        <w:pStyle w:val="ListBullet"/>
      </w:pPr>
      <w:r>
        <w:t>Formes et Dosages : Suspension buvable — 50 mg/26,7 mg par mL — Flacon 200 mL — Liste II</w:t>
      </w:r>
    </w:p>
    <w:p>
      <w:pPr>
        <w:pStyle w:val="ListBullet"/>
      </w:pPr>
      <w:r>
        <w:t>Statut : Actif</w:t>
      </w:r>
    </w:p>
    <w:p>
      <w:pPr>
        <w:pStyle w:val="ListBullet"/>
      </w:pPr>
      <w:r/>
      <w:r>
        <w:rPr>
          <w:b/>
        </w:rPr>
        <w:t>NOBAC MENTHE</w:t>
      </w:r>
      <w:r>
        <w:t xml:space="preserve"> (BIOPHARM)</w:t>
      </w:r>
    </w:p>
    <w:p>
      <w:pPr>
        <w:pStyle w:val="ListBullet"/>
      </w:pPr>
      <w:r>
        <w:t>Formes et Dosages : Suspension buvable — 50 mg/26,7 mg par mL — Flacon 200 mL et 250 mL — Liste II</w:t>
      </w:r>
    </w:p>
    <w:p>
      <w:pPr>
        <w:pStyle w:val="ListBullet"/>
      </w:pPr>
      <w:r>
        <w:t>Statut : Actif</w:t>
      </w:r>
    </w:p>
    <w:p>
      <w:pPr>
        <w:pStyle w:val="ListBullet"/>
      </w:pPr>
      <w:r/>
      <w:r>
        <w:rPr>
          <w:b/>
        </w:rPr>
        <w:t>NOBAC GOUT FRAISE / GOUT MENTHE / GOUT ANIS</w:t>
      </w:r>
      <w:r>
        <w:t xml:space="preserve"> (BIOPHARM)</w:t>
      </w:r>
    </w:p>
    <w:p>
      <w:pPr>
        <w:pStyle w:val="ListBullet"/>
      </w:pPr>
      <w:r>
        <w:t>Formes et Dosages : Suspension buvable en sachets-doses — 50 mg/26,7 mg par mL — Boîte de 24 sachets — Liste I</w:t>
      </w:r>
    </w:p>
    <w:p>
      <w:pPr>
        <w:pStyle w:val="ListBullet"/>
      </w:pPr>
      <w:r>
        <w:t>Statut : Actif</w:t>
      </w:r>
    </w:p>
    <w:p>
      <w:pPr>
        <w:pStyle w:val="ListBullet"/>
      </w:pPr>
      <w:r/>
      <w:r>
        <w:rPr>
          <w:b/>
        </w:rPr>
        <w:t>NOBAC</w:t>
      </w:r>
      <w:r>
        <w:t xml:space="preserve"> (BIOPHARM)</w:t>
      </w:r>
    </w:p>
    <w:p>
      <w:pPr>
        <w:pStyle w:val="ListBullet"/>
      </w:pPr>
      <w:r>
        <w:t>Formes et Dosages : Comprimé à croquer — Alginate de sodium 500 mg + Bicarbonate de sodium 267 mg + Carbonate de calcium 160 mg — Boîte de 16</w:t>
      </w:r>
    </w:p>
    <w:p>
      <w:pPr>
        <w:pStyle w:val="ListBullet"/>
      </w:pPr>
      <w:r>
        <w:t>Statut : Actif</w:t>
      </w:r>
    </w:p>
    <w:p>
      <w:pPr>
        <w:pStyle w:val="ListBullet"/>
      </w:pPr>
      <w:r/>
      <w:r>
        <w:rPr>
          <w:b/>
        </w:rPr>
        <w:t>GASTOMAX</w:t>
      </w:r>
      <w:r>
        <w:t xml:space="preserve"> (LABORATOIRES PHARMAGHREB)</w:t>
      </w:r>
    </w:p>
    <w:p>
      <w:pPr>
        <w:pStyle w:val="ListBullet"/>
      </w:pPr>
      <w:r>
        <w:t>Formes et Dosages : Suspension buvable — 50 mg/26,7 mg par mL — Flacon 200 mL — Liste II</w:t>
      </w:r>
    </w:p>
    <w:p>
      <w:pPr>
        <w:pStyle w:val="ListBullet"/>
      </w:pPr>
      <w:r>
        <w:t>Statut : Actif</w:t>
      </w:r>
    </w:p>
    <w:p>
      <w:pPr>
        <w:pStyle w:val="ListBullet"/>
      </w:pPr>
      <w:r/>
      <w:r>
        <w:rPr>
          <w:b/>
        </w:rPr>
        <w:t>GASTRIUM</w:t>
      </w:r>
      <w:r>
        <w:t xml:space="preserve"> (SARL LABORATOIRE GROUPEMENT PHARMACEUTIQUE ALGERIEN)</w:t>
      </w:r>
    </w:p>
    <w:p>
      <w:pPr>
        <w:pStyle w:val="ListBullet"/>
      </w:pPr>
      <w:r>
        <w:t>Formes et Dosages : Suspension buvable — 50 mg/26,7 mg par mL — Flacon 200 mL</w:t>
      </w:r>
    </w:p>
    <w:p>
      <w:pPr>
        <w:pStyle w:val="ListBullet"/>
      </w:pPr>
      <w:r>
        <w:t>Statut : Actif</w:t>
      </w:r>
    </w:p>
    <w:p>
      <w:pPr>
        <w:pStyle w:val="ListBullet"/>
      </w:pPr>
      <w:r/>
      <w:r>
        <w:rPr>
          <w:b/>
        </w:rPr>
        <w:t>GATIMOX AROME FENOUIL</w:t>
      </w:r>
      <w:r>
        <w:t xml:space="preserve"> (NADPHARMADIC-PRODUCTION)</w:t>
      </w:r>
    </w:p>
    <w:p>
      <w:pPr>
        <w:pStyle w:val="ListBullet"/>
      </w:pPr>
      <w:r>
        <w:t>Formes et Dosages : Suspension buvable — 50 mg/26,7 mg par mL — Boîtes de 12 et 24 sticks unidoses de 10 mL</w:t>
      </w:r>
    </w:p>
    <w:p>
      <w:pPr>
        <w:pStyle w:val="ListBullet"/>
      </w:pPr>
      <w:r>
        <w:t>Statut : Actif</w:t>
      </w:r>
    </w:p>
    <w:p>
      <w:pPr>
        <w:pStyle w:val="ListBullet"/>
      </w:pPr>
      <w:r/>
      <w:r>
        <w:rPr>
          <w:b/>
        </w:rPr>
        <w:t>GAVIX</w:t>
      </w:r>
      <w:r>
        <w:t xml:space="preserve"> (NEOMEDIC)</w:t>
      </w:r>
    </w:p>
    <w:p>
      <w:pPr>
        <w:pStyle w:val="ListBullet"/>
      </w:pPr>
      <w:r>
        <w:t>Formes et Dosages : Suspension buvable en sachets-doses — 50 mg/26,7 mg par mL — Boîte de 12 et 24 — Liste II</w:t>
      </w:r>
    </w:p>
    <w:p>
      <w:pPr>
        <w:pStyle w:val="ListBullet"/>
      </w:pPr>
      <w:r>
        <w:t>Statut : Actif</w:t>
      </w:r>
    </w:p>
    <w:p>
      <w:pPr>
        <w:pStyle w:val="ListBullet"/>
      </w:pPr>
      <w:r/>
      <w:r>
        <w:rPr>
          <w:b/>
        </w:rPr>
        <w:t>GAVISCON</w:t>
      </w:r>
      <w:r>
        <w:t xml:space="preserve"> (SMITHKLINE BEECHAM)</w:t>
      </w:r>
    </w:p>
    <w:p>
      <w:pPr>
        <w:pStyle w:val="ListBullet"/>
      </w:pPr>
      <w:r>
        <w:t>Formes et Dosages : Suspension buvable — Flacon 250 mL</w:t>
      </w:r>
    </w:p>
    <w:p>
      <w:pPr>
        <w:pStyle w:val="ListBullet"/>
      </w:pPr>
      <w:r>
        <w:t>Statut : Non Renouvelable (princeps historique, remplacé par génériques locaux)</w:t>
      </w:r>
    </w:p>
    <w:p>
      <w:pPr>
        <w:pStyle w:val="ListBullet"/>
      </w:pPr>
      <w:r/>
      <w:r>
        <w:rPr>
          <w:b/>
        </w:rPr>
        <w:t>TOPAAL</w:t>
      </w:r>
      <w:r>
        <w:t xml:space="preserve"> (PIERRE FABRE)</w:t>
      </w:r>
    </w:p>
    <w:p>
      <w:pPr>
        <w:pStyle w:val="ListBullet"/>
      </w:pPr>
      <w:r>
        <w:t>Formes et Dosages : Suspension buvable — Acide alginique/Hydroxyde d'aluminium colloïdal/Carbonate de magnésium/Silice hydratée 4 mg/0,6 mg/0,8 mg/2,6 mg par 100 mL — Flacon 210 mL</w:t>
      </w:r>
    </w:p>
    <w:p>
      <w:pPr>
        <w:pStyle w:val="ListBullet"/>
      </w:pPr>
      <w:r>
        <w:t>Statut : Retiré (R)</w:t>
      </w:r>
    </w:p>
    <w:p>
      <w:pPr>
        <w:pStyle w:val="ListBullet"/>
      </w:pPr>
      <w:r/>
      <w:r>
        <w:rPr>
          <w:b/>
        </w:rPr>
        <w:t>TOPAAL</w:t>
      </w:r>
      <w:r>
        <w:t xml:space="preserve"> (PIERRE FABRE MEDICAMENT)</w:t>
      </w:r>
    </w:p>
    <w:p>
      <w:pPr>
        <w:pStyle w:val="ListBullet"/>
      </w:pPr>
      <w:r>
        <w:t>Formes et Dosages : Comprimé — Acide alginique 200 mg + Hydroxyde d'aluminium colloïdal 30 mg + Hydrocarbonate de magnésium 40 mg + Silice hydratée précipitée amorphe 130 mg — Boîte de 42</w:t>
      </w:r>
    </w:p>
    <w:p>
      <w:pPr>
        <w:pStyle w:val="ListBullet"/>
      </w:pPr>
      <w:r>
        <w:t>Statut : Retiré (R)</w:t>
      </w:r>
    </w:p>
    <w:p>
      <w:r/>
      <w:r>
        <w:rPr>
          <w:b/>
        </w:rPr>
        <w:t>Sous-classe et Mécanisme d'action :</w:t>
      </w:r>
      <w:r/>
    </w:p>
    <w:p>
      <w:pPr>
        <w:pStyle w:val="ListBullet"/>
      </w:pPr>
      <w:r>
        <w:t>Sous-classe : Anti-reflux topique — combinaison d'un antiacide local (bicarbonate de sodium) et d'un agent formant gel flottant (alginate de sodium). Certains comprimés y associent un second antiacide (carbonate de calcium) pour potentialiser la neutralisation acide.</w:t>
      </w:r>
    </w:p>
    <w:p>
      <w:pPr>
        <w:pStyle w:val="ListBullet"/>
      </w:pPr>
      <w:r>
        <w:t>Mécanisme d'action : En milieu gastrique acide (pH &lt; 3), l'alginate de sodium se transforme en acide alginique insoluble qui précipite en un gel hydraté. Le bicarbonate de sodium réagit avec HCl gastrique pour libérer du CO₂ gazeux, lequel reste prisonnier du gel (silice hydratée dans certaines formulations faisant office d'épaississant). La densité du "raft" ainsi constitué (≈ 0,8 g/mL) est inférieure à celle du contenu gastrique (≈ 1,0 g/mL), lui permettant de surnager. Lors d'un épisode de reflux, c'est ce radeau alginique qui pénètre en premier dans l'œsophage, protégeant la muqueuse du contact direct avec l'acide et la pepsine. Le carbonate de calcium (Nobac comprimés) apporte une neutralisation acide complémentaire immédiate (CaCO₃ + 2 HCl → CaCl₂ + H₂O + CO₂). L'action anti-reflux est mécanique, non pharmacologique au sens classique — d'où l'absence d'effets systémiques.</w:t>
      </w:r>
    </w:p>
    <w:p>
      <w:r/>
      <w:r>
        <w:rPr>
          <w:b/>
        </w:rPr>
        <w:t>Profil Pharmacologique :</w:t>
      </w:r>
      <w:r/>
    </w:p>
    <w:p>
      <w:pPr>
        <w:pStyle w:val="ListBullet"/>
      </w:pPr>
      <w:r>
        <w:t>Indications : Traitement symptomatique du reflux gastro-œsophagien (RGO) — pyrosis, régurgitations acides, remontées post-prandiales, especially nocturnes ; traitement d'appoint du RGO modéré (grades A-B de Los Angeles) ; traitement de secours chez les patients sous IPP avec symptômes résiduels ; traitement chez la femme enceinte (RGO gravidique en 2e et 3e trimestres) — constitue le traitement de première ligne privilégié (CRAT) ; chez le nourrisson après哺 alimentation (formes pédiatriques) pour reflux bénin.</w:t>
      </w:r>
    </w:p>
    <w:p>
      <w:pPr>
        <w:pStyle w:val="ListBullet"/>
      </w:pPr>
      <w:r>
        <w:t>Contre-indications : Hypersensibilité à l'un des composants (rare) ; enfant de moins de 2 ans pour les formulations adultes (formes pédiatriques existantes) ; insuffisance rénale sévère (clairance créatinine &lt; 30 mL/min) pour les formulations contenant du carbonate de calcium (risque d'hypercalcémie et d'alcalose de Burnett) ; régime hyposodé strict (apport sodé du bicarbonate de sodium à prendre en compte, ≈ 6 mmol Na⁺ par sachet 10 mL) ; troubles de la motilité gastro-intestinale (gastroparésie sévère — le radeau pourrait stagner).</w:t>
      </w:r>
    </w:p>
    <w:p>
      <w:pPr>
        <w:pStyle w:val="ListBullet"/>
      </w:pPr>
      <w:r>
        <w:t>Effets Indésirables : Très rares et bénins — ballonnements transitoires par CO₂ libéré (éructations, flatulence), nausées, constipation ou diarrhée légère (selon le rapport Ca/Mg), réactions allergiques cutanées (urticaire, prurit) exceptionnelles. L'apport sodé (≈ 138 mg Na⁺ par sachet 10 mL de suspension 50 mg/mL alginate + 26,7 mg/mL bicarbonate) est à considérer chez l'insuffisant cardiaque ou l'hypertendu sévère en restricting l'usage chronique.</w:t>
      </w:r>
    </w:p>
    <w:p>
      <w:r/>
      <w:r>
        <w:rPr>
          <w:b/>
        </w:rPr>
        <w:t>Prévention et Gestion des Effets Indésirables :</w:t>
      </w:r>
      <w:r/>
    </w:p>
    <w:p>
      <w:pPr>
        <w:pStyle w:val="ListBullet"/>
      </w:pPr>
      <w:r>
        <w:t xml:space="preserve">Mesures Préventives : Espacer la prise d'au moins 2 heures par rapport à tout autre médicament oral (l'alginate et les antiacides associés peuvent chélater et réduire l'absorption de nombreux médicaments — voir Interactions) ; privilégier la prise </w:t>
      </w:r>
      <w:r>
        <w:rPr>
          <w:b/>
        </w:rPr>
        <w:t>post-prandiale et au coucher</w:t>
      </w:r>
      <w:r>
        <w:t xml:space="preserve"> (action optimale sur le reflux nocturne) ; éviter l'usage prolongé au-delà de 2 semaines sans avis médical (risque de masquer une pathologie organique sous-jacente — ulcère, cancer gastrique) ; surveiller la natrémie et la calcémie en cas d'usage prolongé ou de comorbidités (insuffisance cardiaque, IRC, hypercalcémie).</w:t>
      </w:r>
    </w:p>
    <w:p>
      <w:pPr>
        <w:pStyle w:val="ListBullet"/>
      </w:pPr>
      <w:r>
        <w:t>Conduite à Tenir : En cas de ballonnements importants, réduire la dose unitaire et fractionner ; en cas d'éruption cutanée, arrêter immédiatement et consulter ; en cas de persistance des symptômes après 2 semaines d'usage bien conduit, orientation médicale systématique pour endoscopie (recherche d'alarmes : dysphagie, odynophagie, hématémèse, méléna, amaigrissement, anémie).</w:t>
      </w:r>
    </w:p>
    <w:p>
      <w:r/>
      <w:r>
        <w:rPr>
          <w:b/>
        </w:rPr>
        <w:t>Interactions Importantes :</w:t>
      </w:r>
      <w:r/>
    </w:p>
    <w:p>
      <w:pPr>
        <w:pStyle w:val="ListBullet"/>
      </w:pPr>
      <w:r/>
      <w:r>
        <w:rPr>
          <w:b/>
        </w:rPr>
        <w:t>Alginates + tous médicaments oraux</w:t>
      </w:r>
      <w:r>
        <w:t xml:space="preserve"> : L'alginate forme un gel visqueux susceptible de ralentir la dissolution et l'absorption des comprimés et gélules co-administrés. Espacer de 2 heures minimum tous les médicaments à marge thérapeutique étroite : anticoagulants oraux (AVK), antiarythmiques, anticonvulsivants, hormones thyroïdiennes (lévothyroxine), digoxine, fluoroquinolones, tétracyclines, fer oral, bisphosphonates, IPP (réduction de l'absorption de l'IPP par le gel alginique), antirétroviraux.</w:t>
      </w:r>
    </w:p>
    <w:p>
      <w:pPr>
        <w:pStyle w:val="ListBullet"/>
      </w:pPr>
      <w:r/>
      <w:r>
        <w:rPr>
          <w:b/>
        </w:rPr>
        <w:t>Alginates + H₂-antagonistes/IPP</w:t>
      </w:r>
      <w:r>
        <w:t xml:space="preserve"> : Action synergique sur le RGO — les IPP réduisent la sécrétion acide (action préventive), les alginates traitent les symptômes de reflux (action curative). Association logique chez les patients avec RGO persistant sous IPP seul.</w:t>
      </w:r>
    </w:p>
    <w:p>
      <w:pPr>
        <w:pStyle w:val="ListBullet"/>
      </w:pPr>
      <w:r/>
      <w:r>
        <w:rPr>
          <w:b/>
        </w:rPr>
        <w:t>Alginates + antibiotiques</w:t>
      </w:r>
      <w:r>
        <w:t xml:space="preserve"> : Réduction de l'absorption des fluoroquinolones, tétracyclines, nitrofurantoïne, azithromycine — espacer de 2 h.</w:t>
      </w:r>
    </w:p>
    <w:p>
      <w:pPr>
        <w:pStyle w:val="ListBullet"/>
      </w:pPr>
      <w:r/>
      <w:r>
        <w:rPr>
          <w:b/>
        </w:rPr>
        <w:t>Carbonate de calcium (Nobac comprimés) + digitale</w:t>
      </w:r>
      <w:r>
        <w:t xml:space="preserve"> : Risque d'arythmies digitaliques en cas d'hypercalcémie (potentialisation de la toxicité digitalique par hypokaliémie associée à l'alcalose).</w:t>
      </w:r>
    </w:p>
    <w:p>
      <w:pPr>
        <w:pStyle w:val="ListBullet"/>
      </w:pPr>
      <w:r/>
      <w:r>
        <w:rPr>
          <w:b/>
        </w:rPr>
        <w:t>Bicarbonate de sodium + lithium</w:t>
      </w:r>
      <w:r>
        <w:t xml:space="preserve"> : Le bicarbonate alcalinise les urines et augmente l'excrétion rénale du lithium (baisse des taux plasmatiques) — surveiller la lithiémie si association nécessaire.</w:t>
      </w:r>
    </w:p>
    <w:p>
      <w:r/>
      <w:r>
        <w:rPr>
          <w:b/>
        </w:rPr>
        <w:t>Grossesse et Allaitement :</w:t>
      </w:r>
      <w:r/>
    </w:p>
    <w:p>
      <w:pPr>
        <w:pStyle w:val="ListBullet"/>
      </w:pPr>
      <w:r>
        <w:t xml:space="preserve">Grossesse : </w:t>
      </w:r>
      <w:r>
        <w:rPr>
          <w:b/>
        </w:rPr>
        <w:t>Compatible</w:t>
      </w:r>
      <w:r>
        <w:t xml:space="preserve"> selon le CRAT (Centre de Renseignement sur les Agents Tératogènes, Hôpital Armand-Trousseau, Paris). Les alginates ne sont pas absorbés et le bicarbonate de sodium à doses anti-reflux (&lt; 4 g/jour) ne modifie pas significativement le pH sanguin maternel ni fœtal. Le RGO touche 30 à 50 % des femmes enceintes (surtout 2e et 3e trimestres, par compression de l'estomac par l'utérus gravidique et relaxation du sphincter inférieur de l'œsophage par la progestérone). Les alginates constituent le traitement de </w:t>
      </w:r>
      <w:r>
        <w:rPr>
          <w:b/>
        </w:rPr>
        <w:t>première intention</w:t>
      </w:r>
      <w:r>
        <w:t xml:space="preserve"> privilégié pendant la grossesse, avant les IPP (qui restent réservés aux formes sévères ou résistantes, oméprazole étant le mieux documenté). Préférer les formulations sans carbonate de calcium en usage prolongé (l'hypercalcémie maternelle pourrait inhiber la parathormone fœtale).</w:t>
      </w:r>
    </w:p>
    <w:p>
      <w:pPr>
        <w:pStyle w:val="ListBullet"/>
      </w:pPr>
      <w:r>
        <w:t xml:space="preserve">Allaitement : </w:t>
      </w:r>
      <w:r>
        <w:rPr>
          <w:b/>
        </w:rPr>
        <w:t>Compatible</w:t>
      </w:r>
      <w:r>
        <w:t xml:space="preserve"> selon le CRAT. Aucun passage systémique significatif, aucun effet rapporté chez le nourrisson allaité.</w:t>
      </w:r>
    </w:p>
    <w:p>
      <w:pPr>
        <w:pStyle w:val="ListBullet"/>
      </w:pPr>
      <w:r>
        <w:t>Précisions : Éviter la forme avec carbonate de calcium au 3e trimestre (risque d'alcalose de Burnett gravidique décrit en usage prolongé à doses élevées). Préférer la suspension buvable simple (alginate + bicarbonate) aux comprimés à croquer contenant du calcium en début de grossesse.</w:t>
      </w:r>
    </w:p>
    <w:p>
      <w:r/>
      <w:r>
        <w:rPr>
          <w:b/>
        </w:rPr>
        <w:t>Posologie et Mode d'administration (Standard) :</w:t>
      </w:r>
      <w:r/>
    </w:p>
    <w:p>
      <w:pPr>
        <w:pStyle w:val="ListBullet"/>
      </w:pPr>
      <w:r>
        <w:t>Adulte : Suspension buvable — 10 mL (1 sachet-dose ou 1 cuillère à soupe) après chaque repas principal (3 fois/jour) et au coucher, soit 4 prises quotidiennes ; Comprimé à croquer — 1 à 2 comprimés après chaque repas et au coucher. Ne pas dépasser 8 comprimés ou 40 mL par jour.</w:t>
      </w:r>
    </w:p>
    <w:p>
      <w:pPr>
        <w:pStyle w:val="ListBullet"/>
      </w:pPr>
      <w:r>
        <w:t>Enfant : À partir de 2 ans — demi-dose (5 mL ou 1 comprimé) après repas et coucher. Avant 2 ans, uniquement formes pédiatriques spécifiques sur prescription médicale (Gaviscon Infant historiquement, non disponible en Algérie — suppléer par épaississement du lait).</w:t>
      </w:r>
    </w:p>
    <w:p>
      <w:pPr>
        <w:pStyle w:val="ListBullet"/>
      </w:pPr>
      <w:r>
        <w:t>Durée : Court terme — évaluation après 2 semaines, consultation médicale obligatoire au-delà si symptômes persistants ou récidivants.</w:t>
      </w:r>
    </w:p>
    <w:p>
      <w:pPr>
        <w:pStyle w:val="ListBullet"/>
      </w:pPr>
      <w:r>
        <w:t xml:space="preserve">Moment de la prise : </w:t>
      </w:r>
      <w:r>
        <w:rPr>
          <w:b/>
        </w:rPr>
        <w:t>Post-prandiale immédiate</w:t>
      </w:r>
      <w:r>
        <w:t xml:space="preserve"> (juste après le repas) et </w:t>
      </w:r>
      <w:r>
        <w:rPr>
          <w:b/>
        </w:rPr>
        <w:t>au coucher</w:t>
      </w:r>
      <w:r>
        <w:t xml:space="preserve"> (pour protéger le reflux nocturne en décubitus). Ne pas prendre à jeun (efficacité réduite, gel peu formé sans bol alimentaire). Espacer de 2 h tous les autres médicaments oraux.</w:t>
      </w:r>
    </w:p>
    <w:p>
      <w:r/>
      <w:r>
        <w:rPr>
          <w:b/>
        </w:rPr>
        <w:t>Arbitrage et Bénéfices des Formes Galéniques :</w:t>
      </w:r>
      <w:r/>
    </w:p>
    <w:p>
      <w:pPr>
        <w:pStyle w:val="ListBullet"/>
      </w:pPr>
      <w:r>
        <w:t>Suspension buvable (flacon 200-250 mL ou sachets-doses 10 mL) : Forme de référence, action la plus rapide (gel formé en 60-90 secondes), facilité d'administration chez le sujet âgé et l'enfant, goûts multiples (menthe, fraise, anis, fenouil) améliorant l'observance. Sachets-doses pratiques pour transport et observance. Flacon plus économique en usage chronique.</w:t>
      </w:r>
    </w:p>
    <w:p>
      <w:pPr>
        <w:pStyle w:val="ListBullet"/>
      </w:pPr>
      <w:r>
        <w:t>Comprimés à croquer : Plus pratiques pour usage ponctuel nomade (bureau, voyage), ne nécessitent pas d'eau, mais action légèrement plus lente ( dissolution buccale puis gastrique 3-5 minutes). Le carbonate de calcium ajouté (Nobac) augmente la capacité neutralisante mais apporte du calcium (attention en IRC).</w:t>
      </w:r>
    </w:p>
    <w:p>
      <w:pPr>
        <w:pStyle w:val="ListBullet"/>
      </w:pPr>
      <w:r>
        <w:t>Choix : Suspension buvable pour RGO fréquent et nocturne ; comprimés pour RGO occasionnel et nomade.</w:t>
      </w:r>
    </w:p>
    <w:p>
      <w:r/>
      <w:r>
        <w:rPr>
          <w:b/>
        </w:rPr>
        <w:t>Instructions et Conseils au Patient :</w:t>
      </w:r>
      <w:r/>
    </w:p>
    <w:p>
      <w:pPr>
        <w:pStyle w:val="ListBullet"/>
      </w:pPr>
      <w:r>
        <w:t>Communication au comptoir : "Ce médicament forme un gel qui surnage dans votre estomac et empêche les remontées acides. Prenez-le juste après les repas et au coucher. C'est très important de ne pas le prendre en même temps que vos autres médicaments — attendez au moins 2 heures, sinon ils seront moins bien absorbés. Si vos brûlures d'estomac persistent au-delà de 2 semaines, ou si vous avez des difficultés à avaler, si vous perdez du poids ou si vous vomissez du sang, consultez votre médecin rapidement."</w:t>
      </w:r>
    </w:p>
    <w:p>
      <w:pPr>
        <w:pStyle w:val="ListBullet"/>
      </w:pPr>
      <w:r>
        <w:t>Mode d'utilisation pratique : Bien agiter le flacon avant chaque prise (suspension hétérogène) ; pour les sachets-doses, presser doucement pour bien vider ; croquer le comprimé jusqu'à dissolution complète avant d'avaler (ne pas l'avaler entier) ; en cas d'oubli d'une prise, ne pas doubler la dose suivante ; conservation à température ambiante &lt; 25 °C, à l'abri du gel.</w:t>
      </w:r>
    </w:p>
    <w:p>
      <w:r/>
      <w:r>
        <w:rPr>
          <w:b/>
        </w:rPr>
        <w:t>Notes, Règles d'Or &amp; Pièges au Comptoir :</w:t>
      </w:r>
      <w:r/>
    </w:p>
    <w:p>
      <w:pPr>
        <w:pStyle w:val="ListBullet"/>
      </w:pPr>
      <w:r>
        <w:t xml:space="preserve">Piège classique : Le patient qui vient acheter des alginates "pour la énième fois" sans jamais consulter — il faut </w:t>
      </w:r>
      <w:r>
        <w:rPr>
          <w:b/>
        </w:rPr>
        <w:t>détecter les signes d'alarme</w:t>
      </w:r>
      <w:r>
        <w:t xml:space="preserve"> (dysphagie, hématémèse, méléna, amaigrissement, anémie) et orienter vers le médecin pour endoscopie. Le RGO chronique non exploré peut masquer un endobrachyœsophage (œsophage de Barrett) pré-néoplasique.</w:t>
      </w:r>
    </w:p>
    <w:p>
      <w:pPr>
        <w:pStyle w:val="ListBullet"/>
      </w:pPr>
      <w:r>
        <w:t xml:space="preserve">Règle de prise : </w:t>
      </w:r>
      <w:r>
        <w:rPr>
          <w:b/>
        </w:rPr>
        <w:t>Après repas + au coucher</w:t>
      </w:r>
      <w:r>
        <w:t>, jamais à jeun. Espacer 2 h des autres médicaments.</w:t>
      </w:r>
    </w:p>
    <w:p>
      <w:pPr>
        <w:pStyle w:val="ListBullet"/>
      </w:pPr>
      <w:r>
        <w:t>Préparation et Conservation : Bien agiter avant emploi ; ne pas congeler ; conservation 6 mois après ouverture du flacon.</w:t>
      </w:r>
    </w:p>
    <w:p>
      <w:pPr>
        <w:pStyle w:val="ListBullet"/>
      </w:pPr>
      <w:r>
        <w:t>Piège du surdosage / Substitution : Apport sodé non négligeable chez l'insuffisant cardiaque — préférer les formulations sans bicarbonate ou avec carbonate de calcium isolé. Chez l'insuffisant rénal, éviter les formulations avec carbonate de calcium (hypercalcémie + alcalose). Ne pas associer deux antiacides/alginates en même temps (risque d'apport calcique et sodé excessif).</w:t>
      </w:r>
    </w:p>
    <w:p>
      <w:pPr>
        <w:pStyle w:val="Heading3"/>
      </w:pPr>
      <w:r>
        <w:t>2. DCI : Hydroxyde d'aluminium + Hydroxyde de magnésium (En Association)</w:t>
      </w:r>
    </w:p>
    <w:p>
      <w:r/>
      <w:r>
        <w:rPr>
          <w:b/>
        </w:rPr>
        <w:t>Liste des Catégories :</w:t>
      </w:r>
      <w:r>
        <w:t xml:space="preserve"> Antiacides - Combinaisons Al/Mg ; accès libre pour la majorité des formulations ; indiquées dans l'hyperchlorhydrie, la dyspepsie acide et le pyrosis.</w:t>
      </w:r>
    </w:p>
    <w:p>
      <w:r>
        <w:t xml:space="preserve">Les hydroxydes d'aluminium et de magnésium sont des antiacides </w:t>
      </w:r>
      <w:r>
        <w:rPr>
          <w:b/>
        </w:rPr>
        <w:t>non systémiques</w:t>
      </w:r>
      <w:r>
        <w:t xml:space="preserve"> (insolubles, peu ou pas absorbés) dont la combinaison équilibrée neutralise l'acide chlorhydrique gastrique tout en équilibrant les effets indésirables intestinaux (Al³⁺ constipant vs Mg²⁺ laxatif). C'est l'antiacide de référence depuis les années 1960, illustré par le princeps Maalox (Theraplix), qui a généré une profusion de génériques locaux en Algérie (Sailox, Bilox, Hysalox, Antaxid, Gaalox, Maalus, Gastrogel, Alugel, Novagel). Aujourd'hui, plusieurs formes historiques sont retirées ou non renouvelables, et subsistent essentiellement les spécialités algériennes en suspension buvable (Maalox Maux d'Estomac, Sailox, Hysalox, Bilox).</w:t>
      </w:r>
    </w:p>
    <w:p>
      <w:r/>
      <w:r>
        <w:rPr>
          <w:b/>
        </w:rPr>
        <w:t>Médicaments disponibles en Algérie (Marques, Laboratoires, Formes et Dosages) :</w:t>
      </w:r>
      <w:r/>
    </w:p>
    <w:p>
      <w:r>
        <w:t>Formes actives :</w:t>
      </w:r>
    </w:p>
    <w:p>
      <w:pPr>
        <w:pStyle w:val="ListBullet"/>
      </w:pPr>
      <w:r/>
      <w:r>
        <w:rPr>
          <w:b/>
        </w:rPr>
        <w:t>MAALOX MAUX D'ESTOMAC</w:t>
      </w:r>
      <w:r>
        <w:t xml:space="preserve"> (PROPHARMAL)</w:t>
      </w:r>
    </w:p>
    <w:p>
      <w:pPr>
        <w:pStyle w:val="ListBullet"/>
      </w:pPr>
      <w:r>
        <w:t>Formes et Dosages : Suspension buvable goût menthe — Hydroxyde d'aluminium 3,5 g + Hydroxyde de magnésium 4,0 g pour 100 mL — Flacon 250 mL</w:t>
      </w:r>
    </w:p>
    <w:p>
      <w:pPr>
        <w:pStyle w:val="ListBullet"/>
      </w:pPr>
      <w:r>
        <w:t>Statut : Actif</w:t>
      </w:r>
    </w:p>
    <w:p>
      <w:pPr>
        <w:pStyle w:val="ListBullet"/>
      </w:pPr>
      <w:r/>
      <w:r>
        <w:rPr>
          <w:b/>
        </w:rPr>
        <w:t>SAILOX</w:t>
      </w:r>
      <w:r>
        <w:t xml:space="preserve"> (GROUPE SAIDAL)</w:t>
      </w:r>
    </w:p>
    <w:p>
      <w:pPr>
        <w:pStyle w:val="ListBullet"/>
      </w:pPr>
      <w:r>
        <w:t>Formes et Dosages : Suspension buvable — Hydroxyde d'aluminium 3,5 g + Hydroxyde de magnésium 4,0 g pour 100 mL — Flacon 250 mL</w:t>
      </w:r>
    </w:p>
    <w:p>
      <w:pPr>
        <w:pStyle w:val="ListBullet"/>
      </w:pPr>
      <w:r>
        <w:t>Statut : Actif</w:t>
      </w:r>
    </w:p>
    <w:p>
      <w:pPr>
        <w:pStyle w:val="ListBullet"/>
      </w:pPr>
      <w:r/>
      <w:r>
        <w:rPr>
          <w:b/>
        </w:rPr>
        <w:t>HYSALOX</w:t>
      </w:r>
      <w:r>
        <w:t xml:space="preserve"> (SARL HYSA)</w:t>
      </w:r>
    </w:p>
    <w:p>
      <w:pPr>
        <w:pStyle w:val="ListBullet"/>
      </w:pPr>
      <w:r>
        <w:t>Formes et Dosages : Suspension buvable en sachets-doses — Hydroxyde d'aluminium 525 mg + Hydroxyde de magnésium 600 mg par sachet — Boîte de 30 sachets</w:t>
      </w:r>
    </w:p>
    <w:p>
      <w:pPr>
        <w:pStyle w:val="ListBullet"/>
      </w:pPr>
      <w:r>
        <w:t>Statut : Actif</w:t>
      </w:r>
    </w:p>
    <w:p>
      <w:pPr>
        <w:pStyle w:val="ListBullet"/>
      </w:pPr>
      <w:r/>
      <w:r>
        <w:rPr>
          <w:b/>
        </w:rPr>
        <w:t>BILOX</w:t>
      </w:r>
      <w:r>
        <w:t xml:space="preserve"> (BIOPHARM)</w:t>
      </w:r>
    </w:p>
    <w:p>
      <w:pPr>
        <w:pStyle w:val="ListBullet"/>
      </w:pPr>
      <w:r>
        <w:t>Formes et Dosages : Suspension buvable en sachets — Hydroxyde d'aluminium 460 mg + Hydroxyde de magnésium 400 mg par sachet — Boîte de 20</w:t>
      </w:r>
    </w:p>
    <w:p>
      <w:pPr>
        <w:pStyle w:val="ListBullet"/>
      </w:pPr>
      <w:r>
        <w:t>Statut : Actif</w:t>
      </w:r>
    </w:p>
    <w:p>
      <w:r>
        <w:t>Formes non renouvelables :</w:t>
      </w:r>
    </w:p>
    <w:p>
      <w:pPr>
        <w:pStyle w:val="ListBullet"/>
      </w:pPr>
      <w:r/>
      <w:r>
        <w:rPr>
          <w:b/>
        </w:rPr>
        <w:t>ANTAXID</w:t>
      </w:r>
      <w:r>
        <w:t xml:space="preserve"> (LABORATOIRE ALGERIEN DE DEVELOPPEMENT PHARMACEUTIQUE — LAD)</w:t>
      </w:r>
    </w:p>
    <w:p>
      <w:pPr>
        <w:pStyle w:val="ListBullet"/>
      </w:pPr>
      <w:r>
        <w:t>Formes et Dosages : Suspension buvable — Hydroxyde d'aluminium 3,49 g + Hydroxyde de magnésium 3,99 g pour 100 mL — Flacon 100 mL</w:t>
      </w:r>
    </w:p>
    <w:p>
      <w:pPr>
        <w:pStyle w:val="ListBullet"/>
      </w:pPr>
      <w:r>
        <w:t>Statut : Non Renouvelable</w:t>
      </w:r>
    </w:p>
    <w:p>
      <w:pPr>
        <w:pStyle w:val="ListBullet"/>
      </w:pPr>
      <w:r/>
      <w:r>
        <w:rPr>
          <w:b/>
        </w:rPr>
        <w:t>ESTROGEL</w:t>
      </w:r>
      <w:r>
        <w:t xml:space="preserve"> (HYSA SARL)</w:t>
      </w:r>
    </w:p>
    <w:p>
      <w:pPr>
        <w:pStyle w:val="ListBullet"/>
      </w:pPr>
      <w:r>
        <w:t>Formes et Dosages : Suspension buvable — Oxyde d'aluminium hydraté exprimé en oxyde d'aluminium 1,212 g par sachet-dose (8,08 g de sel Boehmite par sachet-dose) — Boîte de 24 sachets</w:t>
      </w:r>
    </w:p>
    <w:p>
      <w:pPr>
        <w:pStyle w:val="ListBullet"/>
      </w:pPr>
      <w:r>
        <w:t>Statut : Non Renouvelable</w:t>
      </w:r>
    </w:p>
    <w:p>
      <w:pPr>
        <w:pStyle w:val="ListBullet"/>
      </w:pPr>
      <w:r/>
      <w:r>
        <w:rPr>
          <w:b/>
        </w:rPr>
        <w:t>ACIFIX</w:t>
      </w:r>
      <w:r>
        <w:t xml:space="preserve"> (GROUPE SANTE)</w:t>
      </w:r>
    </w:p>
    <w:p>
      <w:pPr>
        <w:pStyle w:val="ListBullet"/>
      </w:pPr>
      <w:r>
        <w:t>Formes et Dosages : Suspension buvable flacon — Hydroxyde d'aluminium 175 mg + Hydroxyde de magnésium 200 mg par 5 mL — Flacon 200 mL</w:t>
      </w:r>
    </w:p>
    <w:p>
      <w:pPr>
        <w:pStyle w:val="ListBullet"/>
      </w:pPr>
      <w:r>
        <w:t>Statut : Non Renouvelable</w:t>
      </w:r>
    </w:p>
    <w:p>
      <w:pPr>
        <w:pStyle w:val="ListBullet"/>
      </w:pPr>
      <w:r/>
      <w:r>
        <w:rPr>
          <w:b/>
        </w:rPr>
        <w:t>MAALOX</w:t>
      </w:r>
      <w:r>
        <w:t xml:space="preserve"> (THERAPLIX) — princeps français</w:t>
      </w:r>
    </w:p>
    <w:p>
      <w:pPr>
        <w:pStyle w:val="ListBullet"/>
      </w:pPr>
      <w:r>
        <w:t>Formes et Dosages : Suspension buvable en sachets — Hydroxyde d'aluminium 525 mg + Hydroxyde de magnésium 600 mg par 15 mL — Boîte de 30 sachets de 15 mL</w:t>
      </w:r>
    </w:p>
    <w:p>
      <w:pPr>
        <w:pStyle w:val="ListBullet"/>
      </w:pPr>
      <w:r>
        <w:t>Statut : Non Renouvelable</w:t>
      </w:r>
    </w:p>
    <w:p>
      <w:pPr>
        <w:pStyle w:val="ListBullet"/>
      </w:pPr>
      <w:r/>
      <w:r>
        <w:rPr>
          <w:b/>
        </w:rPr>
        <w:t>CONTRACIDE</w:t>
      </w:r>
      <w:r>
        <w:t xml:space="preserve"> (CHEMICAL FARMA)</w:t>
      </w:r>
    </w:p>
    <w:p>
      <w:pPr>
        <w:pStyle w:val="ListBullet"/>
      </w:pPr>
      <w:r>
        <w:t>Formes et Dosages : Suspension buvable — Hydroxyde d'aluminium 4 g + Trisilicate de magnésium 8 g + Diméticone 2 g pour 100 mL — Flacon 250 mL</w:t>
      </w:r>
    </w:p>
    <w:p>
      <w:pPr>
        <w:pStyle w:val="ListBullet"/>
      </w:pPr>
      <w:r>
        <w:t>Statut : Non Renouvelable</w:t>
      </w:r>
    </w:p>
    <w:p>
      <w:pPr>
        <w:pStyle w:val="ListBullet"/>
      </w:pPr>
      <w:r/>
      <w:r>
        <w:rPr>
          <w:b/>
        </w:rPr>
        <w:t>GAALOX</w:t>
      </w:r>
      <w:r>
        <w:t xml:space="preserve"> (GEOPHARM)</w:t>
      </w:r>
    </w:p>
    <w:p>
      <w:pPr>
        <w:pStyle w:val="ListBullet"/>
      </w:pPr>
      <w:r>
        <w:t>Formes et Dosages : Comprimé à croquer — Hydroxyde d'aluminium 400 mg + Hydroxyde de magnésium 400 mg — Boîte de 20</w:t>
      </w:r>
    </w:p>
    <w:p>
      <w:pPr>
        <w:pStyle w:val="ListBullet"/>
      </w:pPr>
      <w:r>
        <w:t>Statut : Non Renouvelable</w:t>
      </w:r>
    </w:p>
    <w:p>
      <w:pPr>
        <w:pStyle w:val="ListBullet"/>
      </w:pPr>
      <w:r/>
      <w:r>
        <w:rPr>
          <w:b/>
        </w:rPr>
        <w:t>MAALUS-ASIA</w:t>
      </w:r>
      <w:r>
        <w:t xml:space="preserve"> (ASIA PHARMACEUTICAL)</w:t>
      </w:r>
    </w:p>
    <w:p>
      <w:pPr>
        <w:pStyle w:val="ListBullet"/>
      </w:pPr>
      <w:r>
        <w:t>Formes et Dosages : Comprimé à croquer — Hydroxyde d'aluminium 132 mg + Hydroxyde de magnésium 275 mg — Boîte de 60</w:t>
      </w:r>
    </w:p>
    <w:p>
      <w:pPr>
        <w:pStyle w:val="ListBullet"/>
      </w:pPr>
      <w:r>
        <w:t>Statut : Non Renouvelable</w:t>
      </w:r>
    </w:p>
    <w:p>
      <w:pPr>
        <w:pStyle w:val="ListBullet"/>
      </w:pPr>
      <w:r/>
      <w:r>
        <w:rPr>
          <w:b/>
        </w:rPr>
        <w:t>SAILOX</w:t>
      </w:r>
      <w:r>
        <w:t xml:space="preserve"> (GROUPE SAIDAL)</w:t>
      </w:r>
    </w:p>
    <w:p>
      <w:pPr>
        <w:pStyle w:val="ListBullet"/>
      </w:pPr>
      <w:r>
        <w:t>Formes et Dosages : Comprimé à croquer — Hydroxyde d'aluminium 400 mg + Hydroxyde de magnésium 400 mg — Boîte de 40</w:t>
      </w:r>
    </w:p>
    <w:p>
      <w:pPr>
        <w:pStyle w:val="ListBullet"/>
      </w:pPr>
      <w:r>
        <w:t>Statut : Non Renouvelable (forme comprimé)</w:t>
      </w:r>
    </w:p>
    <w:p>
      <w:pPr>
        <w:pStyle w:val="ListBullet"/>
      </w:pPr>
      <w:r/>
      <w:r>
        <w:rPr>
          <w:b/>
        </w:rPr>
        <w:t>GASTRACIDE</w:t>
      </w:r>
      <w:r>
        <w:t xml:space="preserve"> (FRATER)</w:t>
      </w:r>
    </w:p>
    <w:p>
      <w:pPr>
        <w:pStyle w:val="ListBullet"/>
      </w:pPr>
      <w:r>
        <w:t>Formes et Dosages : Comprimé à sucer — Oxyde d'aluminium hydraté 187 mg + Carbonate de magnésium 93 mg + Trisilicate de magnésium 233 mg — Boîte de 20</w:t>
      </w:r>
    </w:p>
    <w:p>
      <w:pPr>
        <w:pStyle w:val="ListBullet"/>
      </w:pPr>
      <w:r>
        <w:t>Statut : Non Renouvelable</w:t>
      </w:r>
    </w:p>
    <w:p>
      <w:r>
        <w:t>Formes retirées :</w:t>
      </w:r>
    </w:p>
    <w:p>
      <w:pPr>
        <w:pStyle w:val="ListBullet"/>
      </w:pPr>
      <w:r/>
      <w:r>
        <w:rPr>
          <w:b/>
        </w:rPr>
        <w:t>GELUSIL</w:t>
      </w:r>
      <w:r>
        <w:t xml:space="preserve"> (PARKE DAVIS) — comprimé à croquer 260 mg/430 mg (alumine hydratée + trisilicate de magnésium) — Boîte de 50 — Retiré (R)</w:t>
      </w:r>
    </w:p>
    <w:p>
      <w:pPr>
        <w:pStyle w:val="ListBullet"/>
      </w:pPr>
      <w:r/>
      <w:r>
        <w:rPr>
          <w:b/>
        </w:rPr>
        <w:t>ALLOMAX</w:t>
      </w:r>
      <w:r>
        <w:t xml:space="preserve"> (ITALFARMACO S.A) — suspension buvable — Flacon 250 mL — Retiré (R)</w:t>
      </w:r>
    </w:p>
    <w:p>
      <w:pPr>
        <w:pStyle w:val="ListBullet"/>
      </w:pPr>
      <w:r/>
      <w:r>
        <w:rPr>
          <w:b/>
        </w:rPr>
        <w:t>GASTROGEL</w:t>
      </w:r>
      <w:r>
        <w:t xml:space="preserve"> (GALENICA) — suspension buvable 3,49 g/3,99 g pour 100 mL — Flacon 250 mL — Retiré (R)</w:t>
      </w:r>
    </w:p>
    <w:p>
      <w:pPr>
        <w:pStyle w:val="ListBullet"/>
      </w:pPr>
      <w:r/>
      <w:r>
        <w:rPr>
          <w:b/>
        </w:rPr>
        <w:t>MAALUS</w:t>
      </w:r>
      <w:r>
        <w:t xml:space="preserve"> (ASIA PHARMACEUTICALS) — suspension buvable 400 mg/20 mg pour 10 mL — Flacon 200 mL — Retiré (R)</w:t>
      </w:r>
    </w:p>
    <w:p>
      <w:pPr>
        <w:pStyle w:val="ListBullet"/>
      </w:pPr>
      <w:r/>
      <w:r>
        <w:rPr>
          <w:b/>
        </w:rPr>
        <w:t>GASTRALOX</w:t>
      </w:r>
      <w:r>
        <w:t xml:space="preserve"> (ALPHARM SPA) — suspension buvable 225 mg/200 mg par 5 mL — Flacon 355 mL — Retiré (R)</w:t>
      </w:r>
    </w:p>
    <w:p>
      <w:pPr>
        <w:pStyle w:val="ListBullet"/>
      </w:pPr>
      <w:r/>
      <w:r>
        <w:rPr>
          <w:b/>
        </w:rPr>
        <w:t>ALUGEL</w:t>
      </w:r>
      <w:r>
        <w:t xml:space="preserve"> (PHARMACIA UPJOHN) — suspension buvable 350 mg/20 mg par 5 mL — Flacon 250 mL — Retiré (R)</w:t>
      </w:r>
    </w:p>
    <w:p>
      <w:pPr>
        <w:pStyle w:val="ListBullet"/>
      </w:pPr>
      <w:r/>
      <w:r>
        <w:rPr>
          <w:b/>
        </w:rPr>
        <w:t>NOVAGEL</w:t>
      </w:r>
      <w:r>
        <w:t xml:space="preserve"> (ARAB PHARMACEUTICAL MANUFACTURING) — suspension buvable 365 mg/300 mg par 5 mL — Flacon 200 mL — Retiré (R)</w:t>
      </w:r>
    </w:p>
    <w:p>
      <w:pPr>
        <w:pStyle w:val="ListBullet"/>
      </w:pPr>
      <w:r/>
      <w:r>
        <w:rPr>
          <w:b/>
        </w:rPr>
        <w:t>MUTESA</w:t>
      </w:r>
      <w:r>
        <w:t xml:space="preserve"> (WYETH LEDERLE) — suspension buvable — Oxyde d'aluminium 3,8 g + Oxyde de magnésium 1,35 g + Oxécaïne 0,187 g pour 100 g — Flacon 200 mL — Retiré (R)</w:t>
      </w:r>
    </w:p>
    <w:p>
      <w:pPr>
        <w:pStyle w:val="ListBullet"/>
      </w:pPr>
      <w:r/>
      <w:r>
        <w:rPr>
          <w:b/>
        </w:rPr>
        <w:t>GASTROX</w:t>
      </w:r>
      <w:r>
        <w:t xml:space="preserve"> (BIOGALE) — granulés pour suspension buvable en sachets — Hydroxyde d'aluminium 800 mg + Hydroxyde de magnésium 800 mg — Boîte de 14 — Retiré (R)</w:t>
      </w:r>
    </w:p>
    <w:p>
      <w:pPr>
        <w:pStyle w:val="ListBullet"/>
      </w:pPr>
      <w:r/>
      <w:r>
        <w:rPr>
          <w:b/>
        </w:rPr>
        <w:t>GASTROVERSAL</w:t>
      </w:r>
      <w:r>
        <w:t xml:space="preserve"> (PRIME UNIVERSAL) — poudre pour solution buvable en sachets — Hydroxyde d'aluminium 400 mg + Hydroxyde de magnésium 400 mg par sachet — Boîte de 12 — Retiré (R)</w:t>
      </w:r>
    </w:p>
    <w:p>
      <w:r/>
      <w:r>
        <w:rPr>
          <w:b/>
        </w:rPr>
        <w:t>Sous-classe et Mécanisme d'action :</w:t>
      </w:r>
      <w:r/>
    </w:p>
    <w:p>
      <w:pPr>
        <w:pStyle w:val="ListBullet"/>
      </w:pPr>
      <w:r>
        <w:t>Sous-classe : Antiacides non systémiques à base de sels insolubles d'aluminium et de magnésium — combinaison équilibrée pour neutraliser les effets indésirables intestinaux respectifs (constipation et diarrhée).</w:t>
      </w:r>
    </w:p>
    <w:p>
      <w:pPr>
        <w:pStyle w:val="ListBullet"/>
      </w:pPr>
      <w:r>
        <w:t>Mécanisme d'action : Réaction acido-basique de neutralisation stoichiométrique en lumière gastrique — Al(OH)₃ + 3 HCl → AlCl₃ + 3 H₂O ; Mg(OH)₂ + 2 HCl → MgCl₂ + 2 H₂O. La capacité neutralisante (exprimée en mEq HCl neutralisés par unité de dose) dépend du sel et de la surface d'échange : l'hydroxyde d'aluminium a une action plus lente (colloïde qui se dissout progressivement) et prolongée (jusqu'à 90 minutes), l'hydroxyde de magnésium agit plus rapidement (15-30 minutes) mais plus brièvement. La combinaison équilibre délai et durée d'action. Le pH intragastrique remonte de 1-2 à 3,5-4,5 (zone optimale pour inactivation de la pepsine et soulagement symptômatique). Le chlorure d'aluminium formé réagit secondairement avec les phosphates alimentaires pour former un phosphate d'aluminium insoluble (non absorbé) — d'où l'effet hypophosphatémiant et constipant. Le chlorure de magnésium est partiellement absorbé (10-30 %), mais le magnésium absorbé est rapidement excrété par le rein si la fonction rénale est normale.</w:t>
      </w:r>
    </w:p>
    <w:p>
      <w:r/>
      <w:r>
        <w:rPr>
          <w:b/>
        </w:rPr>
        <w:t>Profil Pharmacologique :</w:t>
      </w:r>
      <w:r/>
    </w:p>
    <w:p>
      <w:pPr>
        <w:pStyle w:val="ListBullet"/>
      </w:pPr>
      <w:r>
        <w:t>Indications : Hyperchlorhydrie gastrique, dyspepsie acide, pyrosis isolé (sans composante reflux prédominante — sinon préférer alginates), ulcère gastroduodénal en traitement symptomatique d'appoint, gastrite aiguë ou chronique, traitement d'appoint des douleurs épigastriques sous AINS à doses anti-inflammatoires, aérophagie avec hyperacidité.</w:t>
      </w:r>
    </w:p>
    <w:p>
      <w:pPr>
        <w:pStyle w:val="ListBullet"/>
      </w:pPr>
      <w:r>
        <w:t>Contre-indications : Insuffisance rénale sévère (clairance &lt; 30 mL/min) — risque d'hypermagnésémie (Mg accumulé → dépression neuromusculaire, arrêt respiratoire) et d'encéphalopathie aluminique ; colite post-antibiotique à *Clostridium difficile* (modification du pH colique favorise la prolifération) ; hypersensibilité aux composants ; enfant &lt; 10 ans (sauf prescription médicale) ; régime hyposodé strict (faible apport Na, mais à vérifier selon excipients).</w:t>
      </w:r>
    </w:p>
    <w:p>
      <w:pPr>
        <w:pStyle w:val="ListBullet"/>
      </w:pPr>
      <w:r>
        <w:t>Effets Indésirables : Effets digestifs — Al³⁺ : constipation (par précipitation des phosphates et effet osmotique inversé), nausées, vomissements, sécheresse buccale ; Mg²⁺ : diarrhée (effet osmotique), crampes abdominales. Effets métaboliques en usage prolongé (&gt; 2 semaines) ou en IRC — hypophosphatémie (Al), ostéomalacie (Al — fixation sur l'os, perturbation minéralisation), encéphalopathie aluminique (Al — neurotoxicité centrale, troubles cognitifs, myoclonies) ; hypermagnésémie (Mg — hypotension, bradycardie, dépression respiratoire, aréflexie) ; alcalose métabolique (rare aux doses usuelles).</w:t>
      </w:r>
    </w:p>
    <w:p>
      <w:r/>
      <w:r>
        <w:rPr>
          <w:b/>
        </w:rPr>
        <w:t>Prévention et Gestion des Effets Indésirables :</w:t>
      </w:r>
      <w:r/>
    </w:p>
    <w:p>
      <w:pPr>
        <w:pStyle w:val="ListBullet"/>
      </w:pPr>
      <w:r>
        <w:t>Mesures Préventives : Limiter la durée d'utilisation à 2 semaines en automédication ; espacer les prises d'au moins 2 heures des autres médicaments ; surveiller la fonction rénale avant instauration d'un traitement prolongé (au-delà de 2 semaines) ; éviter l'usage prolongé chez l'insuffisant rénal ; associer une hydratation suffisante (réduit constipation) ; alerter le patient sur la coloration possible des selles (modification liée à l'aluminium).</w:t>
      </w:r>
    </w:p>
    <w:p>
      <w:pPr>
        <w:pStyle w:val="ListBullet"/>
      </w:pPr>
      <w:r>
        <w:t>Conduite à Tenir : En cas de diarrhée persistante, réduire la dose ou passer à une formule plus riche en aluminium (ou associer carbonate de calcium) ; en cas de constipation, inversement ; en cas de signes d'hypermagnésémie (fatigue, hypotension, faiblesse musculaire), arrêt immédiat et consultation, contrôle magnésémie ; en cas d'usage prolongé, contrôle phosphatémie, calcémie, magnésémie, fonction rénale toutes les 4-6 semaines.</w:t>
      </w:r>
    </w:p>
    <w:p>
      <w:r/>
      <w:r>
        <w:rPr>
          <w:b/>
        </w:rPr>
        <w:t>Interactions Importantes :</w:t>
      </w:r>
      <w:r/>
    </w:p>
    <w:p>
      <w:pPr>
        <w:pStyle w:val="ListBullet"/>
      </w:pPr>
      <w:r/>
      <w:r>
        <w:rPr>
          <w:b/>
        </w:rPr>
        <w:t>Al/Mg + tous médicaments oraux</w:t>
      </w:r>
      <w:r>
        <w:t xml:space="preserve"> : Réduction de l'absorption par chélation et augmentation du pH gastrique (modifie dissolution des formes gastrorésistantes) — espacer de 2 heures minimum. Concernent en particulier : fluoroquinolones (chélation Al/Mg → baisse absorption de 50-90 %, contre-indication relative), tétracyclines (même mécanisme), isoniazide, nitrofurantoïne, azithromycine, antipaludéens (chloroquine, hydroxychloroquine), anticoagulants oraux (AVK — variation INR), digoxine, hormones thyroïdiennes (lévothyroxine — risque d'hypothyroïdie déséquilibrée), contraceptifs oraux, fer oral (chélation), calcium, bisphosphonates (alendronate, risédronate — espacer 30 min minimum avant antiacide), mycophénolate, kétoconazole/itraconazole (besoin de pH acide pour absorption — espacer 2 h et prendre antifongique en 1er), atazanavir (baisse absorption — contre-indication), rilpivirine (idem).</w:t>
      </w:r>
    </w:p>
    <w:p>
      <w:pPr>
        <w:pStyle w:val="ListBullet"/>
      </w:pPr>
      <w:r/>
      <w:r>
        <w:rPr>
          <w:b/>
        </w:rPr>
        <w:t>Al/Mg + citrate</w:t>
      </w:r>
      <w:r>
        <w:t xml:space="preserve"> : Le citrate augmente l'absorption de l'aluminium (chélate en complexe soluble traversant la barrière intestinale) — éviter association avec jus d'orange, pamplemousse, citron, ou formes médicamenteuses à base de citrate (citrate de potassium, citrate de magnésium) — risque d'encéphalopathie aluminique accrue en IRC.</w:t>
      </w:r>
    </w:p>
    <w:p>
      <w:pPr>
        <w:pStyle w:val="ListBullet"/>
      </w:pPr>
      <w:r/>
      <w:r>
        <w:rPr>
          <w:b/>
        </w:rPr>
        <w:t>Al/Mg + salicylates</w:t>
      </w:r>
      <w:r>
        <w:t xml:space="preserve"> : Augmentation de l'excrétion rénale des salicylates (alcalinisation urinaire par Mg) — baisse des taux d'aspirine.</w:t>
      </w:r>
    </w:p>
    <w:p>
      <w:r/>
      <w:r>
        <w:rPr>
          <w:b/>
        </w:rPr>
        <w:t>Grossesse et Allaitement :</w:t>
      </w:r>
      <w:r/>
    </w:p>
    <w:p>
      <w:pPr>
        <w:pStyle w:val="ListBullet"/>
      </w:pPr>
      <w:r>
        <w:t xml:space="preserve">Grossesse : </w:t>
      </w:r>
      <w:r>
        <w:rPr>
          <w:b/>
        </w:rPr>
        <w:t>Compatible</w:t>
      </w:r>
      <w:r>
        <w:t xml:space="preserve"> selon le CRAT, à utiliser en privilégié par rapport au bicarbonate de sodium (pas d'apport sodé significatif, pas d'alcalinisation systémique). Préférer la forme sans carbonate de calcium en usage prolongé. À utiliser avec parcimonie en raison du risque théorique d'effets fœtaux de l'aluminium (neurotoxicité fœtique rapportée en IRC maternelle), mais aux doses usuelles et sur de courtes durées, le bénéfice attendu l'emporte.</w:t>
      </w:r>
    </w:p>
    <w:p>
      <w:pPr>
        <w:pStyle w:val="ListBullet"/>
      </w:pPr>
      <w:r>
        <w:t xml:space="preserve">Allaitement : </w:t>
      </w:r>
      <w:r>
        <w:rPr>
          <w:b/>
        </w:rPr>
        <w:t>Compatible</w:t>
      </w:r>
      <w:r>
        <w:t xml:space="preserve"> selon le CRAT. Passage minime dans le lait maternel ; aucun effet rapporté chez le nourrisson allaité.</w:t>
      </w:r>
    </w:p>
    <w:p>
      <w:pPr>
        <w:pStyle w:val="ListBullet"/>
      </w:pPr>
      <w:r>
        <w:t>Précisions : La prescription est possible tout au long de la grossesse, en privilégiant la forme la plus simple (Al/Mg seuls, sans adjonction de carbonate de calcium ou de siméticone) et en limitant à 2-3 semaines d'usage continu.</w:t>
      </w:r>
    </w:p>
    <w:p>
      <w:r/>
      <w:r>
        <w:rPr>
          <w:b/>
        </w:rPr>
        <w:t>Posologie et Mode d'administration (Standard) :</w:t>
      </w:r>
      <w:r/>
    </w:p>
    <w:p>
      <w:pPr>
        <w:pStyle w:val="ListBullet"/>
      </w:pPr>
      <w:r>
        <w:t>Adulte : Suspension buvable — 1 cuillère à soupe (15 mL) ou 1 sachet-dose, 3 à 4 fois par jour après les repas et au coucher ; Comprimés à croquer — 1 à 2 comprimés 3 à 4 fois par jour après repas et coucher. Dose maximale : 8 prises par jour.</w:t>
      </w:r>
    </w:p>
    <w:p>
      <w:pPr>
        <w:pStyle w:val="ListBullet"/>
      </w:pPr>
      <w:r>
        <w:t>Enfant : À partir de 10 ans — demi-dose adulte. Avant 10 ans, prescription médicale obligatoire (forme pédiatrique spécifique).</w:t>
      </w:r>
    </w:p>
    <w:p>
      <w:pPr>
        <w:pStyle w:val="ListBullet"/>
      </w:pPr>
      <w:r>
        <w:t>Sujet âgé : Pas d'adaptation posologique si fonction rénale normale ; surveillance accrue en cas d'IRC (réduction des doses, espacement).</w:t>
      </w:r>
    </w:p>
    <w:p>
      <w:pPr>
        <w:pStyle w:val="ListBullet"/>
      </w:pPr>
      <w:r>
        <w:t>Durée : Automédication limitée à 2 semaines ; au-delà, consultation médicale obligatoire.</w:t>
      </w:r>
    </w:p>
    <w:p>
      <w:pPr>
        <w:pStyle w:val="ListBullet"/>
      </w:pPr>
      <w:r>
        <w:t xml:space="preserve">Moment de la prise : </w:t>
      </w:r>
      <w:r>
        <w:rPr>
          <w:b/>
        </w:rPr>
        <w:t>1 heure à 1h30 après les repas</w:t>
      </w:r>
      <w:r>
        <w:t xml:space="preserve"> (optimise la durée d'action — à jeun, l'estomac se vide rapidement et l'antiacide est évacué avant son action) et </w:t>
      </w:r>
      <w:r>
        <w:rPr>
          <w:b/>
        </w:rPr>
        <w:t>au coucher</w:t>
      </w:r>
      <w:r>
        <w:t xml:space="preserve"> (protection nocturne). Espacer 2 h de tout autre médicament oral.</w:t>
      </w:r>
    </w:p>
    <w:p>
      <w:r/>
      <w:r>
        <w:rPr>
          <w:b/>
        </w:rPr>
        <w:t>Arbitrage et Bénéfices des Formes Galéniques :</w:t>
      </w:r>
      <w:r/>
    </w:p>
    <w:p>
      <w:pPr>
        <w:pStyle w:val="ListBullet"/>
      </w:pPr>
      <w:r>
        <w:t>Suspension buvable (flacon ou sachets-doses) : Action la plus rapide (la forme liquide se mélange immédiatement au contenu gastrique), meilleure couverture de la muqueuse, observance facilitée par les sachets-doses unitaires (transport, dosage précis). Forme recommandée pour les douleurs aiguës et chez le sujet âgé.</w:t>
      </w:r>
    </w:p>
    <w:p>
      <w:pPr>
        <w:pStyle w:val="ListBullet"/>
      </w:pPr>
      <w:r>
        <w:t>Comprimés à croquer : Pratiques pour le nomadisme, mais action légèrement plus lente (nécessite dissolution). Convient pour les symptômes ponctuels post-prandiaux.</w:t>
      </w:r>
    </w:p>
    <w:p>
      <w:pPr>
        <w:pStyle w:val="ListBullet"/>
      </w:pPr>
      <w:r>
        <w:t>Sachets vs flacon : Sachets-doses (Hysalox, Bilox) = dosage précis, transport, hygiène ; flacon (Maalox Maux d'Estomac, Sailox) = économique en usage prolongé mais dosage approximatif (cuillère).</w:t>
      </w:r>
    </w:p>
    <w:p>
      <w:r/>
      <w:r>
        <w:rPr>
          <w:b/>
        </w:rPr>
        <w:t>Instructions et Conseils au Patient :</w:t>
      </w:r>
      <w:r/>
    </w:p>
    <w:p>
      <w:pPr>
        <w:pStyle w:val="ListBullet"/>
      </w:pPr>
      <w:r>
        <w:t>Communication au comptoir : "Ce médicament neutralise l'excès d'acide dans votre estomac. Prenez-le après les repas et au coucher. Si vous prenez d'autres médicaments (antibiotiques, médicaments pour le cœur, pour la thyroïde, fer), espaces-les d'au moins 2 heures de cet antiacide sinon ils seront moins efficaces. Ne dépassez pas 2 semaines d'utilisation sans avis médical. Consultez rapidement si vous avez des vomissements sanglants, des selles noires, ou des difficultés à avaler."</w:t>
      </w:r>
    </w:p>
    <w:p>
      <w:pPr>
        <w:pStyle w:val="ListBullet"/>
      </w:pPr>
      <w:r>
        <w:t>Mode d'utilisation pratique : Bien agiter le flacon avant emploi ; pour les sachets, pétrir avant ouverture ; croquer le comprimé jusqu'à dissolution complète ; en cas d'oubli d'une prise, ne pas doubler la suivante ; conservation à température ambiante &lt; 25 °C, à l'abri du gel ; jeter la suspension buvable au-delà de 6 mois après ouverture.</w:t>
      </w:r>
    </w:p>
    <w:p>
      <w:r/>
      <w:r>
        <w:rPr>
          <w:b/>
        </w:rPr>
        <w:t>Notes, Règles d'Or &amp; Pièges au Comptoir :</w:t>
      </w:r>
      <w:r/>
    </w:p>
    <w:p>
      <w:pPr>
        <w:pStyle w:val="ListBullet"/>
      </w:pPr>
      <w:r>
        <w:t xml:space="preserve">Piège classique : Le patient âgé polymédiqué qui prend son antiacide en même temps que tous ses comprimés du matin — le pharmacien doit </w:t>
      </w:r>
      <w:r>
        <w:rPr>
          <w:b/>
        </w:rPr>
        <w:t>systématiquement rappeler la règle des 2 heures</w:t>
      </w:r>
      <w:r>
        <w:t>. Cas typique : patient sous lévothyroxine + Maalox → hypothyroïdie déséquilibrée ; patient sous fluoroquinolone + Maalox → échec antibiotique.</w:t>
      </w:r>
    </w:p>
    <w:p>
      <w:pPr>
        <w:pStyle w:val="ListBullet"/>
      </w:pPr>
      <w:r>
        <w:t xml:space="preserve">Règle de prise : </w:t>
      </w:r>
      <w:r>
        <w:rPr>
          <w:b/>
        </w:rPr>
        <w:t>1 h à 1h30 après repas + coucher ; espacer 2 h des autres médicaments</w:t>
      </w:r>
      <w:r>
        <w:t>.</w:t>
      </w:r>
    </w:p>
    <w:p>
      <w:pPr>
        <w:pStyle w:val="ListBullet"/>
      </w:pPr>
      <w:r>
        <w:t>Préparation et Conservation : Bien agiter avant emploi ; ne pas congeler ; jeter après 6 mois d'ouverture.</w:t>
      </w:r>
    </w:p>
    <w:p>
      <w:pPr>
        <w:pStyle w:val="ListBullet"/>
      </w:pPr>
      <w:r>
        <w:t xml:space="preserve">Piège du surdosage / Substitution : En IRC, l'accumulation de Mg (hypermagnésémie → arrêt respiratoire) et d'Al (encéphalopathie aluminique) est un risque vital — </w:t>
      </w:r>
      <w:r>
        <w:rPr>
          <w:b/>
        </w:rPr>
        <w:t>contre-indication absolue</w:t>
      </w:r>
      <w:r>
        <w:t xml:space="preserve"> en IRC sévère. Dans ce cas, préférer carbonate de calcium isolé ou alginate seul. Attention à l'association avec les jus de fruits acides (citrate augmente l'absorption de l'aluminium). Le patient transplanté rénal ou dialysé ne doit jamais recevoir d'Al/Mg.</w:t>
      </w:r>
    </w:p>
    <w:p>
      <w:pPr>
        <w:pStyle w:val="Heading3"/>
      </w:pPr>
      <w:r>
        <w:t>3. DCI : Hydroxyde d'aluminium + Hydroxyde de magnésium + Siméticone (En Association)</w:t>
      </w:r>
    </w:p>
    <w:p>
      <w:r/>
      <w:r>
        <w:rPr>
          <w:b/>
        </w:rPr>
        <w:t>Liste des Catégories :</w:t>
      </w:r>
      <w:r>
        <w:t xml:space="preserve"> Antiacides + carminatifs ; accès libre ; indiquées dans la dyspepsie hyperacide associée à des ballonnements et météorisme.</w:t>
      </w:r>
    </w:p>
    <w:p>
      <w:r>
        <w:t xml:space="preserve">Cette association trithérapeutique combine la neutralisation acide (hydroxyde d'aluminium + hydroxyde de magnésium en ratio équilibré 1:1) avec l'effet carminatif tensioactif de la siméticone. Elle s'adresse au patient présentant une </w:t>
      </w:r>
      <w:r>
        <w:rPr>
          <w:b/>
        </w:rPr>
        <w:t>dyspepsie mixte</w:t>
      </w:r>
      <w:r>
        <w:t xml:space="preserve"> : douleur épigastrique acide + ballonnements + éructations + flatulences. La siméticone (polydiméthylsiloxane + dioxyde de silice) est un tensioactif non ionique qui abaisse la tension superficielle des bulles de gaz digestives, favorisant leur coalescence et leur élimination par éructation ou absorption colique. Son passage systémique est nul.</w:t>
      </w:r>
    </w:p>
    <w:p>
      <w:r/>
      <w:r>
        <w:rPr>
          <w:b/>
        </w:rPr>
        <w:t>Médicaments disponibles en Algérie (Marques, Laboratoires, Formes et Dosages) :</w:t>
      </w:r>
      <w:r/>
    </w:p>
    <w:p>
      <w:pPr>
        <w:pStyle w:val="ListBullet"/>
      </w:pPr>
      <w:r/>
      <w:r>
        <w:rPr>
          <w:b/>
        </w:rPr>
        <w:t>GAALOX PLUS</w:t>
      </w:r>
      <w:r>
        <w:t xml:space="preserve"> (GEOPHARM)</w:t>
      </w:r>
    </w:p>
    <w:p>
      <w:pPr>
        <w:pStyle w:val="ListBullet"/>
      </w:pPr>
      <w:r>
        <w:t>Formes et Dosages : Comprimé à croquer — Hydroxyde d'aluminium 200 mg + Hydroxyde de magnésium 200 mg + Siméticone 25 mg — Boîte de 40</w:t>
      </w:r>
    </w:p>
    <w:p>
      <w:pPr>
        <w:pStyle w:val="ListBullet"/>
      </w:pPr>
      <w:r>
        <w:t>Statut : Non Renouvelable (spécialité unique dans cette sous-classe en Algérie ; alternatives possibles : Al/Mg isolé + siméticone séparée, ou associations alginates-bicarbonate de sodium)</w:t>
      </w:r>
    </w:p>
    <w:p>
      <w:r/>
      <w:r>
        <w:rPr>
          <w:b/>
        </w:rPr>
        <w:t>Sous-classe et Mécanisme d'action :</w:t>
      </w:r>
      <w:r/>
    </w:p>
    <w:p>
      <w:pPr>
        <w:pStyle w:val="ListBullet"/>
      </w:pPr>
      <w:r>
        <w:t>Sous-classe : Antiacide-carminatif combiné — association d'antiacides non systémiques (Al/Mg) avec un tensioactif digestif (siméticone) pour couvrir simultanément l'hyperchlorhydrie et le météorisme.</w:t>
      </w:r>
    </w:p>
    <w:p>
      <w:pPr>
        <w:pStyle w:val="ListBullet"/>
      </w:pPr>
      <w:r>
        <w:t xml:space="preserve">Mécanisme d'action : Triple action — </w:t>
      </w:r>
      <w:r>
        <w:rPr>
          <w:b/>
        </w:rPr>
        <w:t>(1)</w:t>
      </w:r>
      <w:r>
        <w:t xml:space="preserve"> Neutralisation acide gastrique par Al(OH)₃ et Mg(OH)₂ (réaction acido-basique stoichiométrique, voir fiche précédente) ; </w:t>
      </w:r>
      <w:r>
        <w:rPr>
          <w:b/>
        </w:rPr>
        <w:t>(2)</w:t>
      </w:r>
      <w:r>
        <w:t xml:space="preserve"> Effet carminatif de la siméticone qui abaisse la tension superficielle à l'interface gaz-liquide des bulles digestives, provoquant leur coalescence en grosses bulles facilement évacuées par éructation (route orale) ou absorbées par la muqueuse colique (route systémique puis exhalation pulmonaire) ; </w:t>
      </w:r>
      <w:r>
        <w:rPr>
          <w:b/>
        </w:rPr>
        <w:t>(3)</w:t>
      </w:r>
      <w:r>
        <w:t xml:space="preserve"> Effet mucoprotecteur léger du film de siméticone sur la muqueuse gastrique. La siméticone est inactive chimiquement, non absorbée, excrétée à 100 % dans les selles. Elle agit purement physiquement sur les interfaces liquide-gaz.</w:t>
      </w:r>
    </w:p>
    <w:p>
      <w:r/>
      <w:r>
        <w:rPr>
          <w:b/>
        </w:rPr>
        <w:t>Profil Pharmacologique :</w:t>
      </w:r>
      <w:r/>
    </w:p>
    <w:p>
      <w:pPr>
        <w:pStyle w:val="ListBullet"/>
      </w:pPr>
      <w:r>
        <w:t>Indications : Dyspepsie hyperacide avec ballonnements associés ; météorisme post-prandial ; aérophagie avec pyrosis ; dyspepsie fonctionnelle à composante acide et gazeuse ; en complément des régimes flatulogènes (légumineuses, choux, boissons gazeuses).</w:t>
      </w:r>
    </w:p>
    <w:p>
      <w:pPr>
        <w:pStyle w:val="ListBullet"/>
      </w:pPr>
      <w:r>
        <w:t>Contre-indications : Insuffisance rénale sévère (clairance &lt; 30 mL/min) — accumulation de Mg et Al ; hypersensibilité à l'un des composants ; enfant &lt; 10 ans (sauf prescription médicale) ; obstruction intestinale (la siméticone pourrait théoriquement aggraver une distension colique en amont d'un obstacle).</w:t>
      </w:r>
    </w:p>
    <w:p>
      <w:pPr>
        <w:pStyle w:val="ListBullet"/>
      </w:pPr>
      <w:r>
        <w:t>Effets Indésirables : Ceux de l'Al/Mg (constipation par Al, diarrhée par Mg — voir fiche précédente), plus rarement nausées, céphalées, modifications du transit. La siméticone est exceptionnellement à l'origine de réactions d'hypersensibilité cutanée (urticaire, prurit) ou de nausées légères.</w:t>
      </w:r>
    </w:p>
    <w:p>
      <w:r/>
      <w:r>
        <w:rPr>
          <w:b/>
        </w:rPr>
        <w:t>Prévention et Gestion des Effets Indésirables :</w:t>
      </w:r>
      <w:r/>
    </w:p>
    <w:p>
      <w:pPr>
        <w:pStyle w:val="ListBullet"/>
      </w:pPr>
      <w:r>
        <w:t>Mesures Préventives : Espacer de 2 heures tous les autres médicaments oraux (chélation par Al/Mg) ; limiter l'usage à 2 semaines en automédication ; surveiller la fonction rénale en cas d'usage prolongé ; éviter l'association avec des jus de fruits acides (citrate augmente absorption Al).</w:t>
      </w:r>
    </w:p>
    <w:p>
      <w:pPr>
        <w:pStyle w:val="ListBullet"/>
      </w:pPr>
      <w:r>
        <w:t>Conduite à Tenir : En cas de persistance des ballonnements malgré la siméticone, envisager un conseil diététique (réduction des aliments flatulogènes, mastication lente) ou orientation médicale (recherche de bactéries H₂-productrices, SIBO — syndrome de l'intestin grêle colonisé). En cas de diarrhée ou constipation, ajuster le ratio Al/Mg ou changer de formulation.</w:t>
      </w:r>
    </w:p>
    <w:p>
      <w:r/>
      <w:r>
        <w:rPr>
          <w:b/>
        </w:rPr>
        <w:t>Interactions Importantes :</w:t>
      </w:r>
      <w:r/>
    </w:p>
    <w:p>
      <w:pPr>
        <w:pStyle w:val="ListBullet"/>
      </w:pPr>
      <w:r/>
      <w:r>
        <w:rPr>
          <w:b/>
        </w:rPr>
        <w:t>Al/Mg/siméticone + tous médicaments oraux</w:t>
      </w:r>
      <w:r>
        <w:t xml:space="preserve"> : Mêmes interactions que Al/Mg (voir fiche précédente) — espacer 2 heures.</w:t>
      </w:r>
    </w:p>
    <w:p>
      <w:pPr>
        <w:pStyle w:val="ListBullet"/>
      </w:pPr>
      <w:r/>
      <w:r>
        <w:rPr>
          <w:b/>
        </w:rPr>
        <w:t>Siméticone + anticoagulants oraux</w:t>
      </w:r>
      <w:r>
        <w:t xml:space="preserve"> : La siméticone peut théoriquement modifier l'absorption des AVK en modifiant la vidange gastrique (controversé). Surveiller l'INR en cas d'usage prolongé.</w:t>
      </w:r>
    </w:p>
    <w:p>
      <w:pPr>
        <w:pStyle w:val="ListBullet"/>
      </w:pPr>
      <w:r/>
      <w:r>
        <w:rPr>
          <w:b/>
        </w:rPr>
        <w:t>Siméticone + lévothyroxine</w:t>
      </w:r>
      <w:r>
        <w:t xml:space="preserve"> : Réduction possible de l'absorption de la lévothyroxine — espacer 2 heures.</w:t>
      </w:r>
    </w:p>
    <w:p>
      <w:pPr>
        <w:pStyle w:val="ListBullet"/>
      </w:pPr>
      <w:r/>
      <w:r>
        <w:rPr>
          <w:b/>
        </w:rPr>
        <w:t>Siméticone + préparation colique (PEG)</w:t>
      </w:r>
      <w:r>
        <w:t xml:space="preserve"> : Potentialisation de l'effet laxatif — possible synergie en préparation coloscopique.</w:t>
      </w:r>
    </w:p>
    <w:p>
      <w:r/>
      <w:r>
        <w:rPr>
          <w:b/>
        </w:rPr>
        <w:t>Grossesse et Allaitement :</w:t>
      </w:r>
      <w:r/>
    </w:p>
    <w:p>
      <w:pPr>
        <w:pStyle w:val="ListBullet"/>
      </w:pPr>
      <w:r>
        <w:t xml:space="preserve">Grossesse : </w:t>
      </w:r>
      <w:r>
        <w:rPr>
          <w:b/>
        </w:rPr>
        <w:t>Compatible</w:t>
      </w:r>
      <w:r>
        <w:t xml:space="preserve"> selon le CRAT (Al/Mg et siméticone sont compatibles). Préférer néanmoins une formulation la plus simple possible (Al/Mg seuls ou alginate seul) en cas de RGO isolé, et réserver la combinaison avec siméticone aux cas où la composante météorisme est nette.</w:t>
      </w:r>
    </w:p>
    <w:p>
      <w:pPr>
        <w:pStyle w:val="ListBullet"/>
      </w:pPr>
      <w:r>
        <w:t xml:space="preserve">Allaitement : </w:t>
      </w:r>
      <w:r>
        <w:rPr>
          <w:b/>
        </w:rPr>
        <w:t>Compatible</w:t>
      </w:r>
      <w:r>
        <w:t xml:space="preserve"> selon le CRAT. Aucun passage systémique significatif, aucun effet rapporté chez le nourrisson.</w:t>
      </w:r>
    </w:p>
    <w:p>
      <w:pPr>
        <w:pStyle w:val="ListBullet"/>
      </w:pPr>
      <w:r>
        <w:t>Précisions : Pendant la grossesse, surveillance particulière de l'apport sodé (certains comprimés contiennent du sodium en excipients) et de la fonction rénale (la IRC gravidique est rare mais possible).</w:t>
      </w:r>
    </w:p>
    <w:p>
      <w:r/>
      <w:r>
        <w:rPr>
          <w:b/>
        </w:rPr>
        <w:t>Posologie et Mode d'administration (Standard) :</w:t>
      </w:r>
      <w:r/>
    </w:p>
    <w:p>
      <w:pPr>
        <w:pStyle w:val="ListBullet"/>
      </w:pPr>
      <w:r>
        <w:t>Adulte : 1 à 2 comprimés à croquer, 3 à 4 fois par jour après les repas et au coucher. Dose maximale : 8 comprimés/jour (soit 200 mg de siméticone/jour — inférieure à la dose optimale anti-météorisme de 1-2 g/jour, ce qui limite l'efficacité carminative de cette combinaison).</w:t>
      </w:r>
    </w:p>
    <w:p>
      <w:pPr>
        <w:pStyle w:val="ListBullet"/>
      </w:pPr>
      <w:r>
        <w:t>Enfant : À partir de 10 ans, demi-dose.</w:t>
      </w:r>
    </w:p>
    <w:p>
      <w:pPr>
        <w:pStyle w:val="ListBullet"/>
      </w:pPr>
      <w:r>
        <w:t>Durée : Automédication 2 semaines maximum, consultation au-delà.</w:t>
      </w:r>
    </w:p>
    <w:p>
      <w:pPr>
        <w:pStyle w:val="ListBullet"/>
      </w:pPr>
      <w:r>
        <w:t>Moment de la prise : Après repas (15-30 minutes) et au coucher. Espacer 2 heures des autres médicaments oraux.</w:t>
      </w:r>
    </w:p>
    <w:p>
      <w:r/>
      <w:r>
        <w:rPr>
          <w:b/>
        </w:rPr>
        <w:t>Arbitrage et Bénéfices des Formes Galéniques :</w:t>
      </w:r>
      <w:r/>
    </w:p>
    <w:p>
      <w:pPr>
        <w:pStyle w:val="ListBullet"/>
      </w:pPr>
      <w:r>
        <w:t>Comprimés à croquer : Seule forme disponible en Algérie. Pratique pour le nomadisme, action rapide ( dissolution buccale puis gastrique).</w:t>
      </w:r>
    </w:p>
    <w:p>
      <w:pPr>
        <w:pStyle w:val="ListBullet"/>
      </w:pPr>
      <w:r>
        <w:t>Alternative en cas d'indisponibilité (Gaalox Plus non renouvelable) : Prescrire séparément Al/Mg suspension buvable (Maalox Maux d'Estomac, Sailox, Hysalox, Bilox) + siméticone isolée (Freegas 80 mg comprimés à croquer, ou Pepsane gel buvable en sachets 3 g/sachet). Cette stratégie permet d'ajuster indépendamment chaque composante.</w:t>
      </w:r>
    </w:p>
    <w:p>
      <w:r/>
      <w:r>
        <w:rPr>
          <w:b/>
        </w:rPr>
        <w:t>Instructions et Conseils au Patient :</w:t>
      </w:r>
      <w:r/>
    </w:p>
    <w:p>
      <w:pPr>
        <w:pStyle w:val="ListBullet"/>
      </w:pPr>
      <w:r>
        <w:t>Communication au comptoir : "Ce médicament associe un antiacide (contre l'acidité) et un carminatif (contre les ballonnements). Prenez-le après les repas et au coucher. Évitez de le prendre en même temps que vos autres médicaments — attendez au moins 2 heures. Si vous avez encore des ballonnements après 2 semaines, parlez-en à votre médecin — il faudra peut-être explorer la cause (alimentation, bactéries intestinales)."</w:t>
      </w:r>
    </w:p>
    <w:p>
      <w:pPr>
        <w:pStyle w:val="ListBullet"/>
      </w:pPr>
      <w:r>
        <w:t>Mode d'utilisation pratique : Croquer le comprimé jusqu'à dissolution complète avant d'avaler ; bien agiter les suspensions (si association séparée) ; conservation à température ambiante.</w:t>
      </w:r>
    </w:p>
    <w:p>
      <w:r/>
      <w:r>
        <w:rPr>
          <w:b/>
        </w:rPr>
        <w:t>Notes, Règles d'Or &amp; Pièges au Comptoir :</w:t>
      </w:r>
      <w:r/>
    </w:p>
    <w:p>
      <w:pPr>
        <w:pStyle w:val="ListBullet"/>
      </w:pPr>
      <w:r>
        <w:t>Piège classique : Le patient qui prend Gaalox Plus + son Ipantil (métoprolol) ensemble le matin — le bétabloquant est chélaté et son efficacité chute. Rappeler la règle des 2 heures.</w:t>
      </w:r>
    </w:p>
    <w:p>
      <w:pPr>
        <w:pStyle w:val="ListBullet"/>
      </w:pPr>
      <w:r>
        <w:t xml:space="preserve">Règle de prise : </w:t>
      </w:r>
      <w:r>
        <w:rPr>
          <w:b/>
        </w:rPr>
        <w:t>Après repas + coucher ; espacer 2 h des autres médicaments.</w:t>
      </w:r>
      <w:r/>
    </w:p>
    <w:p>
      <w:pPr>
        <w:pStyle w:val="ListBullet"/>
      </w:pPr>
      <w:r>
        <w:t>Préparation et Conservation : Comprimés à conserver à température ambiante &lt; 25 °C, à l'abri de l'humidité.</w:t>
      </w:r>
    </w:p>
    <w:p>
      <w:pPr>
        <w:pStyle w:val="ListBullet"/>
      </w:pPr>
      <w:r>
        <w:t>Piège du surdosage / Substitution : Le dosage siméticone (25 mg/comprimé) est faible par rapport à l'efficacité optimale (1-2 g/jour) — ne pas hésiter à prescrire siméticone isolée en complément si météorisme sévère. En IRC : contre-indication absolue (Al/Mg s'accumulent).</w:t>
      </w:r>
    </w:p>
    <w:p>
      <w:pPr>
        <w:pStyle w:val="Heading3"/>
      </w:pPr>
      <w:r>
        <w:t>4. DCI : Bicarbonate de sodium ± Acide citrique (Seul ou en Association)</w:t>
      </w:r>
    </w:p>
    <w:p>
      <w:r/>
      <w:r>
        <w:rPr>
          <w:b/>
        </w:rPr>
        <w:t>Liste des Catégories :</w:t>
      </w:r>
      <w:r>
        <w:t xml:space="preserve"> Antiacides - Carbonates/bicarbonates ; essentiellement disponibles en formes injectables (acidose métabolique, hyperkaliémie, intoxications), une forme orale effervescente historique retirée ; accès sur prescription médicale pour les formes injectables.</w:t>
      </w:r>
    </w:p>
    <w:p>
      <w:r>
        <w:t xml:space="preserve">Le bicarbonate de sodium (NaHCO₃) est l'antiacide </w:t>
      </w:r>
      <w:r>
        <w:rPr>
          <w:b/>
        </w:rPr>
        <w:t>systémique</w:t>
      </w:r>
      <w:r>
        <w:t xml:space="preserve"> par excellence : soluble, rapidement absorbé, il alcalinise non seulement la lumière gastrique mais aussi le compartiment sanguin. Son usage oral comme antiacide simple est aujourd'hui marginal en raison du risque d'alcalose métabolique, d'hypernatrémie et de surcharge hydrosodée. Il conserve une place de choix en </w:t>
      </w:r>
      <w:r>
        <w:rPr>
          <w:b/>
        </w:rPr>
        <w:t>réanimation</w:t>
      </w:r>
      <w:r>
        <w:t xml:space="preserve"> (acidose métabolique sévère, hyperkaliémie, alcalinisation urinaire, intoxication aux tricycliques) et comme composant des associations effervescentes (acide citrique + bicarbonate → citrate de sodium + eau + CO₂, l'effervescence assurant dissolution rapide et apport alcalin).</w:t>
      </w:r>
    </w:p>
    <w:p>
      <w:r/>
      <w:r>
        <w:rPr>
          <w:b/>
        </w:rPr>
        <w:t>Médicaments disponibles en Algérie (Marques, Laboratoires, Formes et Dosages) :</w:t>
      </w:r>
      <w:r/>
    </w:p>
    <w:p>
      <w:r>
        <w:t>Formes injectables non renouvelables :</w:t>
      </w:r>
    </w:p>
    <w:p>
      <w:pPr>
        <w:pStyle w:val="ListBullet"/>
      </w:pPr>
      <w:r/>
      <w:r>
        <w:rPr>
          <w:b/>
        </w:rPr>
        <w:t>SODIUM BICARBONATE</w:t>
      </w:r>
      <w:r>
        <w:t xml:space="preserve"> (RENAUDIN)</w:t>
      </w:r>
    </w:p>
    <w:p>
      <w:pPr>
        <w:pStyle w:val="ListBullet"/>
      </w:pPr>
      <w:r>
        <w:t>Formes et Dosages : Solution injectable pour perfusion IV — Bicarbonate de sodium 0,084 (soit 8,4 g/100 mL, équivalent à 1 mmol/mL de Na⁺ et HCO₃⁻) — Boîte de 100 ampoules de 10 mL</w:t>
      </w:r>
    </w:p>
    <w:p>
      <w:pPr>
        <w:pStyle w:val="ListBullet"/>
      </w:pPr>
      <w:r>
        <w:t>Statut : Non Renouvelable</w:t>
      </w:r>
    </w:p>
    <w:p>
      <w:pPr>
        <w:pStyle w:val="ListBullet"/>
      </w:pPr>
      <w:r/>
      <w:r>
        <w:rPr>
          <w:b/>
        </w:rPr>
        <w:t>SODIUM BICARBONATE</w:t>
      </w:r>
      <w:r>
        <w:t xml:space="preserve"> (RENAUDIN)</w:t>
      </w:r>
    </w:p>
    <w:p>
      <w:pPr>
        <w:pStyle w:val="ListBullet"/>
      </w:pPr>
      <w:r>
        <w:t>Formes et Dosages : Solution injectable pour perfusion IV — Bicarbonate de sodium 0,084 (8,4 g/100 mL) — Boîte de 100 ampoules de 20 mL</w:t>
      </w:r>
    </w:p>
    <w:p>
      <w:pPr>
        <w:pStyle w:val="ListBullet"/>
      </w:pPr>
      <w:r>
        <w:t>Statut : Non Renouvelable</w:t>
      </w:r>
    </w:p>
    <w:p>
      <w:r>
        <w:t>Forme orale effervescente retirée :</w:t>
      </w:r>
    </w:p>
    <w:p>
      <w:pPr>
        <w:pStyle w:val="ListBullet"/>
      </w:pPr>
      <w:r/>
      <w:r>
        <w:rPr>
          <w:b/>
        </w:rPr>
        <w:t>DIGESVERSAL</w:t>
      </w:r>
      <w:r>
        <w:t xml:space="preserve"> (PRIME UNIVERSAL)</w:t>
      </w:r>
    </w:p>
    <w:p>
      <w:pPr>
        <w:pStyle w:val="ListBullet"/>
      </w:pPr>
      <w:r>
        <w:t>Formes et Dosages : Poudre effervescente en sachets — Acide citrique 2,155 g + Bicarbonate sodique 2,285 g par sachet — Boîte de 12</w:t>
      </w:r>
    </w:p>
    <w:p>
      <w:pPr>
        <w:pStyle w:val="ListBullet"/>
      </w:pPr>
      <w:r>
        <w:t>Statut : Retiré (R)</w:t>
      </w:r>
    </w:p>
    <w:p>
      <w:r>
        <w:t>Forme injectable retirée :</w:t>
      </w:r>
    </w:p>
    <w:p>
      <w:pPr>
        <w:pStyle w:val="ListBullet"/>
      </w:pPr>
      <w:r/>
      <w:r>
        <w:rPr>
          <w:b/>
        </w:rPr>
        <w:t>BICARBONATE DE SODIUM</w:t>
      </w:r>
      <w:r>
        <w:t xml:space="preserve"> (SAIDAL)</w:t>
      </w:r>
    </w:p>
    <w:p>
      <w:pPr>
        <w:pStyle w:val="ListBullet"/>
      </w:pPr>
      <w:r>
        <w:t>Formes et Dosages : Solution injectable 0,014 (1,4 g/100 mL, soit 0,166 mmol/mL — solution isotonique pour alcalinisation progressive) — Flacon 500 mL</w:t>
      </w:r>
    </w:p>
    <w:p>
      <w:pPr>
        <w:pStyle w:val="ListBullet"/>
      </w:pPr>
      <w:r>
        <w:t>Statut : Retiré (R)</w:t>
      </w:r>
    </w:p>
    <w:p>
      <w:pPr>
        <w:pStyle w:val="ListBullet"/>
      </w:pPr>
      <w:r/>
      <w:r>
        <w:rPr>
          <w:b/>
        </w:rPr>
        <w:t>BICARBONATE DE SODIUM AGUETTANT</w:t>
      </w:r>
      <w:r>
        <w:t xml:space="preserve"> (AGUETTANT)</w:t>
      </w:r>
    </w:p>
    <w:p>
      <w:pPr>
        <w:pStyle w:val="ListBullet"/>
      </w:pPr>
      <w:r>
        <w:t>Formes et Dosages : Solution injectable 0,042 (4,2 g/100 mL, soit 0,5 mmol/mL — solution demi-molaire) — Boîte de 100 ampoules de 10 mL</w:t>
      </w:r>
    </w:p>
    <w:p>
      <w:pPr>
        <w:pStyle w:val="ListBullet"/>
      </w:pPr>
      <w:r>
        <w:t>Statut : Retiré (R)</w:t>
      </w:r>
    </w:p>
    <w:p>
      <w:r/>
      <w:r>
        <w:rPr>
          <w:b/>
        </w:rPr>
        <w:t>Sous-classe et Mécanisme d'action :</w:t>
      </w:r>
      <w:r/>
    </w:p>
    <w:p>
      <w:pPr>
        <w:pStyle w:val="ListBullet"/>
      </w:pPr>
      <w:r>
        <w:t>Sous-classe : Antiacide systémique — carbonate/bicarbonate alcalin soluble, avec passage systémique significatif.</w:t>
      </w:r>
    </w:p>
    <w:p>
      <w:pPr>
        <w:pStyle w:val="ListBullet"/>
      </w:pPr>
      <w:r>
        <w:t>Mécanisme d'action : Le bicarbonate de sodium réagit en milieu acide gastrique selon : NaHCO₃ + HCl → NaCl + H₂O + CO₂. Le CO₂ libéré est éliminé par éructation (ou absorbé puis exhalé), le NaCl est absorbé. Le bicarbonate non neutralisé dans l'estomac est absorbé dans l'intestin grêle, augmentant le pool systémique de bicarbonate (système tampon acido-basique), ce qui alcalinise le pH sanguin et urinaire. En cas d'acidose métabolique (pH &lt; 7,20), la perfusion IV de bicarbonate corrige le pH en augmentant la concentration plasmatique en HCO₃⁻, déplaçant l'équilibre acido-basique selon Henderson-Hasselbalch (pH = 6,1 + log([HCO₃⁻]/(0,03 × pCO₂)). En association avec l'acide citrique (Digesversal), la réaction effervescente est : C₆H₈O₇ + 3 NaHCO₃ → Na₃C₆H₅O₇ (citrate trisodique) + 3 H₂O + 3 CO₂. Le citrate trisodique est métabolisé en hépatiques en bicarbonate (alcalinisation retardée), contribuant à l'effet prolongé.</w:t>
      </w:r>
    </w:p>
    <w:p>
      <w:r/>
      <w:r>
        <w:rPr>
          <w:b/>
        </w:rPr>
        <w:t>Profil Pharmacologique :</w:t>
      </w:r>
      <w:r/>
    </w:p>
    <w:p>
      <w:pPr>
        <w:pStyle w:val="ListBullet"/>
      </w:pPr>
      <w:r>
        <w:t xml:space="preserve">Indications : </w:t>
      </w:r>
      <w:r>
        <w:rPr>
          <w:b/>
        </w:rPr>
        <w:t>(1)</w:t>
      </w:r>
      <w:r>
        <w:t xml:space="preserve"> Formes injectables — acidose métabolique sévère (pH artériel &lt; 7,10-7,20) quelle que soit la cause (acidose lactique, acidose rénale, acidocétose diabétique en cas d'acidose menaçante, intoxications salicylée, méthanolique, éthylène glycolique) ; hyperkaliémie menaçante (alcalinisation → passage K⁺ intracellulaire) ; alcalinisation urinaire (lithiase urique, potentialisation des aminosides et éphédrine) ; intoxication aux antidépresseurs tricycliques (alcalinisation corrige l'allongement du QRS). </w:t>
      </w:r>
      <w:r>
        <w:rPr>
          <w:b/>
        </w:rPr>
        <w:t>(2)</w:t>
      </w:r>
      <w:r>
        <w:t xml:space="preserve"> Formes orales (historique) — pyrosis, hyperchlorhydrie, dyspepsie acide.</w:t>
      </w:r>
    </w:p>
    <w:p>
      <w:pPr>
        <w:pStyle w:val="ListBullet"/>
      </w:pPr>
      <w:r>
        <w:t>Contre-indications : Alcalose métabolique ou respiratoire préexistante ; hypocalcémie (alcalinisation diminue le calcium ionique → tétanie) ; surcharge hydrosodée (insuffisance cardiaque décompensée, œdèmes, hypertension non contrôlée) ; insuffisance rénale anurique (impossibilité d'éliminer le Na⁺ et le HCO₃⁻) ; hypokaliémie (alcalinisation aggrave l'hypokaliémie par shift intracellulaire) ; enfant &lt; 2 ans pour usage antiacide oral (acidose de rebond, distension gastrique par CO₂) ; grossesse (à doses antiacides élevées — risque d'hypernatrémie fœtale et d'alcalose).</w:t>
      </w:r>
    </w:p>
    <w:p>
      <w:pPr>
        <w:pStyle w:val="ListBullet"/>
      </w:pPr>
      <w:r>
        <w:t>Effets Indésirables : Hypernatrémie (apport Na⁺ ≈ 12 mmol/gramme de NaHCO₃), alcalose métabolique (à doses répétées), surcharge hydrosodée (œdèmes, hypertension, insuffisance cardiaque), distension gastrique par CO₂ (éructations, flatulence), acidose de rebond (hyper-sécrétion gastrique compensatrice à l'arrêt), hypokaliémie (shift intracellulaire), hypocalcémie symptomatique. En IV : risque d'extravasation (nécrose tissulaire), alcalinisation trop rapide (risque d'alcalose et de convulsions), hyperosmolarité plasmatique.</w:t>
      </w:r>
    </w:p>
    <w:p>
      <w:r/>
      <w:r>
        <w:rPr>
          <w:b/>
        </w:rPr>
        <w:t>Prévention et Gestion des Effets Indésirables :</w:t>
      </w:r>
      <w:r/>
    </w:p>
    <w:p>
      <w:pPr>
        <w:pStyle w:val="ListBullet"/>
      </w:pPr>
      <w:r>
        <w:t>Mesures Préventives : Ne pas dépasser une vitesse de perfusion IV de 1-2 mmol/kg/h (risque d'alcalose rapide) ; surveiller la gazométrie artérielle toutes les 30 minutes en perfusion continue ; surveiller la kaliémie (l'alcalinisation fait chuter la K⁺) ; surveiller la natrémie et la calcémie ionique ; éviter l'usage oral chronique (au-delà de quelques jours) ; contre-indication absolue chez l'insuffisant cardiaque décompensé.</w:t>
      </w:r>
    </w:p>
    <w:p>
      <w:pPr>
        <w:pStyle w:val="ListBullet"/>
      </w:pPr>
      <w:r>
        <w:t>Conduite à Tenir : En cas d'alcalose métabolique iatrogène, arrêt du bicarbonate + perfusion de chlorure de sodium isotonique + KCl si hypokaliémie associée ; en cas d'hypernatrémie, hydratation hypotonique (glucosé 5 %) prudente ; en cas d'extravasation IV, arrêt immédiat, infiltration locale de hyaluronidase.</w:t>
      </w:r>
    </w:p>
    <w:p>
      <w:r/>
      <w:r>
        <w:rPr>
          <w:b/>
        </w:rPr>
        <w:t>Interactions Importantes :</w:t>
      </w:r>
      <w:r/>
    </w:p>
    <w:p>
      <w:pPr>
        <w:pStyle w:val="ListBullet"/>
      </w:pPr>
      <w:r/>
      <w:r>
        <w:rPr>
          <w:b/>
        </w:rPr>
        <w:t>Bicarbonate + lithium</w:t>
      </w:r>
      <w:r>
        <w:t xml:space="preserve"> : Alcalinisation urinaire augmente l'excrétion rénale du lithium → baisse des taux plasmatiques (jusqu'à 50 %) — surveiller la lithiémie et adapter la dose.</w:t>
      </w:r>
    </w:p>
    <w:p>
      <w:pPr>
        <w:pStyle w:val="ListBullet"/>
      </w:pPr>
      <w:r/>
      <w:r>
        <w:rPr>
          <w:b/>
        </w:rPr>
        <w:t>Bicarbonate + salicylates</w:t>
      </w:r>
      <w:r>
        <w:t xml:space="preserve"> : Alcalinisation urinaire augmente l'excrétion des salicylates (ionisation en milieu alcalin → piège ionique dans les tubules) — utilisé thérapeutiquement en intoxication salicylée (baisse des taux), mais peut réduire l'efficacité thérapeutique de l'aspirine à doses anti-inflammatoires.</w:t>
      </w:r>
    </w:p>
    <w:p>
      <w:pPr>
        <w:pStyle w:val="ListBullet"/>
      </w:pPr>
      <w:r/>
      <w:r>
        <w:rPr>
          <w:b/>
        </w:rPr>
        <w:t>Bicarbonate + tétracyclines</w:t>
      </w:r>
      <w:r>
        <w:t xml:space="preserve"> : Diminution de l'absorption des tétracyclines (pH gastrique modifié) — espacer 2 heures.</w:t>
      </w:r>
    </w:p>
    <w:p>
      <w:pPr>
        <w:pStyle w:val="ListBullet"/>
      </w:pPr>
      <w:r/>
      <w:r>
        <w:rPr>
          <w:b/>
        </w:rPr>
        <w:t>Bicarbonate + fluoroquinolones</w:t>
      </w:r>
      <w:r>
        <w:t xml:space="preserve"> : Risque de cristallurie d'alcalinisation (cristaux de fluoroquinolone en urine alcaline) — hydratation abondante.</w:t>
      </w:r>
    </w:p>
    <w:p>
      <w:pPr>
        <w:pStyle w:val="ListBullet"/>
      </w:pPr>
      <w:r/>
      <w:r>
        <w:rPr>
          <w:b/>
        </w:rPr>
        <w:t>Bicarbonate + inhibiteurs de l'enzyme de conversion (IEC) / ARA2</w:t>
      </w:r>
      <w:r>
        <w:t xml:space="preserve"> : Potentialisation de l'hyperkaliémie (mais le bicarbonate traite l'acidose favorisant l'hyperkaliémie — surveillance de la kaliémie).</w:t>
      </w:r>
    </w:p>
    <w:p>
      <w:pPr>
        <w:pStyle w:val="ListBullet"/>
      </w:pPr>
      <w:r/>
      <w:r>
        <w:rPr>
          <w:b/>
        </w:rPr>
        <w:t>Bicarbonate + corticoïdes</w:t>
      </w:r>
      <w:r>
        <w:t xml:space="preserve"> : Augmentation de la rétention hydrosodée.</w:t>
      </w:r>
    </w:p>
    <w:p>
      <w:r/>
      <w:r>
        <w:rPr>
          <w:b/>
        </w:rPr>
        <w:t>Grossesse et Allaitement :</w:t>
      </w:r>
      <w:r/>
    </w:p>
    <w:p>
      <w:pPr>
        <w:pStyle w:val="ListBullet"/>
      </w:pPr>
      <w:r>
        <w:t xml:space="preserve">Grossesse : </w:t>
      </w:r>
      <w:r>
        <w:rPr>
          <w:b/>
        </w:rPr>
        <w:t>À éviter aux doses antiacides élevées</w:t>
      </w:r>
      <w:r>
        <w:t xml:space="preserve"> selon le CRAT — risque d'hypernatrémie maternelle et fœtale, d'alcalose métabolique maternelle (pouvant réduire la ventilation fœtale compensatoire), d'œdèmes. Les formes orales de bicarbonate ne sont </w:t>
      </w:r>
      <w:r>
        <w:rPr>
          <w:b/>
        </w:rPr>
        <w:t>pas recommandées pendant la grossesse</w:t>
      </w:r>
      <w:r>
        <w:t xml:space="preserve"> — préférer les alginates (première intention) ou les Al/Mg (deuxième intention). Les formes injectables en réanimation restent utilisables si l'indication vitale le justifie (acidose sévère, hyperkaliémie menaçante).</w:t>
      </w:r>
    </w:p>
    <w:p>
      <w:pPr>
        <w:pStyle w:val="ListBullet"/>
      </w:pPr>
      <w:r>
        <w:t xml:space="preserve">Allaitement : </w:t>
      </w:r>
      <w:r>
        <w:rPr>
          <w:b/>
        </w:rPr>
        <w:t>Compatible</w:t>
      </w:r>
      <w:r>
        <w:t xml:space="preserve"> à doses ponctuelles et modérées, mais le bicarbonate passe dans le lait maternel (apport sodé à surveiller en cas d'usage prolongé). Préférer alginates ou Al/Mg.</w:t>
      </w:r>
    </w:p>
    <w:p>
      <w:pPr>
        <w:pStyle w:val="ListBullet"/>
      </w:pPr>
      <w:r>
        <w:t>Précisions : En pratique clinique, le bicarbonate oral ne devrait plus être utilisé comme antiacide pendant la grossesse, en raison de l'existence d'alternatives plus sûres et mieux évaluées.</w:t>
      </w:r>
    </w:p>
    <w:p>
      <w:r/>
      <w:r>
        <w:rPr>
          <w:b/>
        </w:rPr>
        <w:t>Posologie et Mode d'administration (Standard) :</w:t>
      </w:r>
      <w:r/>
    </w:p>
    <w:p>
      <w:pPr>
        <w:pStyle w:val="ListBullet"/>
      </w:pPr>
      <w:r>
        <w:t xml:space="preserve">Adulte (antiacide oral) : 1 à 5 g (1 cuillère à café à 1 cuillère à soupe de bicarbonate de soude alimentaire) dans un verre d'eau, à prendre 1 à 3 fois par jour après repas. </w:t>
      </w:r>
      <w:r>
        <w:rPr>
          <w:b/>
        </w:rPr>
        <w:t>Usage non recommandé au-delà de quelques jours</w:t>
      </w:r>
      <w:r>
        <w:t xml:space="preserve"> — rappeler les risques.</w:t>
      </w:r>
    </w:p>
    <w:p>
      <w:pPr>
        <w:pStyle w:val="ListBullet"/>
      </w:pPr>
      <w:r>
        <w:t>Adulte (acidose métabolique sévère IV) : 1 à 2 mmol/kg en perfusion IV lente sur 15-30 minutes, puis adaptation selon gazométrie artérielle (objectif pH &gt; 7,20, pas de normalisation forcée). Dose maximale : 200-250 mmol/24 h.</w:t>
      </w:r>
    </w:p>
    <w:p>
      <w:pPr>
        <w:pStyle w:val="ListBullet"/>
      </w:pPr>
      <w:r>
        <w:t>Adulte (hyperkaliémie IV) : 250-500 mmol IV lente sur 30-60 minutes, associée à du glucose + insuline.</w:t>
      </w:r>
    </w:p>
    <w:p>
      <w:pPr>
        <w:pStyle w:val="ListBullet"/>
      </w:pPr>
      <w:r>
        <w:t>Adulte (alcalinisation urinaire) : 1-2 g par voie orale, 3 à 4 fois par jour (objectif pH urinaire &gt; 7,0).</w:t>
      </w:r>
    </w:p>
    <w:p>
      <w:pPr>
        <w:pStyle w:val="ListBullet"/>
      </w:pPr>
      <w:r>
        <w:t>Adulte (intoxication tricyclique IV) : 1-2 mmol/kg IV directe pour ramener le pH sanguin à 7,45-7,55, puis perfusion d'entretien pour maintenir le pH.</w:t>
      </w:r>
    </w:p>
    <w:p>
      <w:pPr>
        <w:pStyle w:val="ListBullet"/>
      </w:pPr>
      <w:r>
        <w:t>Enfant : 1 mmol/kg IV lente en cas d'acidose sévère (à adapter selon le poids).</w:t>
      </w:r>
    </w:p>
    <w:p>
      <w:pPr>
        <w:pStyle w:val="ListBullet"/>
      </w:pPr>
      <w:r>
        <w:t>Durée : IV — le plus court possible (quelques heures à quelques jours) ; oral — quelques jours maximum.</w:t>
      </w:r>
    </w:p>
    <w:p>
      <w:pPr>
        <w:pStyle w:val="ListBullet"/>
      </w:pPr>
      <w:r>
        <w:t>Moment de la prise : Oral — après repas ; IV — en réanimation.</w:t>
      </w:r>
    </w:p>
    <w:p>
      <w:r/>
      <w:r>
        <w:rPr>
          <w:b/>
        </w:rPr>
        <w:t>Arbitrage et Bénéfices des Formes Galéniques :</w:t>
      </w:r>
      <w:r/>
    </w:p>
    <w:p>
      <w:pPr>
        <w:pStyle w:val="ListBullet"/>
      </w:pPr>
      <w:r>
        <w:t>Forme injectable (8,4 % = 1 mmol/mL, molaire ; 4,2 % = 0,5 mmol/mL, demi-molaire ; 1,4 % = 0,166 mmol/mL, isotonique) : Trois concentrations disponibles, choix selon l'urgence et la voie d'administration. La forme molaire (8,4 %) est utilisée en urgence absolue (acidose menaçante), la demi-molaire (4,2 %) en perfusion continue prolongée, l'isotonique (1,4 %) en pédiatrie ou alcalinisation urinaire. Toutes les formes sont hypertoniques par rapport au plasma (sauf 1,4 %), à administrer sur voie veineuse centrale de préférence.</w:t>
      </w:r>
    </w:p>
    <w:p>
      <w:pPr>
        <w:pStyle w:val="ListBullet"/>
      </w:pPr>
      <w:r>
        <w:t>Forme orale effervescente (Digesversal retiré) : Association acide citrique + bicarbonate de sodium en sachets effervescents, pratique mais dosage insuffisant pour réanimation. Usage oral antiacide limité aujourd'hui.</w:t>
      </w:r>
    </w:p>
    <w:p>
      <w:pPr>
        <w:pStyle w:val="ListBullet"/>
      </w:pPr>
      <w:r>
        <w:t>Forme alimentaire (bicarbonate de soude) : Disponible hors pharmacie, non régulé — usage domestique courant, à risque en cas de chronicisation ou de comorbidités (HTA, IC, grossesse, IRC).</w:t>
      </w:r>
    </w:p>
    <w:p>
      <w:r/>
      <w:r>
        <w:rPr>
          <w:b/>
        </w:rPr>
        <w:t>Instructions et Conseils au Patient :</w:t>
      </w:r>
      <w:r/>
    </w:p>
    <w:p>
      <w:pPr>
        <w:pStyle w:val="ListBullet"/>
      </w:pPr>
      <w:r>
        <w:t>Communication au comptoir : "Le bicarbonate de soude n'est pas un antiacide recommandé en usage régulier — il apporte trop de sel et peut perturber votre équilibre sanguin. Si vous avez souvent mal à l'estomac, préférez les médicaments à base d'alginate ou d'hydroxydes d'aluminium-magnésium, et consultez votre médecin si les symptômes durent plus de 2 semaines. Le bicarbonate en injection est réservé à des urgences hospitalières."</w:t>
      </w:r>
    </w:p>
    <w:p>
      <w:pPr>
        <w:pStyle w:val="ListBullet"/>
      </w:pPr>
      <w:r>
        <w:t>Mode d'utilisation pratique : Pour les formes injectables — usage strictement hospitalier ; pour le bicarbonate alimentaire — éviter l'automédication régulière, en particulier chez la femme enceinte, l'insuffisant cardiaque, l'hypertendu, l'insuffisant rénal.</w:t>
      </w:r>
    </w:p>
    <w:p>
      <w:r/>
      <w:r>
        <w:rPr>
          <w:b/>
        </w:rPr>
        <w:t>Notes, Règles d'Or &amp; Pièges au Comptoir :</w:t>
      </w:r>
      <w:r/>
    </w:p>
    <w:p>
      <w:pPr>
        <w:pStyle w:val="ListBullet"/>
      </w:pPr>
      <w:r>
        <w:t>Piège classique : Le patient qui utilise le bicarbonate de soude alimentaire comme antiacide "naturel" au quotidien — risque d'hypernatrémie, d'alcalose, d'hypertension. Le pharmacien doit informer sur les risques et orienter vers les alternatives plus sûres.</w:t>
      </w:r>
    </w:p>
    <w:p>
      <w:pPr>
        <w:pStyle w:val="ListBullet"/>
      </w:pPr>
      <w:r>
        <w:t xml:space="preserve">Règle de prise : </w:t>
      </w:r>
      <w:r>
        <w:rPr>
          <w:b/>
        </w:rPr>
        <w:t>Réserver le bicarbonate aux usages hospitaliers (IV) et éviter l'usage oral chronique</w:t>
      </w:r>
      <w:r>
        <w:t>.</w:t>
      </w:r>
    </w:p>
    <w:p>
      <w:pPr>
        <w:pStyle w:val="ListBullet"/>
      </w:pPr>
      <w:r>
        <w:t>Préparation et Conservation : Formes injectables à conserver à température ambiante, à l'abri du gel ; ne pas mélanger avec des solutions acides (précipitation) ou calcium (carbonate de calcium insoluble).</w:t>
      </w:r>
    </w:p>
    <w:p>
      <w:pPr>
        <w:pStyle w:val="ListBullet"/>
      </w:pPr>
      <w:r>
        <w:t>Piège du surdosage / Substitution : En cas d'acidose métabolique, ne pas "corriger à tout prix" le pH vers 7,40 — l'objectif est un pH &gt; 7,20 (correction partielle), la correction complète pouvant aggraver une acidose tissulaire sous-jacente (paradoxe acido-basique). Le bicarbonate ne traite pas la cause de l'acidose — il faut traiter simultanément la cause (dialyse en IRC, insuline en acidocétose, etc.).</w:t>
      </w:r>
    </w:p>
    <w:p>
      <w:pPr>
        <w:pStyle w:val="Heading3"/>
      </w:pPr>
      <w:r>
        <w:t>5. DCI : Carbonate de calcium + Carbonate de magnésium (En Association)</w:t>
      </w:r>
    </w:p>
    <w:p>
      <w:r/>
      <w:r>
        <w:rPr>
          <w:b/>
        </w:rPr>
        <w:t>Liste des Catégories :</w:t>
      </w:r>
      <w:r>
        <w:t xml:space="preserve"> Antiacides - Carbonates Ca/Mg ; accès libre ; indiquées dans la dyspepsie acide, le pyrosis et le RGO intermittent.</w:t>
      </w:r>
    </w:p>
    <w:p>
      <w:r>
        <w:t xml:space="preserve">L'association carbonate de calcium (CaCO₃) + carbonate de magnésium (MgCO₃, généralement forme "lourde" pour stabilité galénique et densité) est l'archétype de l'antiacide </w:t>
      </w:r>
      <w:r>
        <w:rPr>
          <w:b/>
        </w:rPr>
        <w:t>puissant à action rapide</w:t>
      </w:r>
      <w:r>
        <w:t xml:space="preserve">. Le carbonate de calcium neutralise HCl (CaCO₃ + 2 HCl → CaCl₂ + H₂O + CO₂) avec libération de CO₂ pouvant induire éructations et distension gastrique, mais offre une capacité neutralisante supérieure à celle des hydroxydes. Le carbonate de magnésium apporte l'effet laxatif osmotique compensateur (le Mg²⁺ libéré est partiellement absorbé mais rapidement éliminé par le rein si fonction normale). Le princeps </w:t>
      </w:r>
      <w:r>
        <w:rPr>
          <w:b/>
        </w:rPr>
        <w:t>Rennie</w:t>
      </w:r>
      <w:r>
        <w:t xml:space="preserve"> (Bayer) reste l'une des spécialités les plus prescrites et reconnaissables du marché algérien.</w:t>
      </w:r>
    </w:p>
    <w:p>
      <w:r/>
      <w:r>
        <w:rPr>
          <w:b/>
        </w:rPr>
        <w:t>Médicaments disponibles en Algérie (Marques, Laboratoires, Formes et Dosages) :</w:t>
      </w:r>
      <w:r/>
    </w:p>
    <w:p>
      <w:pPr>
        <w:pStyle w:val="ListBullet"/>
      </w:pPr>
      <w:r/>
      <w:r>
        <w:rPr>
          <w:b/>
        </w:rPr>
        <w:t>RENNIE</w:t>
      </w:r>
      <w:r>
        <w:t xml:space="preserve"> (BAYER HEALTHCARE SAS)</w:t>
      </w:r>
    </w:p>
    <w:p>
      <w:pPr>
        <w:pStyle w:val="ListBullet"/>
      </w:pPr>
      <w:r>
        <w:t>Formes et Dosages : Comprimé à croquer — Carbonate de calcium 680 mg + Carbonate de magnésium (lourd) 80 mg — Boîte de 48</w:t>
      </w:r>
    </w:p>
    <w:p>
      <w:pPr>
        <w:pStyle w:val="ListBullet"/>
      </w:pPr>
      <w:r>
        <w:t>Statut : Actif (princeps historique international)</w:t>
      </w:r>
    </w:p>
    <w:p>
      <w:pPr>
        <w:pStyle w:val="ListBullet"/>
      </w:pPr>
      <w:r/>
      <w:r>
        <w:rPr>
          <w:b/>
        </w:rPr>
        <w:t>RENNIE DEFLATINE</w:t>
      </w:r>
      <w:r>
        <w:t xml:space="preserve"> (BAYER SANTE FAMILIALE)</w:t>
      </w:r>
    </w:p>
    <w:p>
      <w:pPr>
        <w:pStyle w:val="ListBullet"/>
      </w:pPr>
      <w:r>
        <w:t>Formes et Dosages : Comprimé à croquer sans sucre — Carbonate de calcium 680 mg + Carbonate de magnésium lourd 80 mg + Diméticone (activée) 25 mg — Boîte de 18</w:t>
      </w:r>
    </w:p>
    <w:p>
      <w:pPr>
        <w:pStyle w:val="ListBullet"/>
      </w:pPr>
      <w:r>
        <w:t>Statut : Actif (variante carminative)</w:t>
      </w:r>
    </w:p>
    <w:p>
      <w:pPr>
        <w:pStyle w:val="ListBullet"/>
      </w:pPr>
      <w:r/>
      <w:r>
        <w:rPr>
          <w:b/>
        </w:rPr>
        <w:t>RENIBON</w:t>
      </w:r>
      <w:r>
        <w:t xml:space="preserve"> (OUBARI ET RADWAN PHARMA ET Co.)</w:t>
      </w:r>
    </w:p>
    <w:p>
      <w:pPr>
        <w:pStyle w:val="ListBullet"/>
      </w:pPr>
      <w:r>
        <w:t>Formes et Dosages : Comprimé à croquer — Carbonate de calcium 680 mg + Carbonate de magnésium 80 mg — Boîte de 20</w:t>
      </w:r>
    </w:p>
    <w:p>
      <w:pPr>
        <w:pStyle w:val="ListBullet"/>
      </w:pPr>
      <w:r>
        <w:t>Statut : Non Renouvelable (générique local retiré du marché)</w:t>
      </w:r>
    </w:p>
    <w:p>
      <w:r/>
      <w:r>
        <w:rPr>
          <w:b/>
        </w:rPr>
        <w:t>Sous-classe et Mécanisme d'action :</w:t>
      </w:r>
      <w:r/>
    </w:p>
    <w:p>
      <w:pPr>
        <w:pStyle w:val="ListBullet"/>
      </w:pPr>
      <w:r>
        <w:t>Sous-classe : Antiacide non systémique à base de carbonates (CaCO₃ + MgCO₃), avec éventuelle adjonction de diméticone (forme Deflatine).</w:t>
      </w:r>
    </w:p>
    <w:p>
      <w:pPr>
        <w:pStyle w:val="ListBullet"/>
      </w:pPr>
      <w:r>
        <w:t>Mécanisme d'action : Réaction acido-basique stoichiométrique en lumière gastrique — CaCO₃ + 2 HCl → CaCl₂ + H₂O + CO₂ ; MgCO₃ + 2 HCl → MgCl₂ + H₂O + CO₂. Le CO₂ libéré (important en quantité, d'où éructations possibles) est éliminé par éructation ou absorbé puis exhalé. La capacité neutralisante du CaCO₃ est élevée (≈ 20 mEq HCl neutralisés par gramme), supérieure à celle des hydroxydes Al/Mg, d'où une action rapide et puissante (3-5 minutes). Le CaCl₂ et MgCl₂ formés sont partiellement absorbés (calcium et magnésium disponibles pour résorption osseuse et fonctions cellulaires), mais la majorité est excrétée dans les selles. La diméticone (Rennie Deflatine) abaisse la tension superficielle des bulles de CO₂ formées, réduisant la distension gastrique et améliorant le confort digestif.</w:t>
      </w:r>
    </w:p>
    <w:p>
      <w:r/>
      <w:r>
        <w:rPr>
          <w:b/>
        </w:rPr>
        <w:t>Profil Pharmacologique :</w:t>
      </w:r>
      <w:r/>
    </w:p>
    <w:p>
      <w:pPr>
        <w:pStyle w:val="ListBullet"/>
      </w:pPr>
      <w:r>
        <w:t xml:space="preserve">Indications : Pyrosis, hyperchlorhydrie, dyspepsie acide, RGO intermittent, douleurs épigastriques post-prandiales, aigreur d'estomac. Le carbonate de calcium a également un effet </w:t>
      </w:r>
      <w:r>
        <w:rPr>
          <w:b/>
        </w:rPr>
        <w:t>anti-diarrhéique</w:t>
      </w:r>
      <w:r>
        <w:t xml:space="preserve"> léger (effet de masse, adsorption) et peut être utilisé comme supplément calcique chez les patients ostéopéniques présentant une dyspepsie acide (bénéfice double).</w:t>
      </w:r>
    </w:p>
    <w:p>
      <w:pPr>
        <w:pStyle w:val="ListBullet"/>
      </w:pPr>
      <w:r>
        <w:t>Contre-indications : Hypercalcémie (myélome, métastases osseuses, hyperparathyroïdie) ; insuffisance rénale sévère (clairance &lt; 30 mL/min) — risque d'hypercalcémie, d'alcalose de Burnett, d'hypermagnésémie ; lithiase calcique rénale récidivante ; hypersensibilité aux composants ; enfant &lt; 10 ans (sauf prescription médicale) ; syndrome de Burnett (alcalose de lait et calcium) — antécédent personnel.</w:t>
      </w:r>
    </w:p>
    <w:p>
      <w:pPr>
        <w:pStyle w:val="ListBullet"/>
      </w:pPr>
      <w:r>
        <w:t>Effets Indésirables : Distension gastrique par CO₂ (éructations, flatulence, sensation de lourdeur), acidité de rebond (hyper-sécrétion gastrique compensatrice à l'arrêt), constipation (effet calcium à doses élevées), hypercalcémie (en usage prolongé &gt; 4 g/jour de CaCO₃ pendant plusieurs semaines — syndrome de Burnett : hypercalcémie, alcalose métabolique, insuffisance rénale), hypercalciurie (lithiase calcique), rarement hypermagnésémie en IRC.</w:t>
      </w:r>
    </w:p>
    <w:p>
      <w:r/>
      <w:r>
        <w:rPr>
          <w:b/>
        </w:rPr>
        <w:t>Prévention et Gestion des Effets Indésirables :</w:t>
      </w:r>
      <w:r/>
    </w:p>
    <w:p>
      <w:pPr>
        <w:pStyle w:val="ListBullet"/>
      </w:pPr>
      <w:r>
        <w:t>Mesures Préventives : Ne pas dépasser 8 comprimés/jour (soit 5,4 g CaCO₃ = 2,16 g calcium élément) en usage ponctuel ; limiter l'usage chronique à quelques jours ; surveiller la calcémie et la fonction rénale en cas d'usage prolongé ; alerter le patient sur les éructations transitoires (normales et attendues, liées au CO₂ libéré) ; éviter l'usage en cas d'ulcère en poussée (le CO₂ peut distendre la lésion).</w:t>
      </w:r>
    </w:p>
    <w:p>
      <w:pPr>
        <w:pStyle w:val="ListBullet"/>
      </w:pPr>
      <w:r>
        <w:t>Conduite à Tenir : En cas de constipation, associer des aliments riches en fibres ou réduire la dose ; en cas de persistance des symptômes acides, orienter vers le médecin (recherche d'ulcère, d'H. pylori) ; en cas d'hypercalcémie symptomatique (polyurie, polydipsie, constipation, confusion), arrêt immédiat et consultation.</w:t>
      </w:r>
    </w:p>
    <w:p>
      <w:r/>
      <w:r>
        <w:rPr>
          <w:b/>
        </w:rPr>
        <w:t>Interactions Importantes :</w:t>
      </w:r>
      <w:r/>
    </w:p>
    <w:p>
      <w:pPr>
        <w:pStyle w:val="ListBullet"/>
      </w:pPr>
      <w:r/>
      <w:r>
        <w:rPr>
          <w:b/>
        </w:rPr>
        <w:t>Ca/Mg carbonates + tous médicaments oraux</w:t>
      </w:r>
      <w:r>
        <w:t xml:space="preserve"> : Espacer de 2 heures minimum (chélation et modification du pH gastrique). Concernent : fluoroquinolones, tétracyclines, fer oral, bisphosphonates, lévothyroxine, AVK, digoxine, atazanavir, kétoconazole/itraconazole, mycophénolate.</w:t>
      </w:r>
    </w:p>
    <w:p>
      <w:pPr>
        <w:pStyle w:val="ListBullet"/>
      </w:pPr>
      <w:r/>
      <w:r>
        <w:rPr>
          <w:b/>
        </w:rPr>
        <w:t>CaCO₃ + digitale (digoxine)</w:t>
      </w:r>
      <w:r>
        <w:t xml:space="preserve"> : Risque d'arythmies digitaliques en cas d'hypercalcémie (la digital potentialise la toxicité calcique sur le myocarde) — surveillance ECG et digoxinémie.</w:t>
      </w:r>
    </w:p>
    <w:p>
      <w:pPr>
        <w:pStyle w:val="ListBullet"/>
      </w:pPr>
      <w:r/>
      <w:r>
        <w:rPr>
          <w:b/>
        </w:rPr>
        <w:t>CaCO₃ + thiazidiques</w:t>
      </w:r>
      <w:r>
        <w:t xml:space="preserve"> : Les thiazidiques réduisent l'excrétion urinaire du calcium → augmentation de la calcémie — surveillance.</w:t>
      </w:r>
    </w:p>
    <w:p>
      <w:pPr>
        <w:pStyle w:val="ListBullet"/>
      </w:pPr>
      <w:r/>
      <w:r>
        <w:rPr>
          <w:b/>
        </w:rPr>
        <w:t>CaCO₃ + cyclines</w:t>
      </w:r>
      <w:r>
        <w:t xml:space="preserve"> : Chélation → diminution absorption ; espacer 2 heures.</w:t>
      </w:r>
    </w:p>
    <w:p>
      <w:pPr>
        <w:pStyle w:val="ListBullet"/>
      </w:pPr>
      <w:r/>
      <w:r>
        <w:rPr>
          <w:b/>
        </w:rPr>
        <w:t>CaCO₃ + fer</w:t>
      </w:r>
      <w:r>
        <w:t xml:space="preserve"> : Le calcium inhibe l'absorption du fer oral (compétition au niveau de la divalent metal transporter DMT1) — espacer 2 heures.</w:t>
      </w:r>
    </w:p>
    <w:p>
      <w:r/>
      <w:r>
        <w:rPr>
          <w:b/>
        </w:rPr>
        <w:t>Grossesse et Allaitement :</w:t>
      </w:r>
      <w:r/>
    </w:p>
    <w:p>
      <w:pPr>
        <w:pStyle w:val="ListBullet"/>
      </w:pPr>
      <w:r>
        <w:t xml:space="preserve">Grossesse : </w:t>
      </w:r>
      <w:r>
        <w:rPr>
          <w:b/>
        </w:rPr>
        <w:t>Compatible</w:t>
      </w:r>
      <w:r>
        <w:t xml:space="preserve"> selon le CRAT. Le carbonate de calcium est largement utilisé pendant la grossesse (supplémentation calcique, RGO gravidique), avec un excellent profil de sécurité. Le carbonate de magnésium à doses antiacides est également compatible. Préférer cette combinaison au bicarbonate de sodium pendant la grossesse. Cependant, en usage prolongé et à doses élevées, surveiller la calcémie et la calciurie (risque de lithiase calcique gravidique).</w:t>
      </w:r>
    </w:p>
    <w:p>
      <w:pPr>
        <w:pStyle w:val="ListBullet"/>
      </w:pPr>
      <w:r>
        <w:t xml:space="preserve">Allaitement : </w:t>
      </w:r>
      <w:r>
        <w:rPr>
          <w:b/>
        </w:rPr>
        <w:t>Compatible</w:t>
      </w:r>
      <w:r>
        <w:t xml:space="preserve"> selon le CRAT. Le calcium et le magnésium passent dans le lait maternel mais à doses physiologiques sans retentissement.</w:t>
      </w:r>
    </w:p>
    <w:p>
      <w:pPr>
        <w:pStyle w:val="ListBullet"/>
      </w:pPr>
      <w:r>
        <w:t>Précisions : Pendant la grossesse, ne pas dépasser 4-6 comprimés/jour, et éviter l'usage prolongé au-delà de 2-3 semaines sans avis médical. La supplémentation calcique (1-2 g/jour) est par ailleurs recommandée au 3e trimestre pour la minéralisation osseuse fœtale.</w:t>
      </w:r>
    </w:p>
    <w:p>
      <w:r/>
      <w:r>
        <w:rPr>
          <w:b/>
        </w:rPr>
        <w:t>Posologie et Mode d'administration (Standard) :</w:t>
      </w:r>
      <w:r/>
    </w:p>
    <w:p>
      <w:pPr>
        <w:pStyle w:val="ListBullet"/>
      </w:pPr>
      <w:r>
        <w:t>Adulte : 1 à 2 comprimés à croquer, 3 à 4 fois par jour, après les repas et au coucher, ou en cas de symptômes. Dose maximale : 8-10 comprimés/jour.</w:t>
      </w:r>
    </w:p>
    <w:p>
      <w:pPr>
        <w:pStyle w:val="ListBullet"/>
      </w:pPr>
      <w:r>
        <w:t>Enfant : À partir de 10 ans — 1 comprimé, 3 fois par jour.</w:t>
      </w:r>
    </w:p>
    <w:p>
      <w:pPr>
        <w:pStyle w:val="ListBullet"/>
      </w:pPr>
      <w:r>
        <w:t>Sujet âgé : Pas d'adaptation posologique si fonction rénale normale ; surveillance accrue en cas d'IRC.</w:t>
      </w:r>
    </w:p>
    <w:p>
      <w:pPr>
        <w:pStyle w:val="ListBullet"/>
      </w:pPr>
      <w:r>
        <w:t>Durée : Automédication limitée à 2 semaines ; au-delà, consultation médicale.</w:t>
      </w:r>
    </w:p>
    <w:p>
      <w:pPr>
        <w:pStyle w:val="ListBullet"/>
      </w:pPr>
      <w:r>
        <w:t>Moment de la prise : 1 heure après les repas et au coucher ; espacer 2 heures des autres médicaments oraux.</w:t>
      </w:r>
    </w:p>
    <w:p>
      <w:r/>
      <w:r>
        <w:rPr>
          <w:b/>
        </w:rPr>
        <w:t>Arbitrage et Bénéfices des Formes Galéniques :</w:t>
      </w:r>
      <w:r/>
    </w:p>
    <w:p>
      <w:pPr>
        <w:pStyle w:val="ListBullet"/>
      </w:pPr>
      <w:r>
        <w:t>Comprimés à croquer : Seule forme disponible (Rennie, Rennie Deflatine). Action rapide (3-5 minutes), pratique pour le nomadisme. La forme Deflatine (avec diméticone) est indiquée en cas de composante ballonnements associée.</w:t>
      </w:r>
    </w:p>
    <w:p>
      <w:pPr>
        <w:pStyle w:val="ListBullet"/>
      </w:pPr>
      <w:r>
        <w:t>Sans sucre (Rennie Deflatine) : Adaptée au diabétique et au sujet en restriction calorique.</w:t>
      </w:r>
    </w:p>
    <w:p>
      <w:pPr>
        <w:pStyle w:val="ListBullet"/>
      </w:pPr>
      <w:r>
        <w:t>Boîte de 48 (Rennie standard) vs 18 (Deflatine) : Le format 48 est plus économique en usage régulier, le 18 est adapté à l'essai ou au nomadisme.</w:t>
      </w:r>
    </w:p>
    <w:p>
      <w:r/>
      <w:r>
        <w:rPr>
          <w:b/>
        </w:rPr>
        <w:t>Instructions et Conseils au Patient :</w:t>
      </w:r>
      <w:r/>
    </w:p>
    <w:p>
      <w:pPr>
        <w:pStyle w:val="ListBullet"/>
      </w:pPr>
      <w:r>
        <w:t>Communication au comptoir : "Croquez le comprimé jusqu'à ce qu'il soit complètement fondu dans votre bouche avant de l'avaler — ne l'avalez pas entier. Prenez-le après les repas ou si vous avez des brûlures. Ne dépassez pas 8 comprimés par jour et ne l'utilisez pas plus de 2 semaines sans consulter. Si vous prenez d'autres médicaments (antibiotiques, fer, thyroïde), attendez 2 heures avant ou après. Attention : ce médicament peut provoquer des éructations, c'est normal."</w:t>
      </w:r>
    </w:p>
    <w:p>
      <w:pPr>
        <w:pStyle w:val="ListBullet"/>
      </w:pPr>
      <w:r>
        <w:t>Mode d'utilisation pratique : Croquer lentement jusqu'à dissolution complète ; ne pas avaler entier ; en cas d'oubli, ne pas doubler la dose ; conservation à température ambiante &lt; 25 °C.</w:t>
      </w:r>
    </w:p>
    <w:p>
      <w:r/>
      <w:r>
        <w:rPr>
          <w:b/>
        </w:rPr>
        <w:t>Notes, Règles d'Or &amp; Pièges au Comptoir :</w:t>
      </w:r>
      <w:r/>
    </w:p>
    <w:p>
      <w:pPr>
        <w:pStyle w:val="ListBullet"/>
      </w:pPr>
      <w:r>
        <w:t>Piège classique : Le patient insuffisant rénal qui prend Rennie au long cours — risque d'hypercalcémie, d'alcalose métabolique et d'aggravation de l'IRC (syndrome de Burnett). Le pharmacien doit interroger systématiquement sur la fonction rénale avant délivrance au comptoir, surtout chez le sujet âgé.</w:t>
      </w:r>
    </w:p>
    <w:p>
      <w:pPr>
        <w:pStyle w:val="ListBullet"/>
      </w:pPr>
      <w:r>
        <w:t xml:space="preserve">Règle de prise : </w:t>
      </w:r>
      <w:r>
        <w:rPr>
          <w:b/>
        </w:rPr>
        <w:t>Après repas + au coucher ; espacer 2 h des autres médicaments ; ne pas dépasser 8-10 comprimés/jour ; limiter à 2 semaines.</w:t>
      </w:r>
      <w:r/>
    </w:p>
    <w:p>
      <w:pPr>
        <w:pStyle w:val="ListBullet"/>
      </w:pPr>
      <w:r>
        <w:t>Préparation et Conservation : Comprimés à conserver à température ambiante &lt; 25 °C, à l'abri de l'humidité (les carbonates sont hygroscopiques).</w:t>
      </w:r>
    </w:p>
    <w:p>
      <w:pPr>
        <w:pStyle w:val="ListBullet"/>
      </w:pPr>
      <w:r>
        <w:t>Piège du surdosage / Substitution : En cas d'IRC, préférer les alginates (sans calcium ni magnésium). En cas de lithiase calcique rénale, éviter le carbonate de calcium (hypercalciurie). En cas de syndrome de Burnett suspecté (hypercalcémie + alcalose + IRC sous carbonate de calcium), arrêt immédiat, hydratation IV, parfois calcitonine ou biphosphonates.</w:t>
      </w:r>
    </w:p>
    <w:p>
      <w:pPr>
        <w:pStyle w:val="Heading3"/>
      </w:pPr>
      <w:r>
        <w:t>6. DCI : Magnésium (hydroxyde, sulfate, oxyde, pidolate) (Seul)</w:t>
      </w:r>
    </w:p>
    <w:p>
      <w:r/>
      <w:r>
        <w:rPr>
          <w:b/>
        </w:rPr>
        <w:t>Liste des Catégories :</w:t>
      </w:r>
      <w:r>
        <w:t xml:space="preserve"> Antiacides magnésiens / Suppléments Mg ; accès libre pour les formes orales, accès prescription médicale pour les formes injectables ; indiquées dans les carences magnésiques, les crampes, la fatigue, la constipation et l'hypomagnésémie sévère (forme IV).</w:t>
      </w:r>
    </w:p>
    <w:p>
      <w:r>
        <w:t>Le magnésium (Mg, Z = 12, poids atomique 24,3 g/mol) est un cation intracellulaire essentiel, deuxième cation intracellulaire après le potassium, cofacteur de plus de 300 enzymes (ATPases membranaires Na⁺/K⁺-ATPase et Ca²⁺-ATPase, kinases, phosphatases, enzymes de la glycolyse et du cycle de Krebs). Il intervient dans la neurotransmission (blocage du récepteur NMDA), la contraction musculaire (compétition avec le Ca²⁺ au niveau des troponines et de la troponine C), la stabilité électrique membranaire cardiaque (allongement du QTc en cas de déficit). Le magnésium se décline en Algérie sous quatre sels principaux aux indications distinctes : hydroxyde (antiacide-laxatif), oxyde (supplémentation), sulfate (forme IV d'urgence), pidolate (forme la plus biodisponible pour supplémentation orale).</w:t>
      </w:r>
    </w:p>
    <w:p>
      <w:r/>
      <w:r>
        <w:rPr>
          <w:b/>
        </w:rPr>
        <w:t>Médicaments disponibles en Algérie (Marques, Laboratoires, Formes et Dosages) :</w:t>
      </w:r>
      <w:r/>
    </w:p>
    <w:p>
      <w:r>
        <w:t>PIDOLATE DE MAGNESIUM — Formes actives :</w:t>
      </w:r>
    </w:p>
    <w:p>
      <w:pPr>
        <w:pStyle w:val="ListBullet"/>
      </w:pPr>
      <w:r/>
      <w:r>
        <w:rPr>
          <w:b/>
        </w:rPr>
        <w:t>PYROMAG</w:t>
      </w:r>
      <w:r>
        <w:t xml:space="preserve"> (LABORATOIRE ARAB PHARM)</w:t>
      </w:r>
    </w:p>
    <w:p>
      <w:pPr>
        <w:pStyle w:val="ListBullet"/>
      </w:pPr>
      <w:r>
        <w:t>Formes et Dosages : Solution buvable — Magnésium pidolate 0,15 g/mL (15 %) soit 750 mg/5 mL (équivalent 12,2 mg/mL de magnésium élément) — Boîte de 20 ampoules de 10 mL</w:t>
      </w:r>
    </w:p>
    <w:p>
      <w:pPr>
        <w:pStyle w:val="ListBullet"/>
      </w:pPr>
      <w:r>
        <w:t>Statut : Actif</w:t>
      </w:r>
    </w:p>
    <w:p>
      <w:pPr>
        <w:pStyle w:val="ListBullet"/>
      </w:pPr>
      <w:r/>
      <w:r>
        <w:rPr>
          <w:b/>
        </w:rPr>
        <w:t>TONIMAG</w:t>
      </w:r>
      <w:r>
        <w:t xml:space="preserve"> (LABORATOIRE PHARMACIEN MEHALLA — LPM)</w:t>
      </w:r>
    </w:p>
    <w:p>
      <w:pPr>
        <w:pStyle w:val="ListBullet"/>
      </w:pPr>
      <w:r>
        <w:t>Formes et Dosages : Ampoule buvable — Magnésium pidolate 1,5 mg/5 mL — Boîte de 20</w:t>
      </w:r>
    </w:p>
    <w:p>
      <w:pPr>
        <w:pStyle w:val="ListBullet"/>
      </w:pPr>
      <w:r>
        <w:t>Statut : Actif</w:t>
      </w:r>
    </w:p>
    <w:p>
      <w:pPr>
        <w:pStyle w:val="ListBullet"/>
      </w:pPr>
      <w:r/>
      <w:r>
        <w:rPr>
          <w:b/>
        </w:rPr>
        <w:t>ACTIMAG</w:t>
      </w:r>
      <w:r>
        <w:t xml:space="preserve"> (LABORATOIRE ALGERIEN DU MEDICAMENT)</w:t>
      </w:r>
    </w:p>
    <w:p>
      <w:pPr>
        <w:pStyle w:val="ListBullet"/>
      </w:pPr>
      <w:r>
        <w:t>Formes et Dosages : Sirop — Pidolate de magnésium 15 % (0,75 g/5 mL) — Flacon de 200 mL</w:t>
      </w:r>
    </w:p>
    <w:p>
      <w:pPr>
        <w:pStyle w:val="ListBullet"/>
      </w:pPr>
      <w:r>
        <w:t>Statut : Actif</w:t>
      </w:r>
    </w:p>
    <w:p>
      <w:pPr>
        <w:pStyle w:val="ListBullet"/>
      </w:pPr>
      <w:r/>
      <w:r>
        <w:rPr>
          <w:b/>
        </w:rPr>
        <w:t>ISOMAG</w:t>
      </w:r>
      <w:r>
        <w:t xml:space="preserve"> (ISOPHARM ALGERIE)</w:t>
      </w:r>
    </w:p>
    <w:p>
      <w:pPr>
        <w:pStyle w:val="ListBullet"/>
      </w:pPr>
      <w:r>
        <w:t>Formes et Dosages : Solution buvable — Magnésium pidolate 0,15 g/mL — Flacon 150 mL</w:t>
      </w:r>
    </w:p>
    <w:p>
      <w:pPr>
        <w:pStyle w:val="ListBullet"/>
      </w:pPr>
      <w:r>
        <w:t>Statut : Actif</w:t>
      </w:r>
    </w:p>
    <w:p>
      <w:pPr>
        <w:pStyle w:val="ListBullet"/>
      </w:pPr>
      <w:r/>
      <w:r>
        <w:rPr>
          <w:b/>
        </w:rPr>
        <w:t>MAGNE</w:t>
      </w:r>
      <w:r>
        <w:t xml:space="preserve"> (SARL GROUPE SANTE)</w:t>
      </w:r>
    </w:p>
    <w:p>
      <w:pPr>
        <w:pStyle w:val="ListBullet"/>
      </w:pPr>
      <w:r>
        <w:t>Formes et Dosages : Sirop — Pidolate de magnésium 15 % (0,75 g/5 mL) — Flacon 125 mL</w:t>
      </w:r>
    </w:p>
    <w:p>
      <w:pPr>
        <w:pStyle w:val="ListBullet"/>
      </w:pPr>
      <w:r>
        <w:t>Statut : Actif</w:t>
      </w:r>
    </w:p>
    <w:p>
      <w:pPr>
        <w:pStyle w:val="ListBullet"/>
      </w:pPr>
      <w:r/>
      <w:r>
        <w:rPr>
          <w:b/>
        </w:rPr>
        <w:t>PIDOMAG</w:t>
      </w:r>
      <w:r>
        <w:t xml:space="preserve"> (KPMA BIOTIC)</w:t>
      </w:r>
    </w:p>
    <w:p>
      <w:pPr>
        <w:pStyle w:val="ListBullet"/>
      </w:pPr>
      <w:r>
        <w:t>Formes et Dosages : Sirop 15 % — Pidolate de magnésium 122 mg/mL (en magnésium élément) — Flacon 150 mL</w:t>
      </w:r>
    </w:p>
    <w:p>
      <w:pPr>
        <w:pStyle w:val="ListBullet"/>
      </w:pPr>
      <w:r>
        <w:t>Statut : Actif</w:t>
      </w:r>
    </w:p>
    <w:p>
      <w:pPr>
        <w:pStyle w:val="ListBullet"/>
      </w:pPr>
      <w:r/>
      <w:r>
        <w:rPr>
          <w:b/>
        </w:rPr>
        <w:t>VITAMAG</w:t>
      </w:r>
      <w:r>
        <w:t xml:space="preserve"> (LAD PHARMA)</w:t>
      </w:r>
    </w:p>
    <w:p>
      <w:pPr>
        <w:pStyle w:val="ListBullet"/>
      </w:pPr>
      <w:r>
        <w:t>Formes et Dosages : Solution buvable en flacon — Magnésium élément 61 mg/5 mL (sous forme de pidolate de magnésium 0,75 g/5 mL ou 15 %) — Flacon 125 mL</w:t>
      </w:r>
    </w:p>
    <w:p>
      <w:pPr>
        <w:pStyle w:val="ListBullet"/>
      </w:pPr>
      <w:r>
        <w:t>Statut : Actif</w:t>
      </w:r>
    </w:p>
    <w:p>
      <w:pPr>
        <w:pStyle w:val="ListBullet"/>
      </w:pPr>
      <w:r/>
      <w:r>
        <w:rPr>
          <w:b/>
        </w:rPr>
        <w:t>VITAMAG</w:t>
      </w:r>
      <w:r>
        <w:t xml:space="preserve"> (LAD PHARMA) — forme ampoule</w:t>
      </w:r>
    </w:p>
    <w:p>
      <w:pPr>
        <w:pStyle w:val="ListBullet"/>
      </w:pPr>
      <w:r>
        <w:t>Formes et Dosages : Solution buvable en ampoules — Magnésium élément 127 mg/5 mL (sous forme de pidolate de magnésium 1,5 g/5 mL) — Boîte de 30 ampoules de 5 mL</w:t>
      </w:r>
    </w:p>
    <w:p>
      <w:pPr>
        <w:pStyle w:val="ListBullet"/>
      </w:pPr>
      <w:r>
        <w:t>Statut : Actif</w:t>
      </w:r>
    </w:p>
    <w:p>
      <w:r>
        <w:t>OXYDE DE MAGNESIUM — Formes actives :</w:t>
      </w:r>
    </w:p>
    <w:p>
      <w:pPr>
        <w:pStyle w:val="ListBullet"/>
      </w:pPr>
      <w:r/>
      <w:r>
        <w:rPr>
          <w:b/>
        </w:rPr>
        <w:t>MAGNO SANOL</w:t>
      </w:r>
      <w:r>
        <w:t xml:space="preserve"> (SCHWARZ PHARMA)</w:t>
      </w:r>
    </w:p>
    <w:p>
      <w:pPr>
        <w:pStyle w:val="ListBullet"/>
      </w:pPr>
      <w:r>
        <w:t>Formes et Dosages : Gélule — Oxyde de magnésium 250 mg (équivalent ≈ 150 mg de magnésium élément) — Boîte de 30</w:t>
      </w:r>
    </w:p>
    <w:p>
      <w:pPr>
        <w:pStyle w:val="ListBullet"/>
      </w:pPr>
      <w:r>
        <w:t>Statut : Actif</w:t>
      </w:r>
    </w:p>
    <w:p>
      <w:pPr>
        <w:pStyle w:val="ListBullet"/>
      </w:pPr>
      <w:r/>
      <w:r>
        <w:rPr>
          <w:b/>
        </w:rPr>
        <w:t>O MAG</w:t>
      </w:r>
      <w:r>
        <w:t xml:space="preserve"> (BIOGALENIC)</w:t>
      </w:r>
    </w:p>
    <w:p>
      <w:pPr>
        <w:pStyle w:val="ListBullet"/>
      </w:pPr>
      <w:r>
        <w:t>Formes et Dosages : Gélule — Oxyde de magnésium 250 mg — Boîte de 30</w:t>
      </w:r>
    </w:p>
    <w:p>
      <w:pPr>
        <w:pStyle w:val="ListBullet"/>
      </w:pPr>
      <w:r>
        <w:t>Statut : Actif</w:t>
      </w:r>
    </w:p>
    <w:p>
      <w:r>
        <w:t>Formes non renouvelables :</w:t>
      </w:r>
    </w:p>
    <w:p>
      <w:pPr>
        <w:pStyle w:val="ListBullet"/>
      </w:pPr>
      <w:r/>
      <w:r>
        <w:rPr>
          <w:b/>
        </w:rPr>
        <w:t>LAXEL</w:t>
      </w:r>
      <w:r>
        <w:t xml:space="preserve"> (HYSA SARL)</w:t>
      </w:r>
    </w:p>
    <w:p>
      <w:pPr>
        <w:pStyle w:val="ListBullet"/>
      </w:pPr>
      <w:r>
        <w:t>Formes et Dosages : Poudre orale en sachets — Hydroxyde de magnésium 4,970 g/5 g — Boîte de 14 sachets de 5 g</w:t>
      </w:r>
    </w:p>
    <w:p>
      <w:pPr>
        <w:pStyle w:val="ListBullet"/>
      </w:pPr>
      <w:r>
        <w:t>Statut : Non Renouvelable</w:t>
      </w:r>
    </w:p>
    <w:p>
      <w:pPr>
        <w:pStyle w:val="ListBullet"/>
      </w:pPr>
      <w:r/>
      <w:r>
        <w:rPr>
          <w:b/>
        </w:rPr>
        <w:t>PIMAG</w:t>
      </w:r>
      <w:r>
        <w:t xml:space="preserve"> (LABORATOIRE PHARMACEUTIQUE ALGERIEN — LPA)</w:t>
      </w:r>
    </w:p>
    <w:p>
      <w:pPr>
        <w:pStyle w:val="ListBullet"/>
      </w:pPr>
      <w:r>
        <w:t>Formes et Dosages : Solution buvable — Magnésium pidolate 1,5 g/10 mL — Boîte de 10</w:t>
      </w:r>
    </w:p>
    <w:p>
      <w:pPr>
        <w:pStyle w:val="ListBullet"/>
      </w:pPr>
      <w:r>
        <w:t>Statut : Non Renouvelable</w:t>
      </w:r>
    </w:p>
    <w:p>
      <w:pPr>
        <w:pStyle w:val="ListBullet"/>
      </w:pPr>
      <w:r/>
      <w:r>
        <w:rPr>
          <w:b/>
        </w:rPr>
        <w:t>ENERMAG</w:t>
      </w:r>
      <w:r>
        <w:t xml:space="preserve"> (GROUPE SAIDAL) — solution buvable</w:t>
      </w:r>
    </w:p>
    <w:p>
      <w:pPr>
        <w:pStyle w:val="ListBullet"/>
      </w:pPr>
      <w:r>
        <w:t>Formes et Dosages : Solution buvable — Magnésium pidolate 1,5 g/10 mL — Boîte de 20 ampoules autocassables</w:t>
      </w:r>
    </w:p>
    <w:p>
      <w:pPr>
        <w:pStyle w:val="ListBullet"/>
      </w:pPr>
      <w:r>
        <w:t>Statut : Non Renouvelable</w:t>
      </w:r>
    </w:p>
    <w:p>
      <w:pPr>
        <w:pStyle w:val="ListBullet"/>
      </w:pPr>
      <w:r/>
      <w:r>
        <w:rPr>
          <w:b/>
        </w:rPr>
        <w:t>MAGNESIUM SULFATE</w:t>
      </w:r>
      <w:r>
        <w:t xml:space="preserve"> (RENAUDIN)</w:t>
      </w:r>
    </w:p>
    <w:p>
      <w:pPr>
        <w:pStyle w:val="ListBullet"/>
      </w:pPr>
      <w:r>
        <w:t>Formes et Dosages : Solution injectable — Magnésium sulfate 0,15 (15 g/100 mL = 150 mg/mL, soit 0,15 g/mL) — Boîte de 100 ampoules de 10 mL</w:t>
      </w:r>
    </w:p>
    <w:p>
      <w:pPr>
        <w:pStyle w:val="ListBullet"/>
      </w:pPr>
      <w:r>
        <w:t>Statut : Non Renouvelable</w:t>
      </w:r>
    </w:p>
    <w:p>
      <w:pPr>
        <w:pStyle w:val="ListBullet"/>
      </w:pPr>
      <w:r/>
      <w:r>
        <w:rPr>
          <w:b/>
        </w:rPr>
        <w:t>ENERMAG</w:t>
      </w:r>
      <w:r>
        <w:t xml:space="preserve"> (GROUPE SAIDAL) — sirop</w:t>
      </w:r>
    </w:p>
    <w:p>
      <w:pPr>
        <w:pStyle w:val="ListBullet"/>
      </w:pPr>
      <w:r>
        <w:t>Formes et Dosages : Sirop — Magnésium pidolate 15 % (1,5 g/10 mL) — Flacon 125 mL</w:t>
      </w:r>
    </w:p>
    <w:p>
      <w:pPr>
        <w:pStyle w:val="ListBullet"/>
      </w:pPr>
      <w:r>
        <w:t>Statut : Non Renouvelable</w:t>
      </w:r>
    </w:p>
    <w:p>
      <w:r>
        <w:t>Formes retirées (R) :</w:t>
      </w:r>
    </w:p>
    <w:p>
      <w:pPr>
        <w:pStyle w:val="ListBullet"/>
      </w:pPr>
      <w:r/>
      <w:r>
        <w:rPr>
          <w:b/>
        </w:rPr>
        <w:t>MAG 2</w:t>
      </w:r>
      <w:r>
        <w:t xml:space="preserve"> (RHONE POULENC RORER THERAPLIX) — Ampoule buvable 1,5 g/10 mL pidolate de magnésium — Boîte de 30 — Retiré (R)</w:t>
      </w:r>
    </w:p>
    <w:p>
      <w:pPr>
        <w:pStyle w:val="ListBullet"/>
      </w:pPr>
      <w:r/>
      <w:r>
        <w:rPr>
          <w:b/>
        </w:rPr>
        <w:t>PIDOLATE DE MAGNESIUM RATIOPHARM</w:t>
      </w:r>
      <w:r>
        <w:t xml:space="preserve"> (LAFON RATIOPHARM) — Solution buvable 1,5 g % — Boîte de 30 — Retiré (R)</w:t>
      </w:r>
    </w:p>
    <w:p>
      <w:pPr>
        <w:pStyle w:val="ListBullet"/>
      </w:pPr>
      <w:r/>
      <w:r>
        <w:rPr>
          <w:b/>
        </w:rPr>
        <w:t>MAG+</w:t>
      </w:r>
      <w:r>
        <w:t xml:space="preserve"> (KRG PHARMA) — Sirop 15 % (1,5 g/10 mL) — Flacon 200 mL — Retiré (R)</w:t>
      </w:r>
    </w:p>
    <w:p>
      <w:pPr>
        <w:pStyle w:val="ListBullet"/>
      </w:pPr>
      <w:r/>
      <w:r>
        <w:rPr>
          <w:b/>
        </w:rPr>
        <w:t>MAGNE-B6</w:t>
      </w:r>
      <w:r>
        <w:t xml:space="preserve"> (LABORATOIRE PHARMACEUTIQUE ALGERIEN — LPA) — Ampoule buvable — Lactate de magnésium 186 mg + Pidolate de magnésium 936 mg + Pyridoxine (B6) 10 mg par 10 mL — Boîte de 10 ampoules — Retiré (R)</w:t>
      </w:r>
    </w:p>
    <w:p>
      <w:pPr>
        <w:pStyle w:val="ListBullet"/>
      </w:pPr>
      <w:r/>
      <w:r>
        <w:rPr>
          <w:b/>
        </w:rPr>
        <w:t>OROMAG</w:t>
      </w:r>
      <w:r>
        <w:t xml:space="preserve"> (THERAMEX) — Comprimé à sucer — Magnésium élément 120 mg (sous forme de lactate de magnésium dihydrate 1078 mg + citrate de magnésium 125 mg) — Boîte de 30 — Retiré (R)</w:t>
      </w:r>
    </w:p>
    <w:p>
      <w:r/>
      <w:r>
        <w:rPr>
          <w:b/>
        </w:rPr>
        <w:t>Sous-classe et Mécanisme d'action :</w:t>
      </w:r>
      <w:r/>
    </w:p>
    <w:p>
      <w:pPr>
        <w:pStyle w:val="ListBullet"/>
      </w:pPr>
      <w:r>
        <w:t>Sous-classe : Sels de magnésium à visée antiacide (hydroxyde), laxative (hydroxyde, sulfate), de supplémentation orale (pidolate, oxyde, citrate, lactate), ou de traitement d'urgence des hypomagnésémies sévères et complications gravidiques (sulfate IV). Le pidolate (acide pyrrolidone-carboxylique de magnésium, ou acide 5-oxo-prolinique de magnésium) est un transporteur physiologique endogène qui permet une absorption intestinale optimale du Mg²⁺ (jusqu'à 50-60 % de la dose orale), supérieure à celle des autres sels (oxyde : 30-40 %, hydroxyde : 25-35 %, citrate : 40-50 %).</w:t>
      </w:r>
    </w:p>
    <w:p>
      <w:pPr>
        <w:pStyle w:val="ListBullet"/>
      </w:pPr>
      <w:r>
        <w:t>Mécanisme d'action : Le magnésium élément (Mg²⁺) agit comme cofacteur enzymatique (ATPases, kinases, pompes ioniques), régulateur de la neurotransmission (antagoniste physiologique du Ca²⁺ au niveau synaptique, bloqueur du récepteur NMDA), stabilisateur de la membrane cellulaire cardiaque (allongement de la phase 2 du potentiel d'action), régulateur de la contraction musculaire (compétition avec le Ca²⁺ sur la troponine C). En cas de carence, on observe : crampes musculaires, tétanie, fasciculations, fatigue, irritabilité, troubles du sommeil, céphalées, allongement du QTc, troubles du rythme supra-ventriculaires (Torsades de Pointes favorisées). L'hydroxyde de magnésium a également une action antiacide (Mg(OH)₂ + 2 HCl → MgCl₂ + 2 H₂O) et laxative osmotique (le Mg²⁺ non absorbé attire l'eau dans la lumière intestinale). Le sulfate de magnésique IV agit en urgence : vasodilatation, inhibition de la transmission neuromusculaire (utilisé dans l'éclampsie pour prévenir les convulsions), tocolyse utérine, stabilisation membranaire cardiaque.</w:t>
      </w:r>
    </w:p>
    <w:p>
      <w:r/>
      <w:r>
        <w:rPr>
          <w:b/>
        </w:rPr>
        <w:t>Profil Pharmacologique :</w:t>
      </w:r>
      <w:r/>
    </w:p>
    <w:p>
      <w:pPr>
        <w:pStyle w:val="ListBullet"/>
      </w:pPr>
      <w:r>
        <w:t xml:space="preserve">Indications : </w:t>
      </w:r>
      <w:r>
        <w:rPr>
          <w:b/>
        </w:rPr>
        <w:t>(1)</w:t>
      </w:r>
      <w:r>
        <w:t xml:space="preserve"> Pidolate / Oxyde oral — carence magnésique avérée (hypomagnésémie biologique, alcoolisme chronique, rénutrition, diurétiques, IPP au long cours, diabète déséquilibré) ; symptomatologie évocatrice (crampes musculaires, fatigue, irritabilité, tétanie, troubles du sommeil, migraines) ; grossesse (supplémentation systématique au 3e trimestre — recommandation HAS) ; allaitement ; prévention des lithiases calciques (le Mg réduit l'absorption intestinale de l'oxalate). </w:t>
      </w:r>
      <w:r>
        <w:rPr>
          <w:b/>
        </w:rPr>
        <w:t>(2)</w:t>
      </w:r>
      <w:r>
        <w:t xml:space="preserve"> Hydroxyde — constipation occasionnelle (laxatif osmotique), antiacide d'appoint. </w:t>
      </w:r>
      <w:r>
        <w:rPr>
          <w:b/>
        </w:rPr>
        <w:t>(3)</w:t>
      </w:r>
      <w:r>
        <w:t xml:space="preserve"> Sulfate IV — hypomagnésémie sévère symptomatique (&lt; 0,5 mmol/L) ; éclampsie (traitement et prévention des convulsions, protocole international) ; tachyarythmies ventriculaires (Torsades de Pointes) ; asthme sévère réfractaire (effet bronchodilatateur et anti-inflammatoire) ; tocolyse (menace d'accouchement prématuré) ; intoxication digitalique.</w:t>
      </w:r>
    </w:p>
    <w:p>
      <w:pPr>
        <w:pStyle w:val="ListBullet"/>
      </w:pPr>
      <w:r>
        <w:t>Contre-indications : Insuffisance rénale sévère (clairance &lt; 30 mL/min) — risque d'hypermagnésémie (dépression neuromusculaire, arrêt respiratoire) ; bloc auriculo-ventriculaire de haut degré (le Mg ralentit la conduction AV) ; myasthénie (le Mg aggrave la faiblesse musculaire) ; hypersensibilité aux composants.</w:t>
      </w:r>
    </w:p>
    <w:p>
      <w:pPr>
        <w:pStyle w:val="ListBullet"/>
      </w:pPr>
      <w:r>
        <w:t>Effets Indésirables : Effets digestifs (dose-dépendants) — diarrhée (effet osmotique, surtout hydroxyde et sulfate), nausées, vomissements, crampes abdominales ; effets systémiques en surdosage ou IRC — hypermagnésémie (dépression neuromusculaire : hyporéflexie → aréflexie → dépression respiratoire → arrêt cardiaque, hypotension, bradycardie, allongement PR et QTc, troubles de la conduction) ; flush (sulfate IV rapide) ; flush et sensation de chaleur (effet vasodilatateur).</w:t>
      </w:r>
    </w:p>
    <w:p>
      <w:r/>
      <w:r>
        <w:rPr>
          <w:b/>
        </w:rPr>
        <w:t>Prévention et Gestion des Effets Indésirables :</w:t>
      </w:r>
      <w:r/>
    </w:p>
    <w:p>
      <w:pPr>
        <w:pStyle w:val="ListBullet"/>
      </w:pPr>
      <w:r>
        <w:t>Mesures Préventives : Adapter la dose à la fonction rénale (réduction de 50 % en IRC modérée, contre-indication en IRC sévère) ; surveiller la magnésémie et la réflectivité ostéotendineuse en IV (réflexes abolis = signe d'hypermagnésémie) ; fractionner les prises orales pour améliorer la tolérance digestive ; prendre au cours des repas pour réduire les nausées ; associer à une hydratation suffisante (réduit cristallurie).</w:t>
      </w:r>
    </w:p>
    <w:p>
      <w:pPr>
        <w:pStyle w:val="ListBullet"/>
      </w:pPr>
      <w:r>
        <w:t>Conduite à Tenir : En cas de diarrhée, réduire la dose ou changer de sel (pidolate mieux toléré que hydroxyde) ; en cas de signes d'hypermagnésémie (hyporéflexie, hypotension, bradycardie), arrêt immédiat + perfusion de gluconate de calcium (antagoniste du Mg) + surveillance ECG ; en cas d'arrêt respiratoire, intubation + ventilation mécanique + calcium IV.</w:t>
      </w:r>
    </w:p>
    <w:p>
      <w:r/>
      <w:r>
        <w:rPr>
          <w:b/>
        </w:rPr>
        <w:t>Interactions Importantes :</w:t>
      </w:r>
      <w:r/>
    </w:p>
    <w:p>
      <w:pPr>
        <w:pStyle w:val="ListBullet"/>
      </w:pPr>
      <w:r/>
      <w:r>
        <w:rPr>
          <w:b/>
        </w:rPr>
        <w:t>Mg + fluoroquinolones / tétracyclines / fer / bisphosphonates</w:t>
      </w:r>
      <w:r>
        <w:t xml:space="preserve"> : Chélation → réduction de l'absorption ; espacer de 2 heures (4 heures pour les fluoroquinolones).</w:t>
      </w:r>
    </w:p>
    <w:p>
      <w:pPr>
        <w:pStyle w:val="ListBullet"/>
      </w:pPr>
      <w:r/>
      <w:r>
        <w:rPr>
          <w:b/>
        </w:rPr>
        <w:t>Mg + IPP au long cours</w:t>
      </w:r>
      <w:r>
        <w:t xml:space="preserve"> : Les IPP réduisent l'absorption intestinale du magnésium (mécanisme : baisse de l'acidité gastrique → diminution de la solubilisation des sels de Mg alimentaires) → hypomagnésémie chronique. Surveillance magnésémie annuelle si IPP &gt; 1 an.</w:t>
      </w:r>
    </w:p>
    <w:p>
      <w:pPr>
        <w:pStyle w:val="ListBullet"/>
      </w:pPr>
      <w:r/>
      <w:r>
        <w:rPr>
          <w:b/>
        </w:rPr>
        <w:t>Mg + digitaliques</w:t>
      </w:r>
      <w:r>
        <w:t xml:space="preserve"> : Le Mg potentialise les effets de la digital (et réduit les arythmies digitaliques) — surveillance clinique.</w:t>
      </w:r>
    </w:p>
    <w:p>
      <w:pPr>
        <w:pStyle w:val="ListBullet"/>
      </w:pPr>
      <w:r/>
      <w:r>
        <w:rPr>
          <w:b/>
        </w:rPr>
        <w:t>Mg + aminosides</w:t>
      </w:r>
      <w:r>
        <w:t xml:space="preserve"> : Les aminosides potentialisent la curarisation par le Mg (bloc neuromusculaire) — prudence en péri-opératoire.</w:t>
      </w:r>
    </w:p>
    <w:p>
      <w:pPr>
        <w:pStyle w:val="ListBullet"/>
      </w:pPr>
      <w:r/>
      <w:r>
        <w:rPr>
          <w:b/>
        </w:rPr>
        <w:t>Mg + diurétiques de l'anse / thiazidiques</w:t>
      </w:r>
      <w:r>
        <w:t xml:space="preserve"> : Les diurétiques augmentent l'excrétion urinaire du Mg → hypomagnésémie (nécessité de supplémentation).</w:t>
      </w:r>
    </w:p>
    <w:p>
      <w:pPr>
        <w:pStyle w:val="ListBullet"/>
      </w:pPr>
      <w:r/>
      <w:r>
        <w:rPr>
          <w:b/>
        </w:rPr>
        <w:t>Mg IV + calcium</w:t>
      </w:r>
      <w:r>
        <w:t xml:space="preserve"> : Antagonisme physiologique (le calcium antagonise les effets du Mg sur la conduction neuromusculaire) — utilisé comme antidote en cas d'hypermagnésémie (gluconate de calcium IV).</w:t>
      </w:r>
    </w:p>
    <w:p>
      <w:r/>
      <w:r>
        <w:rPr>
          <w:b/>
        </w:rPr>
        <w:t>Grossesse et Allaitement :</w:t>
      </w:r>
      <w:r/>
    </w:p>
    <w:p>
      <w:pPr>
        <w:pStyle w:val="ListBullet"/>
      </w:pPr>
      <w:r>
        <w:t xml:space="preserve">Grossesse : </w:t>
      </w:r>
      <w:r>
        <w:rPr>
          <w:b/>
        </w:rPr>
        <w:t>Compatible</w:t>
      </w:r>
      <w:r>
        <w:t xml:space="preserve"> selon le CRAT. Le magnésium (tous sels) est largement utilisé pendant la grossesse, à la fois en supplémentation orale systématique au 3e trimestre (prévention des crampes gravidiques, recommandation HAS, dosage usuel 300-400 mg/jour de Mg élément) et en sulfate IV en cas d'éclampsie (protocole international de Pritchard : 4 g IV lente en 5 min + 10 g IM, puis 5 g IM toutes les 4 h pendant 24 h ; ou protocole de Zuspan : 4-6 g IV lente puis 1-2 g/h en perfusion continue). Le sulfate de Mg est le traitement de référence de l'éclampsie et de la prévention de l'éclampsie après pré-éclampsie avec signes neurologiques.</w:t>
      </w:r>
    </w:p>
    <w:p>
      <w:pPr>
        <w:pStyle w:val="ListBullet"/>
      </w:pPr>
      <w:r>
        <w:t xml:space="preserve">Allaitement : </w:t>
      </w:r>
      <w:r>
        <w:rPr>
          <w:b/>
        </w:rPr>
        <w:t>Compatible</w:t>
      </w:r>
      <w:r>
        <w:t xml:space="preserve"> selon le CRAT. Le magnésium passe dans le lait maternel mais à concentrations physiologiques sans retentissement pour le nourrisson.</w:t>
      </w:r>
    </w:p>
    <w:p>
      <w:pPr>
        <w:pStyle w:val="ListBullet"/>
      </w:pPr>
      <w:r>
        <w:t>Précisions : Le sulfate IV en éclampsie impose une surveillance stricte (réflexes ostéotendineux, fréquence respiratoire, ECG, magnésémie toutes les 4-6 h).</w:t>
      </w:r>
    </w:p>
    <w:p>
      <w:r/>
      <w:r>
        <w:rPr>
          <w:b/>
        </w:rPr>
        <w:t>Posologie et Mode d'administration (Standard) :</w:t>
      </w:r>
      <w:r/>
    </w:p>
    <w:p>
      <w:pPr>
        <w:pStyle w:val="ListBullet"/>
      </w:pPr>
      <w:r>
        <w:t>Adulte (supplémentation orale, pidolate) : 300 à 600 mg/jour de magnésium élément, soit 5 à 10 mL de solution 15 % (1 à 2 ampoules buvables de 10 mL), en 1 à 3 prises pendant les repas. Cure de 1 à 3 mois, renouvelable.</w:t>
      </w:r>
    </w:p>
    <w:p>
      <w:pPr>
        <w:pStyle w:val="ListBullet"/>
      </w:pPr>
      <w:r>
        <w:t>Adulte (supplémentation orale, oxyde) : 250 mg de oxyde = 150 mg Mg élément, 1 à 2 gélules par jour.</w:t>
      </w:r>
    </w:p>
    <w:p>
      <w:pPr>
        <w:pStyle w:val="ListBullet"/>
      </w:pPr>
      <w:r>
        <w:t>Adulte (laxatif — hydroxyde) : 1 à 2 sachets de 5 g (Laxel) dans un grand verre d'eau, au coucher.</w:t>
      </w:r>
    </w:p>
    <w:p>
      <w:pPr>
        <w:pStyle w:val="ListBullet"/>
      </w:pPr>
      <w:r>
        <w:t>Adulte (sulfate IV — éclampsie) : Protocole Pritchard : 4 g IV lente (5 min) + 10 g IM (5 g dans chaque fesse), puis 5 g IM toutes les 4 h pendant 24 h. Protocole Zuspan : 4-6 g IV lente en 20 min, puis 1-2 g/h en perfusion continue pendant 24 h.</w:t>
      </w:r>
    </w:p>
    <w:p>
      <w:pPr>
        <w:pStyle w:val="ListBullet"/>
      </w:pPr>
      <w:r>
        <w:t>Adulte (sulfate IV — hypomagnésémie sévère) : 2-4 g IV lente (sur 10-15 min), puis perfusion continue 1-2 g/24 h.</w:t>
      </w:r>
    </w:p>
    <w:p>
      <w:pPr>
        <w:pStyle w:val="ListBullet"/>
      </w:pPr>
      <w:r>
        <w:t>Adulte (sulfate IV — Torsades de Pointes) : 2 g IV lente en 1-2 min.</w:t>
      </w:r>
    </w:p>
    <w:p>
      <w:pPr>
        <w:pStyle w:val="ListBullet"/>
      </w:pPr>
      <w:r>
        <w:t>Enfant (supplémentation orale) : 5-10 mg/kg/jour de Mg élément, en 2-3 prises.</w:t>
      </w:r>
    </w:p>
    <w:p>
      <w:pPr>
        <w:pStyle w:val="ListBullet"/>
      </w:pPr>
      <w:r>
        <w:t>Sujet âgé : Pas d'adaptation posologique si fonction rénale normale ; surveillance accrue en cas d'IRC (réduction de 50 %).</w:t>
      </w:r>
    </w:p>
    <w:p>
      <w:pPr>
        <w:pStyle w:val="ListBullet"/>
      </w:pPr>
      <w:r>
        <w:t>Durée : Supplémentation orale — 1 à 3 mois, renouvelable ; traitement IV — quelques heures à 48 h.</w:t>
      </w:r>
    </w:p>
    <w:p>
      <w:pPr>
        <w:pStyle w:val="ListBullet"/>
      </w:pPr>
      <w:r>
        <w:t>Moment de la prise : Pendant les repas (réduit les nausées et améliore l'absorption) ; pour l'effet laxatif, au coucher.</w:t>
      </w:r>
    </w:p>
    <w:p>
      <w:r/>
      <w:r>
        <w:rPr>
          <w:b/>
        </w:rPr>
        <w:t>Arbitrage et Bénéfices des Formes Galéniques :</w:t>
      </w:r>
      <w:r/>
    </w:p>
    <w:p>
      <w:pPr>
        <w:pStyle w:val="ListBullet"/>
      </w:pPr>
      <w:r>
        <w:t>Solution buvable en flacon (Actimag, Isomag, Magne, Pidomag, Vitamag, Enermag sirop) : Forme pratique et économique pour cures prolongées, adaptation posologique facile. Goût parfois peu agréable (acide du pidolate).</w:t>
      </w:r>
    </w:p>
    <w:p>
      <w:pPr>
        <w:pStyle w:val="ListBullet"/>
      </w:pPr>
      <w:r>
        <w:t>Solution buvable en ampoules (Pyromag, Tonimag, Vitamag ampoules) : Dosage unitaire précis, transport facile, goût masqué. Convient aux cures discontinues.</w:t>
      </w:r>
    </w:p>
    <w:p>
      <w:pPr>
        <w:pStyle w:val="ListBullet"/>
      </w:pPr>
      <w:r>
        <w:t>Gélules d'oxyde (Magno Sanol, O Mag) : Forme sèche, sans goût, mais biodisponibilité inférieure au pidolate. Convient aux patients avec tolérance digestive médiocre aux solutions acides.</w:t>
      </w:r>
    </w:p>
    <w:p>
      <w:pPr>
        <w:pStyle w:val="ListBullet"/>
      </w:pPr>
      <w:r>
        <w:t>Solution injectable (Magnésium Sulfate Renaudin) : Réservée à l'usage hospitalier (urgence, éclampsie, hypomagnésémie sévère).</w:t>
      </w:r>
    </w:p>
    <w:p>
      <w:pPr>
        <w:pStyle w:val="ListBullet"/>
      </w:pPr>
      <w:r>
        <w:t>Choix : Préférer le pidolate en première intention (meilleure biodisponibilité), l'oxyde en alternative économique ou en cas d'intolérance au pidolate.</w:t>
      </w:r>
    </w:p>
    <w:p>
      <w:r/>
      <w:r>
        <w:rPr>
          <w:b/>
        </w:rPr>
        <w:t>Instructions et Conseils au Patient :</w:t>
      </w:r>
      <w:r/>
    </w:p>
    <w:p>
      <w:pPr>
        <w:pStyle w:val="ListBullet"/>
      </w:pPr>
      <w:r>
        <w:t>Communication au comptoir : "Le magnésium aide à réduire les crampes, la fatigue et le stress. Prenez-le pendant les repas pour mieux l'absorber et éviter les nausées. Si vous avez des diarrhées, réduisez la dose ou prenez-le en deux prises. Attention : si vous prenez des antibiotiques (fluoroquinolones, tétracyclines), du fer ou des médicaments pour l'ostéoporose (bisphosphonates), attendez 2 heures avant ou après le magnésium. Une cure dure généralement 1 à 3 mois."</w:t>
      </w:r>
    </w:p>
    <w:p>
      <w:pPr>
        <w:pStyle w:val="ListBullet"/>
      </w:pPr>
      <w:r>
        <w:t>Mode d'utilisation pratique : Diluer la solution dans un verre d'eau si le goût est trop acide ; pour les ampoules, les boire pures ou diluées ; pour les gélules, les avaler avec un grand verre d'eau au cours du repas ; conservation à température ambiante, à l'abri de la lumière.</w:t>
      </w:r>
    </w:p>
    <w:p>
      <w:r/>
      <w:r>
        <w:rPr>
          <w:b/>
        </w:rPr>
        <w:t>Notes, Règles d'Or &amp; Pièges au Comptoir :</w:t>
      </w:r>
      <w:r/>
    </w:p>
    <w:p>
      <w:pPr>
        <w:pStyle w:val="ListBullet"/>
      </w:pPr>
      <w:r>
        <w:t>Piège classique : Le patient sous IPP au long cours (oméprazole &gt; 1 an) qui présente des crampes, fatigue, tétanie — penser à l'</w:t>
      </w:r>
      <w:r>
        <w:rPr>
          <w:b/>
        </w:rPr>
        <w:t>hypomagnésémie IPP-induite</w:t>
      </w:r>
      <w:r>
        <w:t xml:space="preserve"> (rare mais classique, à vérifier par magnésémie). Le pharmacien doit interroger sur les traitements en cours.</w:t>
      </w:r>
    </w:p>
    <w:p>
      <w:pPr>
        <w:pStyle w:val="ListBullet"/>
      </w:pPr>
      <w:r>
        <w:t xml:space="preserve">Règle de prise : </w:t>
      </w:r>
      <w:r>
        <w:rPr>
          <w:b/>
        </w:rPr>
        <w:t>Pendant les repas ; espacer 2 h des antibiotiques, fer, bisphosphonates ; durée 1-3 mois.</w:t>
      </w:r>
      <w:r/>
    </w:p>
    <w:p>
      <w:pPr>
        <w:pStyle w:val="ListBullet"/>
      </w:pPr>
      <w:r>
        <w:t>Préparation et Conservation : Solutions buvables à conserver à température ambiante &lt; 25 °C, à l'abri de la lumière ; bien agiter avant emploi ; gélules à conserver au sec.</w:t>
      </w:r>
    </w:p>
    <w:p>
      <w:pPr>
        <w:pStyle w:val="ListBullet"/>
      </w:pPr>
      <w:r>
        <w:t xml:space="preserve">Piège du surdosage / Substitution : En IRC, le Mg s'accumulate → hypermagnésémie (hyporéflexie → arrêt respiratoire) — contre-indication absolue ou réduction posologique majeure. Le patient transplanté rénal ou dialysé ne doit jamais recevoir de magnésium oral sans avis néphrologique. En cas de signes d'hypermagnésémie, le </w:t>
      </w:r>
      <w:r>
        <w:rPr>
          <w:b/>
        </w:rPr>
        <w:t>gluconate de calcium IV</w:t>
      </w:r>
      <w:r>
        <w:t xml:space="preserve"> est l'antidote.</w:t>
      </w:r>
    </w:p>
    <w:p>
      <w:pPr>
        <w:pStyle w:val="Heading3"/>
      </w:pPr>
      <w:r>
        <w:t>7. DCI : Siméticone / Diméticone (Seul)</w:t>
      </w:r>
    </w:p>
    <w:p>
      <w:r/>
      <w:r>
        <w:rPr>
          <w:b/>
        </w:rPr>
        <w:t>Liste des Catégories :</w:t>
      </w:r>
      <w:r>
        <w:t xml:space="preserve"> Carminatifs (anti-météorisme) ; accès libre ; indiquées dans les ballonnements, le météorisme, l'aérophagie, l'aécolie et la préparation radiologique/coloscopique.</w:t>
      </w:r>
    </w:p>
    <w:p>
      <w:r>
        <w:t xml:space="preserve">La siméticone et la diméticone sont des </w:t>
      </w:r>
      <w:r>
        <w:rPr>
          <w:b/>
        </w:rPr>
        <w:t>polymères de silicone</w:t>
      </w:r>
      <w:r>
        <w:t xml:space="preserve"> (polydiméthylsiloxane, PDMS) de haut poids moléculaire (4000-5000 unités pour la siméticone, qui contient en outre 4-7 % de dioxyde de silice hydratée activant la surface) utilisés comme tensioactifs digestifs non ioniques. Leur particularité PK est totale : aucun passage systémique, aucun métabolisme, excrétion fécale intégrale. Leur action est purement physico-chimique : abaissement de la tension superficielle à l'interface gaz-liquide des bulles digestives.</w:t>
      </w:r>
    </w:p>
    <w:p>
      <w:r/>
      <w:r>
        <w:rPr>
          <w:b/>
        </w:rPr>
        <w:t>Médicaments disponibles en Algérie (Marques, Laboratoires, Formes et Dosages) :</w:t>
      </w:r>
      <w:r/>
    </w:p>
    <w:p>
      <w:r>
        <w:t>Formes actives :</w:t>
      </w:r>
    </w:p>
    <w:p>
      <w:pPr>
        <w:pStyle w:val="ListBullet"/>
      </w:pPr>
      <w:r/>
      <w:r>
        <w:rPr>
          <w:b/>
        </w:rPr>
        <w:t>FREEGAS</w:t>
      </w:r>
      <w:r>
        <w:t xml:space="preserve"> (LABORATOIRES BEKER)</w:t>
      </w:r>
    </w:p>
    <w:p>
      <w:pPr>
        <w:pStyle w:val="ListBullet"/>
      </w:pPr>
      <w:r>
        <w:t>Formes et Dosages : Comprimé à croquer sans sucre à la menthe — Siméticone 80 mg — Boîte de 24</w:t>
      </w:r>
    </w:p>
    <w:p>
      <w:pPr>
        <w:pStyle w:val="ListBullet"/>
      </w:pPr>
      <w:r>
        <w:t>Statut : Actif</w:t>
      </w:r>
    </w:p>
    <w:p>
      <w:pPr>
        <w:pStyle w:val="ListBullet"/>
      </w:pPr>
      <w:r/>
      <w:r>
        <w:rPr>
          <w:b/>
        </w:rPr>
        <w:t>PEPSANE</w:t>
      </w:r>
      <w:r>
        <w:t xml:space="preserve"> (ROSA-PHYTOPHARMA)</w:t>
      </w:r>
    </w:p>
    <w:p>
      <w:pPr>
        <w:pStyle w:val="ListBullet"/>
      </w:pPr>
      <w:r>
        <w:t>Formes et Dosages : Gel buvable en sachets-doses — Diméticone 3 g + Gaiazulène 0,004 g par sachet — Boîte de 30 sachets</w:t>
      </w:r>
    </w:p>
    <w:p>
      <w:pPr>
        <w:pStyle w:val="ListBullet"/>
      </w:pPr>
      <w:r>
        <w:t>Statut : Actif</w:t>
      </w:r>
    </w:p>
    <w:p>
      <w:pPr>
        <w:pStyle w:val="ListBullet"/>
      </w:pPr>
      <w:r/>
      <w:r>
        <w:rPr>
          <w:b/>
        </w:rPr>
        <w:t>PEPSULENE</w:t>
      </w:r>
      <w:r>
        <w:t xml:space="preserve"> (NADPHARMADIC-PRODUCTION)</w:t>
      </w:r>
    </w:p>
    <w:p>
      <w:pPr>
        <w:pStyle w:val="ListBullet"/>
      </w:pPr>
      <w:r>
        <w:t>Formes et Dosages : Gel buvable — Diméticone 3 g + Gaiazulène 0,004 g — Boîte de 30 sachets-doses</w:t>
      </w:r>
    </w:p>
    <w:p>
      <w:pPr>
        <w:pStyle w:val="ListBullet"/>
      </w:pPr>
      <w:r>
        <w:t>Statut : Actif</w:t>
      </w:r>
    </w:p>
    <w:p>
      <w:r>
        <w:t>Forme non renouvelable :</w:t>
      </w:r>
    </w:p>
    <w:p>
      <w:pPr>
        <w:pStyle w:val="ListBullet"/>
      </w:pPr>
      <w:r/>
      <w:r>
        <w:rPr>
          <w:b/>
        </w:rPr>
        <w:t>POLYSILANE NOUR JOULLIE</w:t>
      </w:r>
      <w:r>
        <w:t xml:space="preserve"> (SANOFI-SYNTHELABO)</w:t>
      </w:r>
    </w:p>
    <w:p>
      <w:pPr>
        <w:pStyle w:val="ListBullet"/>
      </w:pPr>
      <w:r>
        <w:t>Formes et Dosages : Granulés — Diméticone activée 50 mg + Gomme de caroube 250 mg — Boîte de 50</w:t>
      </w:r>
    </w:p>
    <w:p>
      <w:pPr>
        <w:pStyle w:val="ListBullet"/>
      </w:pPr>
      <w:r>
        <w:t>Statut : Non Renouvelable</w:t>
      </w:r>
    </w:p>
    <w:p>
      <w:pPr>
        <w:pStyle w:val="ListBullet"/>
      </w:pPr>
      <w:r/>
      <w:r>
        <w:rPr>
          <w:b/>
        </w:rPr>
        <w:t>PEPSANE</w:t>
      </w:r>
      <w:r>
        <w:t xml:space="preserve"> (ROSA - PHYTOPHARMA) — forme capsule</w:t>
      </w:r>
    </w:p>
    <w:p>
      <w:pPr>
        <w:pStyle w:val="ListBullet"/>
      </w:pPr>
      <w:r>
        <w:t>Formes et Dosages : Capsule orale — Diméticone 300 mg + Gaiazulène 4 mg — Boîte de 30</w:t>
      </w:r>
    </w:p>
    <w:p>
      <w:pPr>
        <w:pStyle w:val="ListBullet"/>
      </w:pPr>
      <w:r>
        <w:t>Statut : Non Renouvelable</w:t>
      </w:r>
    </w:p>
    <w:p>
      <w:r>
        <w:t>Formes retirées (R) :</w:t>
      </w:r>
    </w:p>
    <w:p>
      <w:pPr>
        <w:pStyle w:val="ListBullet"/>
      </w:pPr>
      <w:r/>
      <w:r>
        <w:rPr>
          <w:b/>
        </w:rPr>
        <w:t>POLYSILANE DELALANDE</w:t>
      </w:r>
      <w:r>
        <w:t xml:space="preserve"> (SANOFI-SYNTHELABO)</w:t>
      </w:r>
    </w:p>
    <w:p>
      <w:pPr>
        <w:pStyle w:val="ListBullet"/>
      </w:pPr>
      <w:r>
        <w:t>Formes et Dosages : Comprimé à croquer ou à sucer — Siméticone 250 mg + Oxyde d'aluminium hydraté 500 mg — Boîte de 32</w:t>
      </w:r>
    </w:p>
    <w:p>
      <w:pPr>
        <w:pStyle w:val="ListBullet"/>
      </w:pPr>
      <w:r>
        <w:t>Statut : Retiré (R)</w:t>
      </w:r>
    </w:p>
    <w:p>
      <w:pPr>
        <w:pStyle w:val="ListBullet"/>
      </w:pPr>
      <w:r/>
      <w:r>
        <w:rPr>
          <w:b/>
        </w:rPr>
        <w:t>GASTRALGINE</w:t>
      </w:r>
      <w:r>
        <w:t xml:space="preserve"> (UPSA)</w:t>
      </w:r>
    </w:p>
    <w:p>
      <w:pPr>
        <w:pStyle w:val="ListBullet"/>
      </w:pPr>
      <w:r>
        <w:t>Formes et Dosages : Comprimé à croquer — Diméticone + Hydroxyde d'aluminium — Boîte de 40</w:t>
      </w:r>
    </w:p>
    <w:p>
      <w:pPr>
        <w:pStyle w:val="ListBullet"/>
      </w:pPr>
      <w:r>
        <w:t>Statut : Retiré (R)</w:t>
      </w:r>
    </w:p>
    <w:p>
      <w:r/>
      <w:r>
        <w:rPr>
          <w:b/>
        </w:rPr>
        <w:t>Sous-classe et Mécanisme d'action :</w:t>
      </w:r>
      <w:r/>
    </w:p>
    <w:p>
      <w:pPr>
        <w:pStyle w:val="ListBullet"/>
      </w:pPr>
      <w:r>
        <w:t>Sous-classe : Carminatifs / Anti-météorisme / Tensioactifs digestifs — polymères de silicone inertes, non absorbés.</w:t>
      </w:r>
    </w:p>
    <w:p>
      <w:pPr>
        <w:pStyle w:val="ListBullet"/>
      </w:pPr>
      <w:r>
        <w:t xml:space="preserve">Mécanisme d'action : La siméticone (et la diméticone) abaisse la tension superficielle à l'interface entre les bulles de gaz digestifs (N₂, O₂, CO₂, H₂, CH₄ issus de l'aérophagie et de la fermentation bactérienne colique) et le liquide intraluminal. Cette baisse de tension superficielle provoque la </w:t>
      </w:r>
      <w:r>
        <w:rPr>
          <w:b/>
        </w:rPr>
        <w:t>coalescence des microbulles en macrobulles</w:t>
      </w:r>
      <w:r>
        <w:t xml:space="preserve"> (selon la loi de Laplace, la pression interne d'une bulle est inversement proportionnelle à son rayon : les microbulles à haute pression fusionnent avec les macrobulles à basse pression). Les macrobulles formées sont facilement évacuées par </w:t>
      </w:r>
      <w:r>
        <w:rPr>
          <w:b/>
        </w:rPr>
        <w:t>éructation</w:t>
      </w:r>
      <w:r>
        <w:t xml:space="preserve"> (route orale) ou absorbées par la muqueuse colique puis exhalées par voie pulmonaire (route systémique). Le volume total de gaz digestif est ainsi réduit, le météorisme disparaît. Le gaiazulène (Pepsane, Pepsulene) est un anti-inflammatoire naturel dérivé de la camomille (Azulène), qui potentialise l'effet carminatif par une action anti-spasmodique légère sur le muscle lisse digestif. La siméticone est inactive chimiquement, non absorbée, excrétée à 100 % dans les selles.</w:t>
      </w:r>
    </w:p>
    <w:p>
      <w:r/>
      <w:r>
        <w:rPr>
          <w:b/>
        </w:rPr>
        <w:t>Profil Pharmacologique :</w:t>
      </w:r>
      <w:r/>
    </w:p>
    <w:p>
      <w:pPr>
        <w:pStyle w:val="ListBullet"/>
      </w:pPr>
      <w:r>
        <w:t>Indications : Ballonnements post-prandiaux ; météorisme (gaz intestinaux excessifs) ; aérophagie (déglutition d'air excessive, surtout chez l'anxieux, le fumeur, le mâcheur de chewing-gum) ; aécolie prémenstruelle (gaz intestinaux favorisés par la progestérone) ; syndrome de l'intestin irritable avec météorisme ; préparation à l'échographie abdominale (réduction des gaz masquant les organes) ; préparation à la coloscopie (potentialisation du PEG) ; préparation à la radiologie abdominale ; traitement d'appoint de l'aérophagie du nourrisson (formes pédiatriques) ; colopathies fonctionnelles.</w:t>
      </w:r>
    </w:p>
    <w:p>
      <w:pPr>
        <w:pStyle w:val="ListBullet"/>
      </w:pPr>
      <w:r>
        <w:t>Contre-indications : Hypersensibilité aux silicones (rare) ; obstruction intestinale (la siméticone pourrait théoriquement aggraver une distension colique en amont d'un obstacle) ; perforation digestive suspectée.</w:t>
      </w:r>
    </w:p>
    <w:p>
      <w:pPr>
        <w:pStyle w:val="ListBullet"/>
      </w:pPr>
      <w:r>
        <w:t>Effets Indésirables : Exceptionnels — réactions d'hypersensibilité cutanée (urticaire, prurit, éruption), nausées légères, régurgitations. Aucun effet systémique connu (pas d'absorption). Le gaiazulène peut théoriquement provoquer des réactions allergiques croisées avec les plantes de la famille des Astéracées (camomille, marguerite, arnica).</w:t>
      </w:r>
    </w:p>
    <w:p>
      <w:r/>
      <w:r>
        <w:rPr>
          <w:b/>
        </w:rPr>
        <w:t>Prévention et Gestion des Effets Indésirables :</w:t>
      </w:r>
      <w:r/>
    </w:p>
    <w:p>
      <w:pPr>
        <w:pStyle w:val="ListBullet"/>
      </w:pPr>
      <w:r>
        <w:t>Mesures Préventives : Prendre au moment des repas pour optimiser l'effet sur les gaz post-prandiaux ; associer à des mesures diététiques (réduction des aliments flatulogènes : choux, légumineuses, oignons, boissons gazeuses) ; mastication lente pour réduire l'aérophagie ; activité physique régulière pour favoriser le transit.</w:t>
      </w:r>
    </w:p>
    <w:p>
      <w:pPr>
        <w:pStyle w:val="ListBullet"/>
      </w:pPr>
      <w:r>
        <w:t>Conduite à Tenir : En cas de persistance du météorisme après 2-3 semaines de traitement bien conduit, orientation médicale pour recherche étiologique (intolérance au lactose, SIBO, maladie cœliaque, pathologie inflammatoire).</w:t>
      </w:r>
    </w:p>
    <w:p>
      <w:r/>
      <w:r>
        <w:rPr>
          <w:b/>
        </w:rPr>
        <w:t>Interactions Importantes :</w:t>
      </w:r>
      <w:r/>
    </w:p>
    <w:p>
      <w:pPr>
        <w:pStyle w:val="ListBullet"/>
      </w:pPr>
      <w:r/>
      <w:r>
        <w:rPr>
          <w:b/>
        </w:rPr>
        <w:t>Siméticone + lévothyroxine</w:t>
      </w:r>
      <w:r>
        <w:t xml:space="preserve"> : Réduction possible de l'absorption de la lévothyroxine — espacer 2 heures.</w:t>
      </w:r>
    </w:p>
    <w:p>
      <w:pPr>
        <w:pStyle w:val="ListBullet"/>
      </w:pPr>
      <w:r/>
      <w:r>
        <w:rPr>
          <w:b/>
        </w:rPr>
        <w:t>Siméticone + anticoagulants oraux</w:t>
      </w:r>
      <w:r>
        <w:t xml:space="preserve"> : Modification théorique de l'absorption des AVK (controversé) — surveiller l'INR.</w:t>
      </w:r>
    </w:p>
    <w:p>
      <w:pPr>
        <w:pStyle w:val="ListBullet"/>
      </w:pPr>
      <w:r/>
      <w:r>
        <w:rPr>
          <w:b/>
        </w:rPr>
        <w:t>Siméticone + préparation colique (PEG)</w:t>
      </w:r>
      <w:r>
        <w:t xml:space="preserve"> : Synergie pour la réduction des gaz et l'amélioration de la préparation colique.</w:t>
      </w:r>
    </w:p>
    <w:p>
      <w:pPr>
        <w:pStyle w:val="ListBullet"/>
      </w:pPr>
      <w:r>
        <w:t>La siméticone ne présente pas d'interactions médicamenteuses significatives en raison de son absence d'absorption systémique.</w:t>
      </w:r>
    </w:p>
    <w:p>
      <w:r/>
      <w:r>
        <w:rPr>
          <w:b/>
        </w:rPr>
        <w:t>Grossesse et Allaitement :</w:t>
      </w:r>
      <w:r/>
    </w:p>
    <w:p>
      <w:pPr>
        <w:pStyle w:val="ListBullet"/>
      </w:pPr>
      <w:r>
        <w:t xml:space="preserve">Grossesse : </w:t>
      </w:r>
      <w:r>
        <w:rPr>
          <w:b/>
        </w:rPr>
        <w:t>Compatible</w:t>
      </w:r>
      <w:r>
        <w:t xml:space="preserve"> selon le CRAT. La siméticone et la diméticone ne sont pas absorbées et n'ont aucun effet systémique ou fœtal. Utilisation possible à tout trimestre de la grossesse, sans restriction.</w:t>
      </w:r>
    </w:p>
    <w:p>
      <w:pPr>
        <w:pStyle w:val="ListBullet"/>
      </w:pPr>
      <w:r>
        <w:t xml:space="preserve">Allaitement : </w:t>
      </w:r>
      <w:r>
        <w:rPr>
          <w:b/>
        </w:rPr>
        <w:t>Compatible</w:t>
      </w:r>
      <w:r>
        <w:t xml:space="preserve"> selon le CRAT. Aucun passage dans le lait maternel, aucun effet rapporté chez le nourrisson.</w:t>
      </w:r>
    </w:p>
    <w:p>
      <w:pPr>
        <w:pStyle w:val="ListBullet"/>
      </w:pPr>
      <w:r>
        <w:t>Précisions : Le gaiazulène (présent dans Pepsane, Pepsulene) étant un dérivé de la camomille, son innocuité pendant la grossesse est présumée mais moins documentée. Préférer la siméticone pure (Freegas) en cas de doute.</w:t>
      </w:r>
    </w:p>
    <w:p>
      <w:r/>
      <w:r>
        <w:rPr>
          <w:b/>
        </w:rPr>
        <w:t>Posologie et Mode d'administration (Standard) :</w:t>
      </w:r>
      <w:r/>
    </w:p>
    <w:p>
      <w:pPr>
        <w:pStyle w:val="ListBullet"/>
      </w:pPr>
      <w:r>
        <w:t>Adulte (siméticone Freegas) : 1 à 2 comprimés à croquer 3 à 4 fois par jour, après les repas et au coucher. Dose maximale : 8 comprimés/jour (640 mg siméticone/jour).</w:t>
      </w:r>
    </w:p>
    <w:p>
      <w:pPr>
        <w:pStyle w:val="ListBullet"/>
      </w:pPr>
      <w:r>
        <w:t>Adulte (diméticone Pepsane, Pepsulene gel) : 1 sachet de gel buvable (3 g diméticone) 3 fois par jour, après les repas. Dose maximale : 4 sachets/jour (12 g/jour — dose élevée justifiée par la faible biodisponibilité relative de la diméticone vs siméticone).</w:t>
      </w:r>
    </w:p>
    <w:p>
      <w:pPr>
        <w:pStyle w:val="ListBullet"/>
      </w:pPr>
      <w:r>
        <w:t>Adulte (diméticone Pepsane capsule) : 1 capsule 3 fois par jour après les repas (300 mg x 3 = 900 mg/jour).</w:t>
      </w:r>
    </w:p>
    <w:p>
      <w:pPr>
        <w:pStyle w:val="ListBullet"/>
      </w:pPr>
      <w:r>
        <w:t>Enfant &gt; 6 ans : 1 comprimé Freegas 3 fois par jour, ou demi-sachet Pepsane 3 fois par jour.</w:t>
      </w:r>
    </w:p>
    <w:p>
      <w:pPr>
        <w:pStyle w:val="ListBullet"/>
      </w:pPr>
      <w:r>
        <w:t>Nourrisson : Formes pédiatiques spécifiques (non disponibles en Algérie en siméticone pure — suppléer par épaississement du lait).</w:t>
      </w:r>
    </w:p>
    <w:p>
      <w:pPr>
        <w:pStyle w:val="ListBullet"/>
      </w:pPr>
      <w:r>
        <w:t>Sujet âgé : Pas d'adaptation posologique (absence d'absorption systémique).</w:t>
      </w:r>
    </w:p>
    <w:p>
      <w:pPr>
        <w:pStyle w:val="ListBullet"/>
      </w:pPr>
      <w:r>
        <w:t>Durée : Automédication limitée à 2-3 semaines ; au-delà, consultation médicale.</w:t>
      </w:r>
    </w:p>
    <w:p>
      <w:pPr>
        <w:pStyle w:val="ListBullet"/>
      </w:pPr>
      <w:r>
        <w:t>Moment de la prise : Après les repas (15-30 min) et au coucher.</w:t>
      </w:r>
    </w:p>
    <w:p>
      <w:r/>
      <w:r>
        <w:rPr>
          <w:b/>
        </w:rPr>
        <w:t>Arbitrage et Bénéfices des Formes Galéniques :</w:t>
      </w:r>
      <w:r/>
    </w:p>
    <w:p>
      <w:pPr>
        <w:pStyle w:val="ListBullet"/>
      </w:pPr>
      <w:r>
        <w:t>Comprimés à croquer sans sucre (Freegas 80 mg) : Forme pratique pour le nomadisme, sans sucre (adaptée au diabétique), goût menthe. Action rapide ( dissolution buccale puis gastrique). Limitation : dose unitaire faible (80 mg), nécessitant 6-12 comprimés/jour pour dose optimale.</w:t>
      </w:r>
    </w:p>
    <w:p>
      <w:pPr>
        <w:pStyle w:val="ListBullet"/>
      </w:pPr>
      <w:r>
        <w:t>Gel buvable en sachets (Pepsane, Pepsulene 3 g/sachet) : Dose élevée par sachet (3 g diméticone), plus efficace pour météorisme sévère. Association au gaiazulène (anti-inflammatoire naturel). Prise moins pratique (gel à avaler).</w:t>
      </w:r>
    </w:p>
    <w:p>
      <w:pPr>
        <w:pStyle w:val="ListBullet"/>
      </w:pPr>
      <w:r>
        <w:t>Capsules (Pepsane capsule 300 mg) : Forme intermédiaire, plus pratique que le gel mais dose moins élevée.</w:t>
      </w:r>
    </w:p>
    <w:p>
      <w:pPr>
        <w:pStyle w:val="ListBullet"/>
      </w:pPr>
      <w:r>
        <w:t>Choix : Freegas pour ballonnements modérés et usage nomade ; Pepsane/Pepsulene gel pour météorisme sévère et patient cherchant une action anti-inflammatoire naturelle.</w:t>
      </w:r>
    </w:p>
    <w:p>
      <w:r/>
      <w:r>
        <w:rPr>
          <w:b/>
        </w:rPr>
        <w:t>Instructions et Conseils au Patient :</w:t>
      </w:r>
      <w:r/>
    </w:p>
    <w:p>
      <w:pPr>
        <w:pStyle w:val="ListBullet"/>
      </w:pPr>
      <w:r>
        <w:t>Communication au comptoir : "Ce médicament réduit les bulles de gaz dans votre intestin en les faisant fusionner, ce qui facilite leur évacuation par éructations ou flatulences. Prenez-le après les repas. Évitez les aliments qui donnent des gaz (choux, légumes secs, boissons gazeuses), mâchez lentement, et bougez après les repas. Si les ballonnements persistent au-delà de 2-3 semaines, parlez-en à votre médecin pour chercher une cause (intolérance alimentaire, bactéries intestinales)."</w:t>
      </w:r>
    </w:p>
    <w:p>
      <w:pPr>
        <w:pStyle w:val="ListBullet"/>
      </w:pPr>
      <w:r>
        <w:t>Mode d'utilisation pratique : Croquer le comprimé jusqu'à dissolution complète avant d'avaler ; pour le gel buvable, avaler directement le contenu du sachet ou diluer dans un peu d'eau ; en cas d'oubli d'une prise, ne pas doubler ; conservation à température ambiante &lt; 25 °C.</w:t>
      </w:r>
    </w:p>
    <w:p>
      <w:r/>
      <w:r>
        <w:rPr>
          <w:b/>
        </w:rPr>
        <w:t>Notes, Règles d'Or &amp; Pièges au Comptoir :</w:t>
      </w:r>
      <w:r/>
    </w:p>
    <w:p>
      <w:pPr>
        <w:pStyle w:val="ListBullet"/>
      </w:pPr>
      <w:r>
        <w:t xml:space="preserve">Piège classique : Le patient qui consulte pour ballonnements persistants malgré la siméticone — il faut orienter vers la </w:t>
      </w:r>
      <w:r>
        <w:rPr>
          <w:b/>
        </w:rPr>
        <w:t>recherche étiologique</w:t>
      </w:r>
      <w:r>
        <w:t xml:space="preserve"> (test respiratoire à l'hydrogène pour SIBO, recherche d'intolérance au lactose, sérologie maladie cœliaque), et non multiplier les traitements symptomatiques.</w:t>
      </w:r>
    </w:p>
    <w:p>
      <w:pPr>
        <w:pStyle w:val="ListBullet"/>
      </w:pPr>
      <w:r>
        <w:t xml:space="preserve">Règle de prise : </w:t>
      </w:r>
      <w:r>
        <w:rPr>
          <w:b/>
        </w:rPr>
        <w:t>Après les repas + au coucher ; association à des mesures diététiques indispensable.</w:t>
      </w:r>
      <w:r/>
    </w:p>
    <w:p>
      <w:pPr>
        <w:pStyle w:val="ListBullet"/>
      </w:pPr>
      <w:r>
        <w:t>Préparation et Conservation : À conserver à température ambiante &lt; 25 °C, à l'abri de l'humidité (les comprimés à croquer sont sensibles à l'humidité) ; les gels buvables en sachets à conserver à l'abri de la lumière.</w:t>
      </w:r>
    </w:p>
    <w:p>
      <w:pPr>
        <w:pStyle w:val="ListBullet"/>
      </w:pPr>
      <w:r>
        <w:t>Piège du surdosage / Substitution : Aucun risque de surdosage (absence d'absorption systémique) — la siméticone est l'un des médicaments les plus sûrs du marché. Ne pas substituer un antiacide par la siméticone si le symptôme dominant est le pyrosis (la siméticone ne neutralise pas l'acide). En cas de symptômes mixtes (acide + gaz), préférer une association type Alvérine/Siméticone (Météospasmyl) ou Al/Mg/Siméticone (Gaalox Plus), ou prescrire séparément antiacide + siméticone.</w:t>
      </w:r>
    </w:p>
    <w:p>
      <w:pPr>
        <w:pStyle w:val="Heading3"/>
      </w:pPr>
      <w:r>
        <w:t>8. DCI : Bismuth (sous-citrate, subsalicylate) (Seul ou en Association)</w:t>
      </w:r>
    </w:p>
    <w:p>
      <w:r/>
      <w:r>
        <w:rPr>
          <w:b/>
        </w:rPr>
        <w:t>Liste des Catégories :</w:t>
      </w:r>
      <w:r>
        <w:t xml:space="preserve"> Pansements gastriques - Sels de bismuth ; accès sur prescription médicale (Liste I) pour les formes anti-</w:t>
      </w:r>
      <w:r>
        <w:rPr>
          <w:i/>
        </w:rPr>
        <w:t>H. pylori</w:t>
      </w:r>
      <w:r>
        <w:t xml:space="preserve"> ; indiquées dans l'éradication de </w:t>
      </w:r>
      <w:r>
        <w:rPr>
          <w:i/>
        </w:rPr>
        <w:t>Helicobacter pylori</w:t>
      </w:r>
      <w:r>
        <w:t xml:space="preserve"> (sous-citrate en quadrithérapie) et la diarrhée aiguë (subsalicylate).</w:t>
      </w:r>
    </w:p>
    <w:p>
      <w:r>
        <w:t xml:space="preserve">Le bismuth est un métal lourd (symbole Bi, numéro atomique Z = 83) de la famille 15 du tableau périodique, connu depuis le XVIIIe siècle pour ses propriétés digestives. Utilisé sous deux sels principaux en thérapeutique moderne : </w:t>
      </w:r>
      <w:r>
        <w:rPr>
          <w:b/>
        </w:rPr>
        <w:t>(1)</w:t>
      </w:r>
      <w:r>
        <w:t xml:space="preserve"> sous-citrate de bismuth (forme colloïdale, principale pour les trithérapies/quadrithérapies anti-</w:t>
      </w:r>
      <w:r>
        <w:rPr>
          <w:i/>
        </w:rPr>
        <w:t>H. pylori</w:t>
      </w:r>
      <w:r>
        <w:t xml:space="preserve">), et </w:t>
      </w:r>
      <w:r>
        <w:rPr>
          <w:b/>
        </w:rPr>
        <w:t>(2)</w:t>
      </w:r>
      <w:r>
        <w:t xml:space="preserve"> subsalicylate de bismuth (forme libérant du salicylate anti-inflammatoire intestinal, principale pour la diarrhée et la diarrhée du voyageur). Le bismuth se distingue des antiacides classiques par son </w:t>
      </w:r>
      <w:r>
        <w:rPr>
          <w:b/>
        </w:rPr>
        <w:t>action cytoprotectrice</w:t>
      </w:r>
      <w:r>
        <w:t xml:space="preserve"> et son </w:t>
      </w:r>
      <w:r>
        <w:rPr>
          <w:b/>
        </w:rPr>
        <w:t>activité antibactérienne directe</w:t>
      </w:r>
      <w:r>
        <w:t xml:space="preserve"> contre </w:t>
      </w:r>
      <w:r>
        <w:rPr>
          <w:i/>
        </w:rPr>
        <w:t>Helicobacter pylori</w:t>
      </w:r>
      <w:r>
        <w:t>.</w:t>
      </w:r>
    </w:p>
    <w:p>
      <w:r/>
      <w:r>
        <w:rPr>
          <w:b/>
        </w:rPr>
        <w:t>Médicaments disponibles en Algérie (Marques, Laboratoires, Formes et Dosages) :</w:t>
      </w:r>
      <w:r/>
    </w:p>
    <w:p>
      <w:r>
        <w:t>Quadrithérapies anti-</w:t>
      </w:r>
      <w:r>
        <w:rPr>
          <w:i/>
        </w:rPr>
        <w:t>H. pylori</w:t>
      </w:r>
      <w:r>
        <w:t xml:space="preserve"> actives :</w:t>
      </w:r>
    </w:p>
    <w:p>
      <w:pPr>
        <w:pStyle w:val="ListBullet"/>
      </w:pPr>
      <w:r/>
      <w:r>
        <w:rPr>
          <w:b/>
        </w:rPr>
        <w:t>DISPYLORI</w:t>
      </w:r>
      <w:r>
        <w:t xml:space="preserve"> (LABORATOIRE SAIPH)</w:t>
      </w:r>
    </w:p>
    <w:p>
      <w:pPr>
        <w:pStyle w:val="ListBullet"/>
      </w:pPr>
      <w:r>
        <w:t>Formes et Dosages : Gélule — Sous-citrate de bismuth 140 mg + Métronidazole 125 mg + Tétracycline (chlorhydrate) 125 mg — Boîte de 120 gélules</w:t>
      </w:r>
    </w:p>
    <w:p>
      <w:pPr>
        <w:pStyle w:val="ListBullet"/>
      </w:pPr>
      <w:r>
        <w:t>Statut : Actif — Liste I</w:t>
      </w:r>
    </w:p>
    <w:p>
      <w:pPr>
        <w:pStyle w:val="ListBullet"/>
      </w:pPr>
      <w:r/>
      <w:r>
        <w:rPr>
          <w:b/>
        </w:rPr>
        <w:t>PYLORIX</w:t>
      </w:r>
      <w:r>
        <w:t xml:space="preserve"> (PHARMALLIANCE)</w:t>
      </w:r>
    </w:p>
    <w:p>
      <w:pPr>
        <w:pStyle w:val="ListBullet"/>
      </w:pPr>
      <w:r>
        <w:t>Formes et Dosages : Gélule — Sous-citrate de bismuth 140 mg + Métronidazole 125 mg + Tétracycline (chlorhydrate) 125 mg — Boîte de 120 gélules</w:t>
      </w:r>
    </w:p>
    <w:p>
      <w:pPr>
        <w:pStyle w:val="ListBullet"/>
      </w:pPr>
      <w:r>
        <w:t>Statut : Actif — Liste I</w:t>
      </w:r>
    </w:p>
    <w:p>
      <w:r>
        <w:t>Subsalicylate de bismuth actif :</w:t>
      </w:r>
    </w:p>
    <w:p>
      <w:pPr>
        <w:pStyle w:val="ListBullet"/>
      </w:pPr>
      <w:r/>
      <w:r>
        <w:rPr>
          <w:b/>
        </w:rPr>
        <w:t>BISMATROL</w:t>
      </w:r>
      <w:r>
        <w:t xml:space="preserve"> (BEIT JALA PHARMACEUTICALS COMPANY)</w:t>
      </w:r>
    </w:p>
    <w:p>
      <w:pPr>
        <w:pStyle w:val="ListBullet"/>
      </w:pPr>
      <w:r>
        <w:t>Formes et Dosages : Comprimé — Bismuth subsalicylate 262 mg — Boîte de 30</w:t>
      </w:r>
    </w:p>
    <w:p>
      <w:pPr>
        <w:pStyle w:val="ListBullet"/>
      </w:pPr>
      <w:r>
        <w:t>Statut : Actif — Liste I</w:t>
      </w:r>
    </w:p>
    <w:p>
      <w:r>
        <w:t>Formes à usage rectal retirées :</w:t>
      </w:r>
    </w:p>
    <w:p>
      <w:pPr>
        <w:pStyle w:val="ListBullet"/>
      </w:pPr>
      <w:r/>
      <w:r>
        <w:rPr>
          <w:b/>
        </w:rPr>
        <w:t>ANUSOL</w:t>
      </w:r>
      <w:r>
        <w:t xml:space="preserve"> (PARKE DAVIS)</w:t>
      </w:r>
    </w:p>
    <w:p>
      <w:pPr>
        <w:pStyle w:val="ListBullet"/>
      </w:pPr>
      <w:r>
        <w:t>Formes et Dosages : Pommade rectale — Oxyde de zinc 10,75 g + Oxyde de bismuth 0,875 g + Sous-gallate de bismuth 2,250 g pour 100 g — Tube de 33 g</w:t>
      </w:r>
    </w:p>
    <w:p>
      <w:pPr>
        <w:pStyle w:val="ListBullet"/>
      </w:pPr>
      <w:r>
        <w:t>Statut : Retiré (R)</w:t>
      </w:r>
    </w:p>
    <w:p>
      <w:pPr>
        <w:pStyle w:val="ListBullet"/>
      </w:pPr>
      <w:r/>
      <w:r>
        <w:rPr>
          <w:b/>
        </w:rPr>
        <w:t>ANUSOL</w:t>
      </w:r>
      <w:r>
        <w:t xml:space="preserve"> (PFIZER)</w:t>
      </w:r>
    </w:p>
    <w:p>
      <w:pPr>
        <w:pStyle w:val="ListBullet"/>
      </w:pPr>
      <w:r>
        <w:t>Formes et Dosages : Suppositoire — Oxyde de zinc 296 mg + Oxyde de bismuth 59 mg + Sous-gallate de bismuth 24 mg — Boîte de 24</w:t>
      </w:r>
    </w:p>
    <w:p>
      <w:pPr>
        <w:pStyle w:val="ListBullet"/>
      </w:pPr>
      <w:r>
        <w:t>Statut : Retiré (R)</w:t>
      </w:r>
    </w:p>
    <w:p>
      <w:pPr>
        <w:pStyle w:val="ListBullet"/>
      </w:pPr>
      <w:r/>
      <w:r>
        <w:rPr>
          <w:b/>
        </w:rPr>
        <w:t>RECTOSAN-A</w:t>
      </w:r>
      <w:r>
        <w:t xml:space="preserve"> (PHARMACARE LIMITED)</w:t>
      </w:r>
    </w:p>
    <w:p>
      <w:pPr>
        <w:pStyle w:val="ListBullet"/>
      </w:pPr>
      <w:r>
        <w:t>Formes et Dosages : Suppositoire — Oxyde de zinc 180 mg + Résorcinol 90 mg + Sous-gallate de bismuth 300 mg + Baume du Pérou 90 mg + Extrait de belladone 15 mg + Benzocaïne 60 mg — Boîte de 10</w:t>
      </w:r>
    </w:p>
    <w:p>
      <w:pPr>
        <w:pStyle w:val="ListBullet"/>
      </w:pPr>
      <w:r>
        <w:t>Statut : Retiré (R)</w:t>
      </w:r>
    </w:p>
    <w:p>
      <w:r/>
      <w:r>
        <w:rPr>
          <w:b/>
        </w:rPr>
        <w:t>Sous-classe et Mécanisme d'action :</w:t>
      </w:r>
      <w:r/>
    </w:p>
    <w:p>
      <w:pPr>
        <w:pStyle w:val="ListBullet"/>
      </w:pPr>
      <w:r>
        <w:t>Sous-classe : Pansements gastriques topiques à base de sels de bismuth, avec action cytoprotectrice, anti-sécrétoire modérée, et antibactérienne directe contre *H. pylori*.</w:t>
      </w:r>
    </w:p>
    <w:p>
      <w:pPr>
        <w:pStyle w:val="ListBullet"/>
      </w:pPr>
      <w:r>
        <w:t xml:space="preserve">Mécanisme d'action : Le bismuth exerce un </w:t>
      </w:r>
      <w:r>
        <w:rPr>
          <w:b/>
        </w:rPr>
        <w:t>quadruple effet</w:t>
      </w:r>
      <w:r>
        <w:t xml:space="preserve"> : </w:t>
      </w:r>
      <w:r>
        <w:rPr>
          <w:b/>
        </w:rPr>
        <w:t>(1) Cytoprotection mucosique</w:t>
      </w:r>
      <w:r>
        <w:t xml:space="preserve"> — en milieu gastrique acide (pH &lt; 4), le sous-citrate de bismuth précipite en un complexe bismuth-protéine (avec les protéines de la couche muqueuse et des sites ulcérés) formant un </w:t>
      </w:r>
      <w:r>
        <w:rPr>
          <w:b/>
        </w:rPr>
        <w:t>film protecteur physique</w:t>
      </w:r>
      <w:r>
        <w:t xml:space="preserve"> recouvrant les érosions muqueuses et les ulcères, les protégeant de l'acide et de la pepsine. Ce film persiste plusieurs heures. **(2) Antibactérien direct contre *H. pylori*</w:t>
      </w:r>
      <w:r>
        <w:rPr>
          <w:b/>
        </w:rPr>
        <w:t xml:space="preserve"> — le bismuth inhibe plusieurs enzymes bactériennes : l'uréase bactérienne (empêchant la transformation de l'urée en ammoniaque qui neutralise localement l'acide et permet la survie bactérienne), l'adénosine triphosphatase (ATPase) membranaire, la phospholipase A2, et l'adhésion bactérienne à la muqueuse. Il perturbe également la paroi bactérienne. </w:t>
      </w:r>
      <w:r>
        <w:t>(3) Anti-sécrétoire modéré</w:t>
      </w:r>
      <w:r>
        <w:rPr>
          <w:b/>
        </w:rPr>
        <w:t xml:space="preserve"> — le bismuth inhibe partiellement la sécrétion acide gastrique et stimule la sécrétion de bicarbonate et de mucus par les cellules épithéliales. </w:t>
      </w:r>
      <w:r>
        <w:t>(4) Anti-diarrhéique (subsali-cylate)** — le subsalicylate de bismuth libère du salicylate qui inhibe la cyclo-oxygénase intestinale et la production de prostaglandines pro-sécrétoires (réduit la sécrétion hydroélectrolytique dans la lumière intestinale), et adsorbe les toxines bactériennes (toxine cholérique, toxine d'*E. coli*). Le bismuth est très peu absorbé (&lt; 1 % de la dose orale pour le sous-citrate colloïdal), mais l'accumulation en cas d'insuffisance rénale est possible (élimination rénale exclusive).</w:t>
      </w:r>
    </w:p>
    <w:p>
      <w:r/>
      <w:r>
        <w:rPr>
          <w:b/>
        </w:rPr>
        <w:t>Profil Pharmacologique :</w:t>
      </w:r>
      <w:r/>
    </w:p>
    <w:p>
      <w:pPr>
        <w:pStyle w:val="ListBullet"/>
      </w:pPr>
      <w:r>
        <w:t xml:space="preserve">Indications : </w:t>
      </w:r>
      <w:r>
        <w:rPr>
          <w:b/>
        </w:rPr>
        <w:t>(1)</w:t>
      </w:r>
      <w:r>
        <w:t xml:space="preserve"> Sous-citrate de bismuth en quadrithérapie (Dispylori, Pylorix) — éradication de *Helicobacter pylori* en traitement de seconde ligne après échec d'une trithérapie IPP-amoxicilline-clarithromycine, ou en traitement de première ligne dans les zones de haute résistance à la clarithromycine (&gt; 20 %) selon les recommandations Maastricht V et Toronto. Association avec un IPP (oméprazole 20 mg x 2/jour) pendant 10-14 jours. </w:t>
      </w:r>
      <w:r>
        <w:rPr>
          <w:b/>
        </w:rPr>
        <w:t>(2)</w:t>
      </w:r>
      <w:r>
        <w:t xml:space="preserve"> Subsalicylate de bismuth (Bismatrol) — diarrhée aiguë non spécifique, diarrhée du voyageur, prévention de la diarrhée du voyageur, dyspepsie, Helicobacter pylori en association, traitement d'appoint de la maladie ulcéreuseuse. </w:t>
      </w:r>
      <w:r>
        <w:rPr>
          <w:b/>
        </w:rPr>
        <w:t>(3)</w:t>
      </w:r>
      <w:r>
        <w:t xml:space="preserve"> Formes rectales (Anusol, Rectosan-A — retirées) — hémorroïdes, fissures anales.</w:t>
      </w:r>
    </w:p>
    <w:p>
      <w:pPr>
        <w:pStyle w:val="ListBullet"/>
      </w:pPr>
      <w:r>
        <w:t>Contre-indications : Insuffisance rénale sévère (clairance &lt; 30 mL/min) — risque d'accumulation de bismuth (encéphalopathie bismuthique à long terme) ; grossesse (le bismuth traverse la barrière fœto-placentaire, risque fœtal) ; allaitement (passage dans le lait) ; hypersensibilité aux composants ; enfant &lt; 6 ans pour le subsalicylate (risque de syndrome de Reye lié au salicylate) ; hypersensibilité à l'aspirine (cross-réaction avec le salicylate) ; traitement anticoagulant oral (interactions avec le salicylate).</w:t>
      </w:r>
    </w:p>
    <w:p>
      <w:pPr>
        <w:pStyle w:val="ListBullet"/>
      </w:pPr>
      <w:r>
        <w:t>Effets Indésirables : Effets digestifs — langue noire (décoloration bénigne de la langue par sulfure de bismuth, réversible à l'arrêt), selles noires (décoloration par sulfure de bismuth, sans signification pathologique mais impressionnante pour le patient), nausées, vomissements, constipation, diarrhée (subsali-cylate), goût métallique. Effets systémiques (rares, en cas d'usage prolongé ou d'IRC) — encéphalopathie bismuthique (troubles cognitifs, myoclonies, ataxie, confusion, convulsions), néphrotoxicité (accumulation rénale), hépatotoxicité (exceptionnelle). Le subsalicylate peut provoquer un syndrome de Reye chez l'enfant (forme rare mais grave associant encéphalopathie et stéatose hépatique, liée au salicylate en cas d'infection virale fébrile).</w:t>
      </w:r>
    </w:p>
    <w:p>
      <w:r/>
      <w:r>
        <w:rPr>
          <w:b/>
        </w:rPr>
        <w:t>Prévention et Gestion des Effets Indésirables :</w:t>
      </w:r>
      <w:r/>
    </w:p>
    <w:p>
      <w:pPr>
        <w:pStyle w:val="ListBullet"/>
      </w:pPr>
      <w:r>
        <w:t>Mesures Préventives : Limiter la durée d'utilisation à 10-14 jours pour les quadrithérapies anti-*H. pylori* (jamais d'usage chronique) ; à 2-3 jours pour la diarrhée aiguë (subsali-cylate) ; surveiller la fonction rénale avant instauration (clairance créatinine) ; alerter le patient sur la coloration noire de la langue et des selles (inoffensive, disparaît à l'arrêt) ; éviter l'usage chez l'enfant fébrile (subsali-cylate, syndrome de Reye) ; éviter chez la femme enceinte et allaitante.</w:t>
      </w:r>
    </w:p>
    <w:p>
      <w:pPr>
        <w:pStyle w:val="ListBullet"/>
      </w:pPr>
      <w:r>
        <w:t>Conduite à Tenir : En cas de signes d'encéphalopathie bismuthique (troubles cognitifs, confusion, myoclonies), arrêt immédiat + hospitalisation pour chélation (DMSA, DMPS) ; en cas de diarrhée persistante sous subsali-cylate &gt; 48 h, consultation médicale (recherche de pathogène) ; en cas d'éruption cutanée, arrêt et consultation.</w:t>
      </w:r>
    </w:p>
    <w:p>
      <w:r/>
      <w:r>
        <w:rPr>
          <w:b/>
        </w:rPr>
        <w:t>Interactions Importantes :</w:t>
      </w:r>
      <w:r/>
    </w:p>
    <w:p>
      <w:pPr>
        <w:pStyle w:val="ListBullet"/>
      </w:pPr>
      <w:r/>
      <w:r>
        <w:rPr>
          <w:b/>
        </w:rPr>
        <w:t>Bismuth + IPP</w:t>
      </w:r>
      <w:r>
        <w:t xml:space="preserve"> : Synergie majeure pour l'éradication de *H. pylori* — l'IPP augmente le pH gastrique, ce qui améliore la stabilité et l'action du bismuth et des antibiotiques associés. Association systématique en quadrithérapie.</w:t>
      </w:r>
    </w:p>
    <w:p>
      <w:pPr>
        <w:pStyle w:val="ListBullet"/>
      </w:pPr>
      <w:r/>
      <w:r>
        <w:rPr>
          <w:b/>
        </w:rPr>
        <w:t>Bismuth + antibiotiques (métronidazole, tétracycline, amoxicilline, clarithromycine)</w:t>
      </w:r>
      <w:r>
        <w:t xml:space="preserve"> : Synergie pour l'éradication de *H. pylori*. Les quadrithérapies pré-combinées (Dispylori, Pylorix) incluent le bismuth + métronidazole + tétracycline, à associer à un IPP séparé.</w:t>
      </w:r>
    </w:p>
    <w:p>
      <w:pPr>
        <w:pStyle w:val="ListBullet"/>
      </w:pPr>
      <w:r/>
      <w:r>
        <w:rPr>
          <w:b/>
        </w:rPr>
        <w:t>Bismuth + antiacides / lait / produits laitiers</w:t>
      </w:r>
      <w:r>
        <w:t xml:space="preserve"> : Les antiacides, le lait et le calcium réduisent l'absorption de la tétracycline (chélation) — espacer de 2 heures.</w:t>
      </w:r>
    </w:p>
    <w:p>
      <w:pPr>
        <w:pStyle w:val="ListBullet"/>
      </w:pPr>
      <w:r/>
      <w:r>
        <w:rPr>
          <w:b/>
        </w:rPr>
        <w:t>Bismuth + anticoagulants oraux (AVK)</w:t>
      </w:r>
      <w:r>
        <w:t xml:space="preserve"> : Le subsalicylate libère du salicylate qui potentialise les AVK (déplacement de la liaison aux protéines) — surveiller l'INR.</w:t>
      </w:r>
    </w:p>
    <w:p>
      <w:pPr>
        <w:pStyle w:val="ListBullet"/>
      </w:pPr>
      <w:r/>
      <w:r>
        <w:rPr>
          <w:b/>
        </w:rPr>
        <w:t>Bismuth + méthotrexate</w:t>
      </w:r>
      <w:r>
        <w:t xml:space="preserve"> : Le salicylate réduit l'excrétion rénale du méthotrexate → toxicité — éviter.</w:t>
      </w:r>
    </w:p>
    <w:p>
      <w:pPr>
        <w:pStyle w:val="ListBullet"/>
      </w:pPr>
      <w:r/>
      <w:r>
        <w:rPr>
          <w:b/>
        </w:rPr>
        <w:t>Bismuth + lithium</w:t>
      </w:r>
      <w:r>
        <w:t xml:space="preserve"> : Le bismuth peut réduire l'excrétion du lithium (alcalinisation relative) — surveiller.</w:t>
      </w:r>
    </w:p>
    <w:p>
      <w:pPr>
        <w:pStyle w:val="ListBullet"/>
      </w:pPr>
      <w:r/>
      <w:r>
        <w:rPr>
          <w:b/>
        </w:rPr>
        <w:t>Bismuth + alcohol</w:t>
      </w:r>
      <w:r>
        <w:t xml:space="preserve"> : Le métronidazole (en quadrithérapie) provoque un effet antabuse (réaction disulfiram-like) avec l'alcool — abstinence absolue pendant et 48 h après la cure.</w:t>
      </w:r>
    </w:p>
    <w:p>
      <w:r/>
      <w:r>
        <w:rPr>
          <w:b/>
        </w:rPr>
        <w:t>Grossesse et Allaitement :</w:t>
      </w:r>
      <w:r/>
    </w:p>
    <w:p>
      <w:pPr>
        <w:pStyle w:val="ListBullet"/>
      </w:pPr>
      <w:r>
        <w:t xml:space="preserve">Grossesse : </w:t>
      </w:r>
      <w:r>
        <w:rPr>
          <w:b/>
        </w:rPr>
        <w:t>À ÉVITER</w:t>
      </w:r>
      <w:r>
        <w:t xml:space="preserve"> selon le CRAT. Le bismuth traverse la barrière fœto-placentaire et son utilisation pendant la grossesse est contre-indiquée (risque tératogène suspecté, données limitées). De plus, les quadrithérapies incluent du métronidazole (à éviter au 1er trimestre) et de la tétracycline (à éviter pendant la grossesse pour les dents et l'os fœtal). L'éradication de *H. pylori* chez la femme enceinte est reportée au post-partum, sauf indication majeure (ulcère hémorragique).</w:t>
      </w:r>
    </w:p>
    <w:p>
      <w:pPr>
        <w:pStyle w:val="ListBullet"/>
      </w:pPr>
      <w:r>
        <w:t xml:space="preserve">Allaitement : </w:t>
      </w:r>
      <w:r>
        <w:rPr>
          <w:b/>
        </w:rPr>
        <w:t>À ÉVITER</w:t>
      </w:r>
      <w:r>
        <w:t xml:space="preserve"> selon le CRAT. Le bismuth passe dans le lait maternel (concentrations non négligeables), avec risque d'accumulation chez le nourrisson (insuffisance rénale immature). De plus, la tétracycline est contre-indiquée pendant l'allaitement (coloration des dents, hypoplasie de l'émail). Suspension de l'allaitement pendant la cure et 48 h après.</w:t>
      </w:r>
    </w:p>
    <w:p>
      <w:pPr>
        <w:pStyle w:val="ListBullet"/>
      </w:pPr>
      <w:r>
        <w:t>Précisions : Chez la femme enceinte présentant un ulcère gastrique ou un pyrosis sévère, préférer les alginates (première intention), les Al/Mg (deuxième intention) ou les IPP (oméprazole — bien documenté au 2e et 3e trimestre). L'éradication de *H. pylori* chez la femme enceinte est reportée au post-partum, sauf indication majeure (ulcère hémorragique).</w:t>
      </w:r>
    </w:p>
    <w:p>
      <w:r/>
      <w:r>
        <w:rPr>
          <w:b/>
        </w:rPr>
        <w:t>Posologie et Mode d'administration (Standard) :</w:t>
      </w:r>
      <w:r/>
    </w:p>
    <w:p>
      <w:pPr>
        <w:pStyle w:val="ListBullet"/>
      </w:pPr>
      <w:r>
        <w:t>Adulte (quadrithérapie anti-*H. pylori* — Dispylori, Pylorix) : 3 gélules x 4 fois par jour (= 12 gélules/jour, après repas et au coucher) + oméprazole 20 mg x 2/jour (ou ésoméprazole 20 mg x 2/jour, ou pantoprazole 40 mg x 1/jour), pendant 10 jours (parfois 14 jours selon les recommandations). Dose totale de bismuth par jour : 1 680 mg (12 gélules x 140 mg).</w:t>
      </w:r>
    </w:p>
    <w:p>
      <w:pPr>
        <w:pStyle w:val="ListBullet"/>
      </w:pPr>
      <w:r>
        <w:t>Adulte (subsalicylate — Bismatrol) : 2 comprimés (524 mg) toutes les 30-60 minutes en cas de diarrhée, sans dépasser 8 doses (16 comprimés = 4 192 mg) en 24 heures ; durée maximale 2 jours.</w:t>
      </w:r>
    </w:p>
    <w:p>
      <w:pPr>
        <w:pStyle w:val="ListBullet"/>
      </w:pPr>
      <w:r>
        <w:t>Adulte (prévention diarrhée du voyageur) : 2 comprimés x 4/jour pendant toute la durée du séjour (à éviter au-delà de 3 semaines).</w:t>
      </w:r>
    </w:p>
    <w:p>
      <w:pPr>
        <w:pStyle w:val="ListBullet"/>
      </w:pPr>
      <w:r>
        <w:t xml:space="preserve">Enfant &gt; 6 ans (subsalicylate) : Adaptation selon le poids (1,5 mL ou 1/3 comprimé par 10 kg, x 4/jour). </w:t>
      </w:r>
      <w:r>
        <w:rPr>
          <w:b/>
        </w:rPr>
        <w:t>Contre-indication absolue chez l'enfant fébrile</w:t>
      </w:r>
      <w:r>
        <w:t xml:space="preserve"> (syndrome de Reye).</w:t>
      </w:r>
    </w:p>
    <w:p>
      <w:pPr>
        <w:pStyle w:val="ListBullet"/>
      </w:pPr>
      <w:r>
        <w:t>Enfant (quadrithérapie) : Non recommandé avant 12 ans.</w:t>
      </w:r>
    </w:p>
    <w:p>
      <w:pPr>
        <w:pStyle w:val="ListBullet"/>
      </w:pPr>
      <w:r>
        <w:t>Sujet âgé : Surveillance de la fonction rénale préalable obligatoire.</w:t>
      </w:r>
    </w:p>
    <w:p>
      <w:pPr>
        <w:pStyle w:val="ListBullet"/>
      </w:pPr>
      <w:r>
        <w:t>Durée : Quadrithérapie — 10-14 jours (jamais au-delà) ; diarrhée — 2 jours maximum ; prévention diarrhée voyageur — durée du séjour (max 3 semaines).</w:t>
      </w:r>
    </w:p>
    <w:p>
      <w:pPr>
        <w:pStyle w:val="ListBullet"/>
      </w:pPr>
      <w:r>
        <w:t>Moment de la prise : Quadrithérapie — après les 3 repas principaux et au coucher (4 prises) ; subsali-cylate — au moment des symptômes, espacer les prises de 30-60 min.</w:t>
      </w:r>
    </w:p>
    <w:p>
      <w:r/>
      <w:r>
        <w:rPr>
          <w:b/>
        </w:rPr>
        <w:t>Arbitrage et Bénéfices des Formes Galéniques :</w:t>
      </w:r>
      <w:r/>
    </w:p>
    <w:p>
      <w:pPr>
        <w:pStyle w:val="ListBullet"/>
      </w:pPr>
      <w:r>
        <w:t>Gélules (quadrithérapies Dispylori, Pylorix) : Forme pratique combinant 3 DCI en une seule prise, observance facilitée. Boîte de 120 gélules correspondant à une cure complète de 10 jours (12 gélules/jour x 10 jours). La galénique protège la tétracycline de la lumière et de l'humidité.</w:t>
      </w:r>
    </w:p>
    <w:p>
      <w:pPr>
        <w:pStyle w:val="ListBullet"/>
      </w:pPr>
      <w:r>
        <w:t>Comprimés (Bismatrol subsali-cylate) : Forme simple pour usage ponctuel de la diarrhée.</w:t>
      </w:r>
    </w:p>
    <w:p>
      <w:pPr>
        <w:pStyle w:val="ListBullet"/>
      </w:pPr>
      <w:r>
        <w:t>Formes rectales (Anusol, Rectosan-A — retirées) : Historiquement utilisées pour les hémorroïdes et fissures anales, aujourd'hui supplantées par les associations corticoïdes-anesthésiques locaux (non couvertes dans ce chapitre).</w:t>
      </w:r>
    </w:p>
    <w:p>
      <w:pPr>
        <w:pStyle w:val="ListBullet"/>
      </w:pPr>
      <w:r>
        <w:t>Choix : Pour éradication *H. pylori* → quadrithérapie pré-combinée (Dispylori ou Pylorix) + IPP séparé ; pour diarrhée aiguë → subsalicylate (Bismatrol) en alternative au lopéramide.</w:t>
      </w:r>
    </w:p>
    <w:p>
      <w:r/>
      <w:r>
        <w:rPr>
          <w:b/>
        </w:rPr>
        <w:t>Instructions et Conseils au Patient :</w:t>
      </w:r>
      <w:r/>
    </w:p>
    <w:p>
      <w:pPr>
        <w:pStyle w:val="ListBullet"/>
      </w:pPr>
      <w:r>
        <w:t xml:space="preserve">Communication au comptoir : "Ce traitement pour éradiquer la bactérie *Helicobacter pylori* de votre estomac dure 10 jours et associe 3 antibiotiques (bismuth + métronidazole + tétracycline) et un IPP (oméprazole). Prenez les gélules après les repas et au coucher, et l'oméprazole 30 minutes avant le petit-déjeuner et le dîner. </w:t>
      </w:r>
      <w:r>
        <w:rPr>
          <w:b/>
        </w:rPr>
        <w:t>Ne buvez pas d'alcool</w:t>
      </w:r>
      <w:r>
        <w:t xml:space="preserve"> pendant le traitement et 48 h après (le métronidazole provoque des réactions désagréables avec l'alcool : maux de tête, nausées, bouffées de chaleur). Vos selles et votre langue vont devenir noires pendant le traitement — c'est normal et disparaît à l'arrêt. Si vous prenez d'autres médicaments (anticoagulants, méthotrexate), prévenez votre médecin. Respectez bien les 10 jours, même si vous vous sentez mieux avant la fin."</w:t>
      </w:r>
    </w:p>
    <w:p>
      <w:pPr>
        <w:pStyle w:val="ListBullet"/>
      </w:pPr>
      <w:r>
        <w:t>Mode d'utilisation pratique : Prendre les gélules avec un grand verre d'eau ; éviter les produits laitiers et antiacides dans les 2 heures entourant la prise de la tétracycline (chélation) ; en cas d'oubli d'une prise, la prendre dès que possible mais ne pas doubler la suivante ; conservation à température ambiante &lt; 25 °C, à l'abri de la lumière et de l'humidité.</w:t>
      </w:r>
    </w:p>
    <w:p>
      <w:r/>
      <w:r>
        <w:rPr>
          <w:b/>
        </w:rPr>
        <w:t>Notes, Règles d'Or &amp; Pièges au Comptoir :</w:t>
      </w:r>
      <w:r/>
    </w:p>
    <w:p>
      <w:pPr>
        <w:pStyle w:val="ListBullet"/>
      </w:pPr>
      <w:r>
        <w:t xml:space="preserve">Piège classique : Le patient inquiet qui appelle après 2 jours de traitement "j'ai les selles et la langue noires !" — il faut </w:t>
      </w:r>
      <w:r>
        <w:rPr>
          <w:b/>
        </w:rPr>
        <w:t>rassurer</w:t>
      </w:r>
      <w:r>
        <w:t xml:space="preserve"> : c'est un effet normal du bismuth (formation de sulfure de bismuth), sans gravité, disparaissant à l'arrêt du traitement. Beaucoup de patients arrêtent le traitement prématurément par méconnaissance de cet effet, ce qui compromet l'éradication de *H. pylori*.</w:t>
      </w:r>
    </w:p>
    <w:p>
      <w:pPr>
        <w:pStyle w:val="ListBullet"/>
      </w:pPr>
      <w:r>
        <w:t xml:space="preserve">Règle de prise : </w:t>
      </w:r>
      <w:r>
        <w:rPr>
          <w:b/>
        </w:rPr>
        <w:t>Quadrithérapie — 3 gélules x 4/jour + IPP, pendant 10 jours stricts ; pas d'alcool pendant et 48 h après ; ne pas interrompre.</w:t>
      </w:r>
      <w:r/>
    </w:p>
    <w:p>
      <w:pPr>
        <w:pStyle w:val="ListBullet"/>
      </w:pPr>
      <w:r>
        <w:t>Préparation et Conservation : Gélules à conserver à température ambiante &lt; 25 °C, à l'abri de la lumière et de l'humidité (la tétracycline s'oxyde et devient toxique — syndrome de Fanconi — en cas de conservation prolongée dans l'humidité et la chaleur).</w:t>
      </w:r>
    </w:p>
    <w:p>
      <w:pPr>
        <w:pStyle w:val="ListBullet"/>
      </w:pPr>
      <w:r>
        <w:t>Piège du surdosage / Substitution : En IRC, accumulation du bismuth → encéphalopathie bismuthique → contrôle fonction rénale avant instauration. Chez l'enfant fébrile, le subsalicylate peut provoquer un syndrome de Reye → contre-indication absolue. Chez la femme enceinte, contre-indication absolue (terratogénicité suspectée + métronidazole + tétracycline). En cas d'échec de la quadrithérapie (éradication non obtenue), ne pas répéter la même cure — alternative : IPP + amoxicilline + lévofloxacine (trithérapie de sauvetage), après antibiogramme si possible.</w:t>
      </w:r>
    </w:p>
    <w:p>
      <w:pPr>
        <w:pStyle w:val="Heading3"/>
      </w:pPr>
      <w:r>
        <w:t>9. DCI : Alvérine + Siméticone (En Association)</w:t>
      </w:r>
    </w:p>
    <w:p>
      <w:r/>
      <w:r>
        <w:rPr>
          <w:b/>
        </w:rPr>
        <w:t>Liste des Catégories :</w:t>
      </w:r>
      <w:r>
        <w:t xml:space="preserve"> Associations antiacides + antispasmodiques ; accès libre ; indiquées dans les troubles fonctionnels intestinaux (colon irritable) avec composante douloureuse et ballonnements.</w:t>
      </w:r>
    </w:p>
    <w:p>
      <w:r>
        <w:t xml:space="preserve">L'association alvérine + siméticone combine un </w:t>
      </w:r>
      <w:r>
        <w:rPr>
          <w:b/>
        </w:rPr>
        <w:t>antispasmodique musculotrope non atropinique</w:t>
      </w:r>
      <w:r>
        <w:t xml:space="preserve"> (alvérine) avec un </w:t>
      </w:r>
      <w:r>
        <w:rPr>
          <w:b/>
        </w:rPr>
        <w:t>carminatif tensioactif</w:t>
      </w:r>
      <w:r>
        <w:t xml:space="preserve"> (siméticone) pour couvrir les troubles fonctionnels intestinaux mixtes : spasmes douloureux + ballonnements + météorisme. L'alvérine (citrate ou chlorhydrate, dérivée de la phénéthylamine) agit directement sur le muscle lisse digestif par inhibition de la contraction, indépendamment des récepteurs cholinergiques ou adrénergiques. Elle est dénuée d'effets anticholinergiques centraux ou périphériques (pas de sécheresse buccale, troubles visuels, rétention urinaire), ce qui en fait une option de choix chez le sujet âgé et en cas de prostate adénomateuse.</w:t>
      </w:r>
    </w:p>
    <w:p>
      <w:r/>
      <w:r>
        <w:rPr>
          <w:b/>
        </w:rPr>
        <w:t>Médicaments disponibles en Algérie (Marques, Laboratoires, Formes et Dosages) :</w:t>
      </w:r>
      <w:r/>
    </w:p>
    <w:p>
      <w:pPr>
        <w:pStyle w:val="ListBullet"/>
      </w:pPr>
      <w:r/>
      <w:r>
        <w:rPr>
          <w:b/>
        </w:rPr>
        <w:t>MÉTÉOSPASMYL</w:t>
      </w:r>
      <w:r>
        <w:t xml:space="preserve"> (MAYOLY SPINDLER ALGERIE)</w:t>
      </w:r>
    </w:p>
    <w:p>
      <w:pPr>
        <w:pStyle w:val="ListBullet"/>
      </w:pPr>
      <w:r>
        <w:t>Formes et Dosages : Capsule molle — Alvérine 60 mg + Siméticone 300 mg — Boîtes de 20 et 40 capsules</w:t>
      </w:r>
    </w:p>
    <w:p>
      <w:pPr>
        <w:pStyle w:val="ListBullet"/>
      </w:pPr>
      <w:r>
        <w:t>Statut : Actif (princeps français)</w:t>
      </w:r>
    </w:p>
    <w:p>
      <w:pPr>
        <w:pStyle w:val="ListBullet"/>
      </w:pPr>
      <w:r/>
      <w:r>
        <w:rPr>
          <w:b/>
        </w:rPr>
        <w:t>ROVASPASMYL</w:t>
      </w:r>
      <w:r>
        <w:t xml:space="preserve"> (LABORATOIRES ROVAC)</w:t>
      </w:r>
    </w:p>
    <w:p>
      <w:pPr>
        <w:pStyle w:val="ListBullet"/>
      </w:pPr>
      <w:r>
        <w:t>Formes et Dosages : Capsule molle — Alvérine 60 mg + Siméticone 300 mg — Boîte de 20</w:t>
      </w:r>
    </w:p>
    <w:p>
      <w:pPr>
        <w:pStyle w:val="ListBullet"/>
      </w:pPr>
      <w:r>
        <w:t>Statut : Actif (générique local)</w:t>
      </w:r>
    </w:p>
    <w:p>
      <w:pPr>
        <w:pStyle w:val="ListBullet"/>
      </w:pPr>
      <w:r/>
      <w:r>
        <w:rPr>
          <w:b/>
        </w:rPr>
        <w:t>BIOSPASMYL</w:t>
      </w:r>
      <w:r>
        <w:t xml:space="preserve"> (BIOLOGIE ET VITAMINE D'ALGERIE BIOVITAL)</w:t>
      </w:r>
    </w:p>
    <w:p>
      <w:pPr>
        <w:pStyle w:val="ListBullet"/>
      </w:pPr>
      <w:r>
        <w:t>Formes et Dosages : Capsule molle — Alvérine 60 mg + Siméticone 300 mg — Boîte de 40</w:t>
      </w:r>
    </w:p>
    <w:p>
      <w:pPr>
        <w:pStyle w:val="ListBullet"/>
      </w:pPr>
      <w:r>
        <w:t>Statut : Actif (générique local)</w:t>
      </w:r>
    </w:p>
    <w:p>
      <w:r/>
      <w:r>
        <w:rPr>
          <w:b/>
        </w:rPr>
        <w:t>Sous-classe et Mécanisme d'action :</w:t>
      </w:r>
      <w:r/>
    </w:p>
    <w:p>
      <w:pPr>
        <w:pStyle w:val="ListBullet"/>
      </w:pPr>
      <w:r>
        <w:t>Sous-classe : Antispasmodique musculotrope + carminatif — combinaison pour les troubles fonctionnels digestifs mixtes (douleur spasmodique + météorisme).</w:t>
      </w:r>
    </w:p>
    <w:p>
      <w:pPr>
        <w:pStyle w:val="ListBullet"/>
      </w:pPr>
      <w:r>
        <w:t xml:space="preserve">Mécanisme d'action : </w:t>
      </w:r>
      <w:r>
        <w:rPr>
          <w:b/>
        </w:rPr>
        <w:t>(1) Alvérine</w:t>
      </w:r>
      <w:r>
        <w:t xml:space="preserve"> — antispasmodique musculotrope agissant directement sur le muscle lisse digestif par inhibition de l'influx calcique (blocage des canaux calciques voltage-dépendants) et inhibition de la phosphodiestérale (PDE) → augmentation de l'AMPc intracellulaire → relaxation musculaire. L'alvérine inhibe les contractions spontanées et provoquées (par la prostaglandine F2α, la carbécol, le baryum, la pilocarpine) du muscle lisse digestif. Elle est dénuée d'effets atropiniques (pas de blocage des récepteurs muscariniques M1-M5) → pas de sécheresse buccale, troubles visuels, tachycardie, rétention urinaire. </w:t>
      </w:r>
      <w:r>
        <w:rPr>
          <w:b/>
        </w:rPr>
        <w:t>(2) Siméticone</w:t>
      </w:r>
      <w:r>
        <w:t xml:space="preserve"> — tensioactif non ionique (polydiméthylsiloxane + dioxyde de silice) qui abaisse la tension superficielle des bulles de gaz digestives, provoquant leur coalescence en macrobulles évacuées par éructation ou absorption colique (voir fiche siméticone). L'association est synergique : l'alvérine relâche le spasme, la siméticone évacue les gaz. Aucun des deux composants n'est absorbé de manière significative (l'alvérine est absorbée mais rapidement métabolisée, la siméticone n'est pas absorbée).</w:t>
      </w:r>
    </w:p>
    <w:p>
      <w:r/>
      <w:r>
        <w:rPr>
          <w:b/>
        </w:rPr>
        <w:t>Profil Pharmacologique :</w:t>
      </w:r>
      <w:r/>
    </w:p>
    <w:p>
      <w:pPr>
        <w:pStyle w:val="ListBullet"/>
      </w:pPr>
      <w:r>
        <w:t>Indications : Traitement symptomatique des douleurs spasmodiques de l'intestin, des voies biliaires et de l'utérus ; troubles fonctionnels intestinaux (TFI) avec composante douloureuse et ballonnements ; syndrome de l'intestin irritable (SII) selon les critères de Rome IV (douleur abdominale récurrente au moins 1 jour/semaine dans les 3 derniers mois, associée à 2 ou plus : modification de la fréquence des selles, modification de la consistance des selles, soulagement par la défécation) ; dyspepsie fonctionnelle avec météorisme ; ballonnements post-prandiaux ; aérophagie ; aécolie prémenstruelle.</w:t>
      </w:r>
    </w:p>
    <w:p>
      <w:pPr>
        <w:pStyle w:val="ListBullet"/>
      </w:pPr>
      <w:r>
        <w:t>Contre-indications : Hypersensibilité à l'un des composants ; enfant &lt; 12 ans (forme capsule adulte, sauf prescription) ; obstruction intestinale (la siméticone pourrait aggraver la distension colique en amont d'un obstacle) ; antécédent de réaction allergique aux dérivés de la phénéthylamine.</w:t>
      </w:r>
    </w:p>
    <w:p>
      <w:pPr>
        <w:pStyle w:val="ListBullet"/>
      </w:pPr>
      <w:r>
        <w:t>Effets Indésirables : Très rares et bénins — réactions d'hypersensibilité (urticaire, prurit, éruption, très rarement œdème de Quincke), céphalées, nausées. Aucun effet anticholinergique (pas de sécheresse buccale, troubles visuels, rétention urinaire, tachycardie, constipation) — c'est l'avantage majeur de l'alvérine sur les antispasmodiques atropiniques (Météospasmyl est prescriptible chez le sujet âgé et le patient avec prostate adénomateuse ou glaucome).</w:t>
      </w:r>
    </w:p>
    <w:p>
      <w:r/>
      <w:r>
        <w:rPr>
          <w:b/>
        </w:rPr>
        <w:t>Prévention et Gestion des Effets Indésirables :</w:t>
      </w:r>
      <w:r/>
    </w:p>
    <w:p>
      <w:pPr>
        <w:pStyle w:val="ListBullet"/>
      </w:pPr>
      <w:r>
        <w:t>Mesures Préventives : Prendre au moment des repas pour optimiser l'effet sur les symptômes post-prandiaux ; limiter l'usage à 2-4 semaines en automédication ; associer à des mesures hygiéno-diététiques (régime pauvre en FODMAPs, mastication lente, activité physique, gestion du stress — le SII est aggravé par le stress).</w:t>
      </w:r>
    </w:p>
    <w:p>
      <w:pPr>
        <w:pStyle w:val="ListBullet"/>
      </w:pPr>
      <w:r>
        <w:t>Conduite à Tenir : En cas de persistance des symptômes après 2-4 semaines de traitement bien conduit, orientation médicale pour explorer : NFS, CRP, calprotectine fécale (éliminer une MICI), sérologie maladie cœliaque, test respiratoire à l'hydrogène (SIBO, intolérance au lactose). En cas de signes d'alarme (rectorragie, amaigrissement, fièvre, syndrome tumoral, anémie, douleurs nocturnes), consultation urgente.</w:t>
      </w:r>
    </w:p>
    <w:p>
      <w:r/>
      <w:r>
        <w:rPr>
          <w:b/>
        </w:rPr>
        <w:t>Interactions Importantes :</w:t>
      </w:r>
      <w:r/>
    </w:p>
    <w:p>
      <w:pPr>
        <w:pStyle w:val="ListBullet"/>
      </w:pPr>
      <w:r/>
      <w:r>
        <w:rPr>
          <w:b/>
        </w:rPr>
        <w:t>Alvérine + lévothyroxine</w:t>
      </w:r>
      <w:r>
        <w:t xml:space="preserve"> : Réduction possible de l'absorption de la lévothyroxine par la siméticone — espacer 2 heures.</w:t>
      </w:r>
    </w:p>
    <w:p>
      <w:pPr>
        <w:pStyle w:val="ListBullet"/>
      </w:pPr>
      <w:r/>
      <w:r>
        <w:rPr>
          <w:b/>
        </w:rPr>
        <w:t>Alvérine + anticoagulants oraux</w:t>
      </w:r>
      <w:r>
        <w:t xml:space="preserve"> : Modification théorique de l'absorption (controversé) — surveiller l'INR.</w:t>
      </w:r>
    </w:p>
    <w:p>
      <w:pPr>
        <w:pStyle w:val="ListBullet"/>
      </w:pPr>
      <w:r/>
      <w:r>
        <w:rPr>
          <w:b/>
        </w:rPr>
        <w:t>Alvérine + autres antispasmodiques</w:t>
      </w:r>
      <w:r>
        <w:t xml:space="preserve"> : Pas d'association recommandée (redondance pharmacologique).</w:t>
      </w:r>
    </w:p>
    <w:p>
      <w:pPr>
        <w:pStyle w:val="ListBullet"/>
      </w:pPr>
      <w:r>
        <w:t>La siméticone ne présente pas d'interactions significatives (absence d'absorption systémique).</w:t>
      </w:r>
    </w:p>
    <w:p>
      <w:r/>
      <w:r>
        <w:rPr>
          <w:b/>
        </w:rPr>
        <w:t>Grossesse et Allaitement :</w:t>
      </w:r>
      <w:r/>
    </w:p>
    <w:p>
      <w:pPr>
        <w:pStyle w:val="ListBullet"/>
      </w:pPr>
      <w:r>
        <w:t xml:space="preserve">Grossesse : </w:t>
      </w:r>
      <w:r>
        <w:rPr>
          <w:b/>
        </w:rPr>
        <w:t>À utiliser avec prudence</w:t>
      </w:r>
      <w:r>
        <w:t xml:space="preserve"> selon le CRAT — les données sur l'alvérine sont limitées mais rassurantes (pas d'effet tératogène rapporté chez l'animal, données cliniques humaines limitées mais sans signal). Préférer néanmoins les alternatives mieux documentées (Al/Mg, alginates) pour les symptômes digestifs pendant la grossesse, et réserver l'alvérine/siméticone aux cas où la composante spasmodique est nette et les alternatives inefficaces. À éviter au 1er trimestre par principe de précaution.</w:t>
      </w:r>
    </w:p>
    <w:p>
      <w:pPr>
        <w:pStyle w:val="ListBullet"/>
      </w:pPr>
      <w:r>
        <w:t xml:space="preserve">Allaitement : </w:t>
      </w:r>
      <w:r>
        <w:rPr>
          <w:b/>
        </w:rPr>
        <w:t>À utiliser avec prudence</w:t>
      </w:r>
      <w:r>
        <w:t xml:space="preserve"> selon le CRAT — passage de l'alvérine dans le lait maternel non documenté, mais la siméticone n'est pas absorbée (sécurité OK pour ce composant). Préférer les alternatives simples pendant l'allaitement.</w:t>
      </w:r>
    </w:p>
    <w:p>
      <w:pPr>
        <w:pStyle w:val="ListBullet"/>
      </w:pPr>
      <w:r>
        <w:t>Précisions : Pour les douleurs spasmodiques pendant la grossesse, préférer le paracétamol (première intention), puis les antispasmodiques mieux documentés (phloroglucinol) avant l'alvérine.</w:t>
      </w:r>
    </w:p>
    <w:p>
      <w:r/>
      <w:r>
        <w:rPr>
          <w:b/>
        </w:rPr>
        <w:t>Posologie et Mode d'administration (Standard) :</w:t>
      </w:r>
      <w:r/>
    </w:p>
    <w:p>
      <w:pPr>
        <w:pStyle w:val="ListBullet"/>
      </w:pPr>
      <w:r>
        <w:t>Adulte : 1 capsule molle 2 à 3 fois par jour au moment des repas. Dose maximale : 3 capsules/jour (180 mg alvérine + 900 mg siméticone).</w:t>
      </w:r>
    </w:p>
    <w:p>
      <w:pPr>
        <w:pStyle w:val="ListBullet"/>
      </w:pPr>
      <w:r>
        <w:t>Enfant &gt; 12 ans : 1 capsule 2 fois par jour.</w:t>
      </w:r>
    </w:p>
    <w:p>
      <w:pPr>
        <w:pStyle w:val="ListBullet"/>
      </w:pPr>
      <w:r>
        <w:t>Sujet âgé : Pas d'adaptation posologique (profil de sécurité favorable).</w:t>
      </w:r>
    </w:p>
    <w:p>
      <w:pPr>
        <w:pStyle w:val="ListBullet"/>
      </w:pPr>
      <w:r>
        <w:t>Durée : Automédication limitée à 2-4 semaines ; au-delà, consultation médicale pour confirmation diagnostique (SII selon Rome IV) et élimination d'une pathologie organique.</w:t>
      </w:r>
    </w:p>
    <w:p>
      <w:pPr>
        <w:pStyle w:val="ListBullet"/>
      </w:pPr>
      <w:r>
        <w:t>Moment de la prise : Au moment des repas (matin, midi, soir) pour optimiser l'effet sur les symptômes post-prandiaux. Espacer 2 heures de la lévothyroxine ou des autres médicaments oraux à marge étroite.</w:t>
      </w:r>
    </w:p>
    <w:p>
      <w:r/>
      <w:r>
        <w:rPr>
          <w:b/>
        </w:rPr>
        <w:t>Arbitrage et Bénéfices des Formes Galéniques :</w:t>
      </w:r>
      <w:r/>
    </w:p>
    <w:p>
      <w:pPr>
        <w:pStyle w:val="ListBullet"/>
      </w:pPr>
      <w:r>
        <w:t>Capsules molles : Seule forme disponible. Action rapide ( dissolution gastrique en 15-30 minutes), dosage unitaire précis (60 mg alvérine + 300 mg siméticone), observance facilitée. Les capsules molles masquent le goût désagréable de la siméticone pure et protègent la siméticone de l'humidité.</w:t>
      </w:r>
    </w:p>
    <w:p>
      <w:pPr>
        <w:pStyle w:val="ListBullet"/>
      </w:pPr>
      <w:r>
        <w:t>Boîte de 20 vs 40 : Format 20 = cure d'essai de 7-10 jours ; format 40 = cure complète de 2-3 semaines.</w:t>
      </w:r>
    </w:p>
    <w:p>
      <w:pPr>
        <w:pStyle w:val="ListBullet"/>
      </w:pPr>
      <w:r>
        <w:t>Choix : Météospasmyl (princeps, plus cher), Rovaspasmyl et Biospasmyl (génériques locaux, économiquement plus accessibles) — bioéquivalence démontrée, substitution possible.</w:t>
      </w:r>
    </w:p>
    <w:p>
      <w:r/>
      <w:r>
        <w:rPr>
          <w:b/>
        </w:rPr>
        <w:t>Instructions et Conseils au Patient :</w:t>
      </w:r>
      <w:r/>
    </w:p>
    <w:p>
      <w:pPr>
        <w:pStyle w:val="ListBullet"/>
      </w:pPr>
      <w:r>
        <w:t>Communication au comptoir : "Ce médicament associe un antispasmodique (contre les douleurs de spasmes) et un carminatif (contre les ballonnements). Prenez-le au moment des repas, 2 à 3 fois par jour. Pour les troubles fonctionnels intestinaux (colon irritable), il est important d'associer des mesures diététiques : limitez les aliments qui donnent des gaz (choux, légumes secs, oignons, produits laitiers si intolérance au lactose), mangez lentement, faites de l'activité physique régulière. Si vous êtes stressé, des techniques de relaxation peuvent aider. Si les symptômes persistent au-delà de 3 semaines, ou si vous avez du sang dans les selles, de la fièvre, ou une perte de poids, consultez votre médecin."</w:t>
      </w:r>
    </w:p>
    <w:p>
      <w:pPr>
        <w:pStyle w:val="ListBullet"/>
      </w:pPr>
      <w:r>
        <w:t>Mode d'utilisation pratique : Avaler la capsule avec un grand verre d'eau au moment des repas ; ne pas croquer ni ouvrir la capsule ; en cas d'oubli d'une prise, la prendre dès que possible mais ne pas doubler la suivante ; conservation à température ambiante &lt; 25 °C, à l'abri de l'humidité.</w:t>
      </w:r>
    </w:p>
    <w:p>
      <w:r/>
      <w:r>
        <w:rPr>
          <w:b/>
        </w:rPr>
        <w:t>Notes, Règles d'Or &amp; Pièges au Comptoir :</w:t>
      </w:r>
      <w:r/>
    </w:p>
    <w:p>
      <w:pPr>
        <w:pStyle w:val="ListBullet"/>
      </w:pPr>
      <w:r>
        <w:t xml:space="preserve">Piège classique : Le patient qui vient acheter Météospasmyl pour la "énième fois" sans jamais consulter — il faut </w:t>
      </w:r>
      <w:r>
        <w:rPr>
          <w:b/>
        </w:rPr>
        <w:t>détecter les signes d'alarme</w:t>
      </w:r>
      <w:r>
        <w:t xml:space="preserve"> (rectorragie, amaigrissement, fièvre, douleurs nocturnes, anémie, syndrome tumoral) et orienter vers le médecin pour explorer (coloscopie, bilan biologique). Le SII est un diagnostic d'élimination — il ne peut être retenu qu'après avoir éliminé une pathologie organique.</w:t>
      </w:r>
    </w:p>
    <w:p>
      <w:pPr>
        <w:pStyle w:val="ListBullet"/>
      </w:pPr>
      <w:r>
        <w:t xml:space="preserve">Règle de prise : </w:t>
      </w:r>
      <w:r>
        <w:rPr>
          <w:b/>
        </w:rPr>
        <w:t>Au moment des repas ; 2-3 fois/jour ; limiter à 2-4 semaines en automédication.</w:t>
      </w:r>
      <w:r/>
    </w:p>
    <w:p>
      <w:pPr>
        <w:pStyle w:val="ListBullet"/>
      </w:pPr>
      <w:r>
        <w:t>Préparation et Conservation : Capsules à conserver à température ambiante &lt; 25 °C, à l'abri de l'humidité et de la lumière (les capsules molles sont sensibles à la déshydratation).</w:t>
      </w:r>
    </w:p>
    <w:p>
      <w:pPr>
        <w:pStyle w:val="ListBullet"/>
      </w:pPr>
      <w:r>
        <w:t>Piège du surdosage / Substitution : Le profil de sécurité de l'alvérine (absence d'effets anticholinergiques) en fait un antispasmodique de choix chez le sujet âgé polymédiqué, le patient avec prostate adénomateuse ou glaucome (où les anticholinergiques sont contre-indiqués). Préférer Météospasmyl aux antispasmodiques atropiniques (type Spasfon, Viscéralgine) dans ces populations.</w:t>
      </w:r>
    </w:p>
    <w:p>
      <w:pPr>
        <w:pStyle w:val="Heading2"/>
      </w:pPr>
      <w:r>
        <w:t>TABLEAU COMPARATIF SYNTHÉTIQUE</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w:t>
            </w:r>
          </w:p>
        </w:tc>
        <w:tc>
          <w:tcPr>
            <w:tcW w:type="dxa" w:w="1336"/>
          </w:tcPr>
          <w:p>
            <w:r>
              <w:rPr>
                <w:b/>
                <w:sz w:val="20"/>
              </w:rPr>
              <w:t>Posologie standard</w:t>
            </w:r>
          </w:p>
        </w:tc>
        <w:tc>
          <w:tcPr>
            <w:tcW w:type="dxa" w:w="1336"/>
          </w:tcPr>
          <w:p>
            <w:r>
              <w:rPr>
                <w:b/>
                <w:sz w:val="20"/>
              </w:rPr>
              <w:t>EI majeur</w:t>
            </w:r>
          </w:p>
        </w:tc>
        <w:tc>
          <w:tcPr>
            <w:tcW w:type="dxa" w:w="1336"/>
          </w:tcPr>
          <w:p>
            <w:r>
              <w:rPr>
                <w:b/>
                <w:sz w:val="20"/>
              </w:rPr>
              <w:t>CI principale</w:t>
            </w:r>
          </w:p>
        </w:tc>
        <w:tc>
          <w:tcPr>
            <w:tcW w:type="dxa" w:w="1336"/>
          </w:tcPr>
          <w:p>
            <w:r>
              <w:rPr>
                <w:b/>
                <w:sz w:val="20"/>
              </w:rPr>
              <w:t>Grossesse</w:t>
            </w:r>
          </w:p>
        </w:tc>
      </w:tr>
      <w:tr>
        <w:tc>
          <w:tcPr>
            <w:tcW w:type="dxa" w:w="1336"/>
          </w:tcPr>
          <w:p>
            <w:r>
              <w:rPr>
                <w:sz w:val="20"/>
              </w:rPr>
              <w:t>Acide alginique + bicarbonate de Na ± carbonate Ca</w:t>
            </w:r>
          </w:p>
        </w:tc>
        <w:tc>
          <w:tcPr>
            <w:tcW w:type="dxa" w:w="1336"/>
          </w:tcPr>
          <w:p>
            <w:r>
              <w:rPr>
                <w:sz w:val="20"/>
              </w:rPr>
              <w:t>Antiacides et alginates (reflux)</w:t>
            </w:r>
          </w:p>
        </w:tc>
        <w:tc>
          <w:tcPr>
            <w:tcW w:type="dxa" w:w="1336"/>
          </w:tcPr>
          <w:p>
            <w:r>
              <w:rPr>
                <w:sz w:val="20"/>
              </w:rPr>
              <w:t>Gel flottant + neutralisation acide ; barrière anti-reflux</w:t>
            </w:r>
          </w:p>
        </w:tc>
        <w:tc>
          <w:tcPr>
            <w:tcW w:type="dxa" w:w="1336"/>
          </w:tcPr>
          <w:p>
            <w:r>
              <w:rPr>
                <w:sz w:val="20"/>
              </w:rPr>
              <w:t>10 mL suspension ou 1-2 cp x 3-4/j après repas + coucher</w:t>
            </w:r>
          </w:p>
        </w:tc>
        <w:tc>
          <w:tcPr>
            <w:tcW w:type="dxa" w:w="1336"/>
          </w:tcPr>
          <w:p>
            <w:r>
              <w:rPr>
                <w:sz w:val="20"/>
              </w:rPr>
              <w:t>Ballonnements par CO₂, constipation/diarrhée légère</w:t>
            </w:r>
          </w:p>
        </w:tc>
        <w:tc>
          <w:tcPr>
            <w:tcW w:type="dxa" w:w="1336"/>
          </w:tcPr>
          <w:p>
            <w:r>
              <w:rPr>
                <w:sz w:val="20"/>
              </w:rPr>
              <w:t>IRC sévère (carbonate Ca), enfant &lt; 2 ans</w:t>
            </w:r>
          </w:p>
        </w:tc>
        <w:tc>
          <w:tcPr>
            <w:tcW w:type="dxa" w:w="1336"/>
          </w:tcPr>
          <w:p>
            <w:r>
              <w:rPr>
                <w:sz w:val="20"/>
              </w:rPr>
              <w:t>Compatibles (CRAT), 1re intention RGO gravidique</w:t>
            </w:r>
          </w:p>
        </w:tc>
      </w:tr>
      <w:tr>
        <w:tc>
          <w:tcPr>
            <w:tcW w:type="dxa" w:w="1336"/>
          </w:tcPr>
          <w:p>
            <w:r>
              <w:rPr>
                <w:sz w:val="20"/>
              </w:rPr>
              <w:t>Hydroxyde Al + Hydroxyde Mg</w:t>
            </w:r>
          </w:p>
        </w:tc>
        <w:tc>
          <w:tcPr>
            <w:tcW w:type="dxa" w:w="1336"/>
          </w:tcPr>
          <w:p>
            <w:r>
              <w:rPr>
                <w:sz w:val="20"/>
              </w:rPr>
              <w:t>Combinaisons Al/Mg</w:t>
            </w:r>
          </w:p>
        </w:tc>
        <w:tc>
          <w:tcPr>
            <w:tcW w:type="dxa" w:w="1336"/>
          </w:tcPr>
          <w:p>
            <w:r>
              <w:rPr>
                <w:sz w:val="20"/>
              </w:rPr>
              <w:t>Neutralisation acide stoichiométrique ; Al constipant + Mg laxatif</w:t>
            </w:r>
          </w:p>
        </w:tc>
        <w:tc>
          <w:tcPr>
            <w:tcW w:type="dxa" w:w="1336"/>
          </w:tcPr>
          <w:p>
            <w:r>
              <w:rPr>
                <w:sz w:val="20"/>
              </w:rPr>
              <w:t>1 sachet ou 15 mL ou 1-2 cp x 3-4/j après repas + coucher</w:t>
            </w:r>
          </w:p>
        </w:tc>
        <w:tc>
          <w:tcPr>
            <w:tcW w:type="dxa" w:w="1336"/>
          </w:tcPr>
          <w:p>
            <w:r>
              <w:rPr>
                <w:sz w:val="20"/>
              </w:rPr>
              <w:t>Al : constipation, hypophosphatémie ; Mg : diarrhée, hypermagnésémie (IRC)</w:t>
            </w:r>
          </w:p>
        </w:tc>
        <w:tc>
          <w:tcPr>
            <w:tcW w:type="dxa" w:w="1336"/>
          </w:tcPr>
          <w:p>
            <w:r>
              <w:rPr>
                <w:sz w:val="20"/>
              </w:rPr>
              <w:t>IRC sévère ; hypophosphatémie</w:t>
            </w:r>
          </w:p>
        </w:tc>
        <w:tc>
          <w:tcPr>
            <w:tcW w:type="dxa" w:w="1336"/>
          </w:tcPr>
          <w:p>
            <w:r>
              <w:rPr>
                <w:sz w:val="20"/>
              </w:rPr>
              <w:t>Compatibles (CRAT), à préférer au bicarbonate</w:t>
            </w:r>
          </w:p>
        </w:tc>
      </w:tr>
      <w:tr>
        <w:tc>
          <w:tcPr>
            <w:tcW w:type="dxa" w:w="1336"/>
          </w:tcPr>
          <w:p>
            <w:r>
              <w:rPr>
                <w:sz w:val="20"/>
              </w:rPr>
              <w:t>Al/Mg + Siméticone</w:t>
            </w:r>
          </w:p>
        </w:tc>
        <w:tc>
          <w:tcPr>
            <w:tcW w:type="dxa" w:w="1336"/>
          </w:tcPr>
          <w:p>
            <w:r>
              <w:rPr>
                <w:sz w:val="20"/>
              </w:rPr>
              <w:t>Antiacides + carminatifs</w:t>
            </w:r>
          </w:p>
        </w:tc>
        <w:tc>
          <w:tcPr>
            <w:tcW w:type="dxa" w:w="1336"/>
          </w:tcPr>
          <w:p>
            <w:r>
              <w:rPr>
                <w:sz w:val="20"/>
              </w:rPr>
              <w:t>Neutralisation acide + coalescence des bulles de gaz</w:t>
            </w:r>
          </w:p>
        </w:tc>
        <w:tc>
          <w:tcPr>
            <w:tcW w:type="dxa" w:w="1336"/>
          </w:tcPr>
          <w:p>
            <w:r>
              <w:rPr>
                <w:sz w:val="20"/>
              </w:rPr>
              <w:t>1-2 cp x 3-4/j après repas + coucher</w:t>
            </w:r>
          </w:p>
        </w:tc>
        <w:tc>
          <w:tcPr>
            <w:tcW w:type="dxa" w:w="1336"/>
          </w:tcPr>
          <w:p>
            <w:r>
              <w:rPr>
                <w:sz w:val="20"/>
              </w:rPr>
              <w:t>Ceux de Al/Mg + rares allergies siméticone</w:t>
            </w:r>
          </w:p>
        </w:tc>
        <w:tc>
          <w:tcPr>
            <w:tcW w:type="dxa" w:w="1336"/>
          </w:tcPr>
          <w:p>
            <w:r>
              <w:rPr>
                <w:sz w:val="20"/>
              </w:rPr>
              <w:t>IRC sévère ; obstruction intestinale</w:t>
            </w:r>
          </w:p>
        </w:tc>
        <w:tc>
          <w:tcPr>
            <w:tcW w:type="dxa" w:w="1336"/>
          </w:tcPr>
          <w:p>
            <w:r>
              <w:rPr>
                <w:sz w:val="20"/>
              </w:rPr>
              <w:t>Compatibles (CRAT), à limiter à 2-3 semaines</w:t>
            </w:r>
          </w:p>
        </w:tc>
      </w:tr>
      <w:tr>
        <w:tc>
          <w:tcPr>
            <w:tcW w:type="dxa" w:w="1336"/>
          </w:tcPr>
          <w:p>
            <w:r>
              <w:rPr>
                <w:sz w:val="20"/>
              </w:rPr>
              <w:t>Bicarbonate de Na ± acide citrique</w:t>
            </w:r>
          </w:p>
        </w:tc>
        <w:tc>
          <w:tcPr>
            <w:tcW w:type="dxa" w:w="1336"/>
          </w:tcPr>
          <w:p>
            <w:r>
              <w:rPr>
                <w:sz w:val="20"/>
              </w:rPr>
              <w:t>Carbonates/bicarbonates</w:t>
            </w:r>
          </w:p>
        </w:tc>
        <w:tc>
          <w:tcPr>
            <w:tcW w:type="dxa" w:w="1336"/>
          </w:tcPr>
          <w:p>
            <w:r>
              <w:rPr>
                <w:sz w:val="20"/>
              </w:rPr>
              <w:t>Antiacide systémique (absorption NaHCO₃) ; alcalinisation sanguine</w:t>
            </w:r>
          </w:p>
        </w:tc>
        <w:tc>
          <w:tcPr>
            <w:tcW w:type="dxa" w:w="1336"/>
          </w:tcPr>
          <w:p>
            <w:r>
              <w:rPr>
                <w:sz w:val="20"/>
              </w:rPr>
              <w:t>Oral : 1-5 g x 3/j ; IV : 1-2 mmol/kg acidose sévère</w:t>
            </w:r>
          </w:p>
        </w:tc>
        <w:tc>
          <w:tcPr>
            <w:tcW w:type="dxa" w:w="1336"/>
          </w:tcPr>
          <w:p>
            <w:r>
              <w:rPr>
                <w:sz w:val="20"/>
              </w:rPr>
              <w:t>Hypernatrémie, alcalose, surcharge hydrosodée</w:t>
            </w:r>
          </w:p>
        </w:tc>
        <w:tc>
          <w:tcPr>
            <w:tcW w:type="dxa" w:w="1336"/>
          </w:tcPr>
          <w:p>
            <w:r>
              <w:rPr>
                <w:sz w:val="20"/>
              </w:rPr>
              <w:t>IRC, IC décompensée, hypocalcémie, grossesse</w:t>
            </w:r>
          </w:p>
        </w:tc>
        <w:tc>
          <w:tcPr>
            <w:tcW w:type="dxa" w:w="1336"/>
          </w:tcPr>
          <w:p>
            <w:r>
              <w:rPr>
                <w:sz w:val="20"/>
              </w:rPr>
              <w:t>À ÉVITER (CRAT), préférer alginates/Al-Mg</w:t>
            </w:r>
          </w:p>
        </w:tc>
      </w:tr>
      <w:tr>
        <w:tc>
          <w:tcPr>
            <w:tcW w:type="dxa" w:w="1336"/>
          </w:tcPr>
          <w:p>
            <w:r>
              <w:rPr>
                <w:sz w:val="20"/>
              </w:rPr>
              <w:t>Carbonate Ca + Carbonate Mg</w:t>
            </w:r>
          </w:p>
        </w:tc>
        <w:tc>
          <w:tcPr>
            <w:tcW w:type="dxa" w:w="1336"/>
          </w:tcPr>
          <w:p>
            <w:r>
              <w:rPr>
                <w:sz w:val="20"/>
              </w:rPr>
              <w:t>Carbonates Ca/Mg</w:t>
            </w:r>
          </w:p>
        </w:tc>
        <w:tc>
          <w:tcPr>
            <w:tcW w:type="dxa" w:w="1336"/>
          </w:tcPr>
          <w:p>
            <w:r>
              <w:rPr>
                <w:sz w:val="20"/>
              </w:rPr>
              <w:t>Neutralisation acide (CaCO₃ + MgCO₃) + libération CO₂</w:t>
            </w:r>
          </w:p>
        </w:tc>
        <w:tc>
          <w:tcPr>
            <w:tcW w:type="dxa" w:w="1336"/>
          </w:tcPr>
          <w:p>
            <w:r>
              <w:rPr>
                <w:sz w:val="20"/>
              </w:rPr>
              <w:t>1-2 cp x 3-4/j après repas + coucher</w:t>
            </w:r>
          </w:p>
        </w:tc>
        <w:tc>
          <w:tcPr>
            <w:tcW w:type="dxa" w:w="1336"/>
          </w:tcPr>
          <w:p>
            <w:r>
              <w:rPr>
                <w:sz w:val="20"/>
              </w:rPr>
              <w:t>Distension par CO₂, hypercalcémie (prolongé), syndrome de Burnett</w:t>
            </w:r>
          </w:p>
        </w:tc>
        <w:tc>
          <w:tcPr>
            <w:tcW w:type="dxa" w:w="1336"/>
          </w:tcPr>
          <w:p>
            <w:r>
              <w:rPr>
                <w:sz w:val="20"/>
              </w:rPr>
              <w:t>IRC, hypercalcémie, lithiase calcique</w:t>
            </w:r>
          </w:p>
        </w:tc>
        <w:tc>
          <w:tcPr>
            <w:tcW w:type="dxa" w:w="1336"/>
          </w:tcPr>
          <w:p>
            <w:r>
              <w:rPr>
                <w:sz w:val="20"/>
              </w:rPr>
              <w:t>Compatibles (CRAT), à doses modérées</w:t>
            </w:r>
          </w:p>
        </w:tc>
      </w:tr>
      <w:tr>
        <w:tc>
          <w:tcPr>
            <w:tcW w:type="dxa" w:w="1336"/>
          </w:tcPr>
          <w:p>
            <w:r>
              <w:rPr>
                <w:sz w:val="20"/>
              </w:rPr>
              <w:t>Magnésium (pidolate, oxyde, hydroxyde, sulfate)</w:t>
            </w:r>
          </w:p>
        </w:tc>
        <w:tc>
          <w:tcPr>
            <w:tcW w:type="dxa" w:w="1336"/>
          </w:tcPr>
          <w:p>
            <w:r>
              <w:rPr>
                <w:sz w:val="20"/>
              </w:rPr>
              <w:t>Antiacides magnésiens / Suppléments Mg</w:t>
            </w:r>
          </w:p>
        </w:tc>
        <w:tc>
          <w:tcPr>
            <w:tcW w:type="dxa" w:w="1336"/>
          </w:tcPr>
          <w:p>
            <w:r>
              <w:rPr>
                <w:sz w:val="20"/>
              </w:rPr>
              <w:t>Cofacteur enzymatique, antiacide, laxatif osmotique (OH), tocolytique/anti-arythmique (sulfate IV)</w:t>
            </w:r>
          </w:p>
        </w:tc>
        <w:tc>
          <w:tcPr>
            <w:tcW w:type="dxa" w:w="1336"/>
          </w:tcPr>
          <w:p>
            <w:r>
              <w:rPr>
                <w:sz w:val="20"/>
              </w:rPr>
              <w:t>Pidolate oral : 300-600 mg Mg/j pendant repas ; sulfate IV : 4 g puis 1-2 g/h (éclampsie)</w:t>
            </w:r>
          </w:p>
        </w:tc>
        <w:tc>
          <w:tcPr>
            <w:tcW w:type="dxa" w:w="1336"/>
          </w:tcPr>
          <w:p>
            <w:r>
              <w:rPr>
                <w:sz w:val="20"/>
              </w:rPr>
              <w:t>Diarrhée (OH), hypermagnésémie en IRC (arrêt respiratoire)</w:t>
            </w:r>
          </w:p>
        </w:tc>
        <w:tc>
          <w:tcPr>
            <w:tcW w:type="dxa" w:w="1336"/>
          </w:tcPr>
          <w:p>
            <w:r>
              <w:rPr>
                <w:sz w:val="20"/>
              </w:rPr>
              <w:t>IRC sévère, bloc AV haut degré, myasthénie</w:t>
            </w:r>
          </w:p>
        </w:tc>
        <w:tc>
          <w:tcPr>
            <w:tcW w:type="dxa" w:w="1336"/>
          </w:tcPr>
          <w:p>
            <w:r>
              <w:rPr>
                <w:sz w:val="20"/>
              </w:rPr>
              <w:t>Compatibles (CRAT), recommandé au 3e trimestre</w:t>
            </w:r>
          </w:p>
        </w:tc>
      </w:tr>
      <w:tr>
        <w:tc>
          <w:tcPr>
            <w:tcW w:type="dxa" w:w="1336"/>
          </w:tcPr>
          <w:p>
            <w:r>
              <w:rPr>
                <w:sz w:val="20"/>
              </w:rPr>
              <w:t>Siméticone / Diméticone</w:t>
            </w:r>
          </w:p>
        </w:tc>
        <w:tc>
          <w:tcPr>
            <w:tcW w:type="dxa" w:w="1336"/>
          </w:tcPr>
          <w:p>
            <w:r>
              <w:rPr>
                <w:sz w:val="20"/>
              </w:rPr>
              <w:t>Carminatifs (anti-météorisme)</w:t>
            </w:r>
          </w:p>
        </w:tc>
        <w:tc>
          <w:tcPr>
            <w:tcW w:type="dxa" w:w="1336"/>
          </w:tcPr>
          <w:p>
            <w:r>
              <w:rPr>
                <w:sz w:val="20"/>
              </w:rPr>
              <w:t>Abaissement tension superficielle des bulles de gaz → coalescence</w:t>
            </w:r>
          </w:p>
        </w:tc>
        <w:tc>
          <w:tcPr>
            <w:tcW w:type="dxa" w:w="1336"/>
          </w:tcPr>
          <w:p>
            <w:r>
              <w:rPr>
                <w:sz w:val="20"/>
              </w:rPr>
              <w:t>1-2 cp (Freegas 80 mg) x 3-4/j après repas ou 1 sachet gel (3 g) x 3/j</w:t>
            </w:r>
          </w:p>
        </w:tc>
        <w:tc>
          <w:tcPr>
            <w:tcW w:type="dxa" w:w="1336"/>
          </w:tcPr>
          <w:p>
            <w:r>
              <w:rPr>
                <w:sz w:val="20"/>
              </w:rPr>
              <w:t>Aucun (pas d'absorption), rares allergies cutanées</w:t>
            </w:r>
          </w:p>
        </w:tc>
        <w:tc>
          <w:tcPr>
            <w:tcW w:type="dxa" w:w="1336"/>
          </w:tcPr>
          <w:p>
            <w:r>
              <w:rPr>
                <w:sz w:val="20"/>
              </w:rPr>
              <w:t>Obstruction intestinale, hypersensibilité</w:t>
            </w:r>
          </w:p>
        </w:tc>
        <w:tc>
          <w:tcPr>
            <w:tcW w:type="dxa" w:w="1336"/>
          </w:tcPr>
          <w:p>
            <w:r>
              <w:rPr>
                <w:sz w:val="20"/>
              </w:rPr>
              <w:t>Compatibles (CRAT) à tout trimestre</w:t>
            </w:r>
          </w:p>
        </w:tc>
      </w:tr>
      <w:tr>
        <w:tc>
          <w:tcPr>
            <w:tcW w:type="dxa" w:w="1336"/>
          </w:tcPr>
          <w:p>
            <w:r>
              <w:rPr>
                <w:sz w:val="20"/>
              </w:rPr>
              <w:t>Bismuth (sous-citrate, subsalicylate)</w:t>
            </w:r>
          </w:p>
        </w:tc>
        <w:tc>
          <w:tcPr>
            <w:tcW w:type="dxa" w:w="1336"/>
          </w:tcPr>
          <w:p>
            <w:r>
              <w:rPr>
                <w:sz w:val="20"/>
              </w:rPr>
              <w:t>Pansements gastriques - Sels de bismuth</w:t>
            </w:r>
          </w:p>
        </w:tc>
        <w:tc>
          <w:tcPr>
            <w:tcW w:type="dxa" w:w="1336"/>
          </w:tcPr>
          <w:p>
            <w:r>
              <w:rPr>
                <w:sz w:val="20"/>
              </w:rPr>
              <w:t>Cytoprotection mucosique + antibactérien H. pylori + anti-sécrétoire + anti-diarrhéique</w:t>
            </w:r>
          </w:p>
        </w:tc>
        <w:tc>
          <w:tcPr>
            <w:tcW w:type="dxa" w:w="1336"/>
          </w:tcPr>
          <w:p>
            <w:r>
              <w:rPr>
                <w:sz w:val="20"/>
              </w:rPr>
              <w:t>Quadrithérapie : 3 gélules x 4/j + IPP x 10 jours ; subsalicylate : 2 cp x 4/j max 2 jours</w:t>
            </w:r>
          </w:p>
        </w:tc>
        <w:tc>
          <w:tcPr>
            <w:tcW w:type="dxa" w:w="1336"/>
          </w:tcPr>
          <w:p>
            <w:r>
              <w:rPr>
                <w:sz w:val="20"/>
              </w:rPr>
              <w:t>Langue noire, selles noires (normaux) ; encéphalopathie (rare, IRC) ; syndrome de Reye (enfant)</w:t>
            </w:r>
          </w:p>
        </w:tc>
        <w:tc>
          <w:tcPr>
            <w:tcW w:type="dxa" w:w="1336"/>
          </w:tcPr>
          <w:p>
            <w:r>
              <w:rPr>
                <w:sz w:val="20"/>
              </w:rPr>
              <w:t>IRC, grossesse, allaitement, enfant &lt; 6 ans fébrile</w:t>
            </w:r>
          </w:p>
        </w:tc>
        <w:tc>
          <w:tcPr>
            <w:tcW w:type="dxa" w:w="1336"/>
          </w:tcPr>
          <w:p>
            <w:r>
              <w:rPr>
                <w:sz w:val="20"/>
              </w:rPr>
              <w:t>CONTRE-INDIQUÉ (CRAT)</w:t>
            </w:r>
          </w:p>
        </w:tc>
      </w:tr>
      <w:tr>
        <w:tc>
          <w:tcPr>
            <w:tcW w:type="dxa" w:w="1336"/>
          </w:tcPr>
          <w:p>
            <w:r>
              <w:rPr>
                <w:sz w:val="20"/>
              </w:rPr>
              <w:t>Alvérine + Siméticone</w:t>
            </w:r>
          </w:p>
        </w:tc>
        <w:tc>
          <w:tcPr>
            <w:tcW w:type="dxa" w:w="1336"/>
          </w:tcPr>
          <w:p>
            <w:r>
              <w:rPr>
                <w:sz w:val="20"/>
              </w:rPr>
              <w:t>Antispasmodique + carminatif</w:t>
            </w:r>
          </w:p>
        </w:tc>
        <w:tc>
          <w:tcPr>
            <w:tcW w:type="dxa" w:w="1336"/>
          </w:tcPr>
          <w:p>
            <w:r>
              <w:rPr>
                <w:sz w:val="20"/>
              </w:rPr>
              <w:t>Antispasmodique musculotrope (bloc Ca²⁺, inhibition PDE) + coalescence des gaz</w:t>
            </w:r>
          </w:p>
        </w:tc>
        <w:tc>
          <w:tcPr>
            <w:tcW w:type="dxa" w:w="1336"/>
          </w:tcPr>
          <w:p>
            <w:r>
              <w:rPr>
                <w:sz w:val="20"/>
              </w:rPr>
              <w:t>1 capsule x 2-3/j au moment des repas</w:t>
            </w:r>
          </w:p>
        </w:tc>
        <w:tc>
          <w:tcPr>
            <w:tcW w:type="dxa" w:w="1336"/>
          </w:tcPr>
          <w:p>
            <w:r>
              <w:rPr>
                <w:sz w:val="20"/>
              </w:rPr>
              <w:t>Rares allergies, pas d'effet atropinique</w:t>
            </w:r>
          </w:p>
        </w:tc>
        <w:tc>
          <w:tcPr>
            <w:tcW w:type="dxa" w:w="1336"/>
          </w:tcPr>
          <w:p>
            <w:r>
              <w:rPr>
                <w:sz w:val="20"/>
              </w:rPr>
              <w:t>Obstruction intestinale, hypersensibilité</w:t>
            </w:r>
          </w:p>
        </w:tc>
        <w:tc>
          <w:tcPr>
            <w:tcW w:type="dxa" w:w="1336"/>
          </w:tcPr>
          <w:p>
            <w:r>
              <w:rPr>
                <w:sz w:val="20"/>
              </w:rPr>
              <w:t>À utiliser avec prudence (CRAT), préférer alternatives</w:t>
            </w:r>
          </w:p>
        </w:tc>
      </w:tr>
    </w:tbl>
    <w:p/>
    <w:p>
      <w:pPr>
        <w:pStyle w:val="Heading2"/>
      </w:pPr>
      <w:r>
        <w:t>CONCLUSION ET RÈGLES TRANSVERSALES AU COMPTOIR</w:t>
      </w:r>
    </w:p>
    <w:p>
      <w:pPr>
        <w:pStyle w:val="Heading3"/>
      </w:pPr>
      <w:r>
        <w:t>1. Règle des 2 heures — Interaction majeure par chélation</w:t>
      </w:r>
    </w:p>
    <w:p>
      <w:r>
        <w:t xml:space="preserve">Tous les antiacides (Al/Mg, carbonates Ca/Mg, alginates contenant des antiacides) et le bismuth chélatent ou réduisent l'absorption de très nombreux médicaments oraux : antibiotiques (fluoroquinolones, tétracyclines, nitrofurantoïne, isoniazide, azithromycine), antifongiques (kétoconazole, itraconazole), antirétroviraux (atazanavir, rilpivirine), hormones thyroïdiennes (lévothyroxine), AVK, digoxine, fer, calcium, bisphosphonates, mycophénolate. </w:t>
      </w:r>
      <w:r>
        <w:rPr>
          <w:b/>
        </w:rPr>
        <w:t>La règle absolue est d'espacer de 2 heures minimum la prise de l'antiacide par rapport à tout autre médicament oral.</w:t>
      </w:r>
      <w:r/>
    </w:p>
    <w:p>
      <w:pPr>
        <w:pStyle w:val="Heading3"/>
      </w:pPr>
      <w:r>
        <w:t>2. Limitation à 2 semaines en automédication</w:t>
      </w:r>
    </w:p>
    <w:p>
      <w:r>
        <w:t>Tout symptôme digestif persistant au-delà de 2 semaines d'automédication bien conduite doit faire consulter un médecin pour éliminer une pathologie organique (ulcère, cancer gastrique, œsophage de Barrett, MICI, maladie cœliaque). Les signes d'alarme imposant une consultation immédiate : dysphagie, odynophagie, hématémèse, méléna, amaigrissement, anémie, fièvre, douleurs nocturnes, syndrome tumoral.</w:t>
      </w:r>
    </w:p>
    <w:p>
      <w:pPr>
        <w:pStyle w:val="Heading3"/>
      </w:pPr>
      <w:r>
        <w:t>3. Choix de la classe selon le profil patient</w:t>
      </w:r>
    </w:p>
    <w:p>
      <w:pPr>
        <w:pStyle w:val="ListBullet"/>
      </w:pPr>
      <w:r/>
      <w:r>
        <w:rPr>
          <w:b/>
        </w:rPr>
        <w:t>Femme enceinte</w:t>
      </w:r>
      <w:r>
        <w:t xml:space="preserve"> : préférer alginates (1re intention) puis Al/Mg (2e intention) puis oméprazole (3e intention) ; éviter bicarbonate oral, bismuth, subsalicylates.</w:t>
      </w:r>
    </w:p>
    <w:p>
      <w:pPr>
        <w:pStyle w:val="ListBullet"/>
      </w:pPr>
      <w:r/>
      <w:r>
        <w:rPr>
          <w:b/>
        </w:rPr>
        <w:t>Insuffisant rénal</w:t>
      </w:r>
      <w:r>
        <w:t xml:space="preserve"> : préférer carbonate de calcium isolé ou alginate seul ; éviter Al/Mg (accumulation), bismuth (encéphalopathie), magnésium (hypermagnésémie → arrêt respiratoire).</w:t>
      </w:r>
    </w:p>
    <w:p>
      <w:pPr>
        <w:pStyle w:val="ListBullet"/>
      </w:pPr>
      <w:r/>
      <w:r>
        <w:rPr>
          <w:b/>
        </w:rPr>
        <w:t>Sujet âgé polymédiqué</w:t>
      </w:r>
      <w:r>
        <w:t xml:space="preserve"> : vigilance accrue sur les interactions (lévothyroxine, AVK, antibiotiques, fer), préférence pour les alginates (peu d'interactions).</w:t>
      </w:r>
    </w:p>
    <w:p>
      <w:pPr>
        <w:pStyle w:val="ListBullet"/>
      </w:pPr>
      <w:r/>
      <w:r>
        <w:rPr>
          <w:b/>
        </w:rPr>
        <w:t>Enfant</w:t>
      </w:r>
      <w:r>
        <w:t xml:space="preserve"> : alginates à partir de 2 ans, antiacides à partir de 10 ans ; bismuth subsalicylate contre-indiqué avant 6 ans (syndrome de Reye).</w:t>
      </w:r>
    </w:p>
    <w:p>
      <w:pPr>
        <w:pStyle w:val="ListBullet"/>
      </w:pPr>
      <w:r/>
      <w:r>
        <w:rPr>
          <w:b/>
        </w:rPr>
        <w:t>Diabétique</w:t>
      </w:r>
      <w:r>
        <w:t xml:space="preserve"> : formes sans sucre (Rennie Deflatine sans sucre, Freegas sans sucre).</w:t>
      </w:r>
    </w:p>
    <w:p>
      <w:pPr>
        <w:pStyle w:val="ListBullet"/>
      </w:pPr>
      <w:r/>
      <w:r>
        <w:rPr>
          <w:b/>
        </w:rPr>
        <w:t>Patient sous IPP au long cours</w:t>
      </w:r>
      <w:r>
        <w:t xml:space="preserve"> : surveillance magnésémie annuelle (hypomagnésémie IPP-induite), supplémentation par pidolate si carence.</w:t>
      </w:r>
    </w:p>
    <w:p>
      <w:pPr>
        <w:pStyle w:val="Heading3"/>
      </w:pPr>
      <w:r>
        <w:t>4. Reconnaissance des spécialités algériennes</w:t>
      </w:r>
    </w:p>
    <w:p>
      <w:r>
        <w:t>Le marché algérien est dominé par les spécialités locales : Nobac (Biopharm), Gastomax (Pharmaghreb), Gavix (Neomedic), Gastrium, Gatimox (Nadpharmadic) pour les alginates ; Maalox Maux d'Estomac (Propharmal), Sailox (Saidal), Hysalox (Hysa), Bilox (Biopharm) pour les Al/Mg ; Rennie (Bayer, princeps) pour les carbonates Ca/Mg ; Météospasmyl (Mayoly Spindler Algérie, princeps), Rovaspasmyl (Rovac), Biospasmyl (Biovital) pour l'alvérine/siméticone. Le pharmacien doit pouvoir identifier visuellement ces spécialités et leur statut (actif/non renouvelable/retiré).</w:t>
      </w:r>
    </w:p>
    <w:p>
      <w:pPr>
        <w:pStyle w:val="Heading3"/>
      </w:pPr>
      <w:r>
        <w:t>5. Prévention de l'encéphalopathie aluminique et de l'hypermagnésémie</w:t>
      </w:r>
    </w:p>
    <w:p>
      <w:r>
        <w:t>L'usage chronique d'Al/Mg en IRC est un risque vital — encéphalopathie aluminique (troubles cognitifs, myoclonies, convulsions) et hypermagnésémie (dépression neuromusculaire, arrêt respiratoire). Le pharmacien doit interroger systématiquement sur la fonction rénale avant de délivrer des antiacides Al/Mg ou magnésiens au long cours, surtout chez le sujet âgé. Alternative : carbonate de calcium isolé ou alginate seul.</w:t>
      </w:r>
    </w:p>
    <w:p>
      <w:pPr>
        <w:pStyle w:val="Heading3"/>
      </w:pPr>
      <w:r>
        <w:t>6. Bismuth : « douille informationnelle » obligatoire</w:t>
      </w:r>
    </w:p>
    <w:p>
      <w:r>
        <w:t>Le bismuth en quadrithérapie anti-</w:t>
      </w:r>
      <w:r>
        <w:rPr>
          <w:i/>
        </w:rPr>
        <w:t>H. pylori</w:t>
      </w:r>
      <w:r>
        <w:t xml:space="preserve"> impose une information complète du patient : seles noires et langue noire (normales et réversibles), abstinence alcoolique absolue (effet antabuse du métronidazole), durée stricte de 10 jours (non négociable), surveillance de la fonction rénale préalable, contre-indication chez la femme enceinte et allaitante.</w:t>
      </w:r>
    </w:p>
    <w:p>
      <w:pPr>
        <w:pStyle w:val="Heading3"/>
      </w:pPr>
      <w:r>
        <w:t>7. Différenciation RGO vs dyspepsie vs météorisme vs spasme</w:t>
      </w:r>
    </w:p>
    <w:p>
      <w:r>
        <w:t>Le pharmacien doit orienter le choix thérapeutique selon le symptôme dominant :</w:t>
      </w:r>
    </w:p>
    <w:p>
      <w:pPr>
        <w:pStyle w:val="ListBullet"/>
      </w:pPr>
      <w:r/>
      <w:r>
        <w:rPr>
          <w:b/>
        </w:rPr>
        <w:t>RGO (pyrosis + régurgitations)</w:t>
      </w:r>
      <w:r>
        <w:t xml:space="preserve"> → alginates (Gaviscon-like, Nobac, Gastomax)</w:t>
      </w:r>
    </w:p>
    <w:p>
      <w:pPr>
        <w:pStyle w:val="ListBullet"/>
      </w:pPr>
      <w:r/>
      <w:r>
        <w:rPr>
          <w:b/>
        </w:rPr>
        <w:t>Dyspepsie acide (douleur épigastrique)</w:t>
      </w:r>
      <w:r>
        <w:t xml:space="preserve"> → antiacides purs (Maalox, Sailox, Rennie)</w:t>
      </w:r>
    </w:p>
    <w:p>
      <w:pPr>
        <w:pStyle w:val="ListBullet"/>
      </w:pPr>
      <w:r/>
      <w:r>
        <w:rPr>
          <w:b/>
        </w:rPr>
        <w:t>Météorisme isolé (ballonnements, gaz)</w:t>
      </w:r>
      <w:r>
        <w:t xml:space="preserve"> → siméticone pure (Freegas, Pepsane)</w:t>
      </w:r>
    </w:p>
    <w:p>
      <w:pPr>
        <w:pStyle w:val="ListBullet"/>
      </w:pPr>
      <w:r/>
      <w:r>
        <w:rPr>
          <w:b/>
        </w:rPr>
        <w:t>Dyspepsie acide + météorisme</w:t>
      </w:r>
      <w:r>
        <w:t xml:space="preserve"> → Al/Mg + siméticone (Gaalox Plus) ou Rennie Deflatine</w:t>
      </w:r>
    </w:p>
    <w:p>
      <w:pPr>
        <w:pStyle w:val="ListBullet"/>
      </w:pPr>
      <w:r/>
      <w:r>
        <w:rPr>
          <w:b/>
        </w:rPr>
        <w:t>Spasmes + ballonnements</w:t>
      </w:r>
      <w:r>
        <w:t xml:space="preserve"> → alvérine + siméticone (Météospasmyl)</w:t>
      </w:r>
    </w:p>
    <w:p>
      <w:pPr>
        <w:pStyle w:val="ListBullet"/>
      </w:pPr>
      <w:r/>
      <w:r>
        <w:rPr>
          <w:b/>
        </w:rPr>
        <w:t>Insuffisance rénale</w:t>
      </w:r>
      <w:r>
        <w:t xml:space="preserve"> → alginate seul ou carbonate Ca isolé (jamais Al/Mg)</w:t>
      </w:r>
    </w:p>
    <w:p>
      <w:pPr>
        <w:pStyle w:val="ListBullet"/>
      </w:pPr>
      <w:r/>
      <w:r>
        <w:rPr>
          <w:b/>
        </w:rPr>
        <w:t>Éradication H. pylori</w:t>
      </w:r>
      <w:r>
        <w:t xml:space="preserve"> → bismuth quadrithérapie (Dispylori, Pylorix) + IPP</w:t>
      </w:r>
    </w:p>
    <w:p>
      <w:pPr>
        <w:pStyle w:val="Heading3"/>
      </w:pPr>
      <w:r>
        <w:t>8. Suivi biologique en cas d'usage prolongé</w:t>
      </w:r>
    </w:p>
    <w:p>
      <w:r>
        <w:t>Au-delà de 2-3 semaines d'usage antiacide, contrôle minimal : ionogramme sanguin (Na, K), calcémie, magnésémie, phosphatémie, fonction rénale (créatinine, DFG). En cas d'anomalie, arrêt et consultation médicale.</w:t>
      </w:r>
    </w:p>
    <w:p>
      <w:pPr>
        <w:pStyle w:val="Heading3"/>
      </w:pPr>
      <w:r>
        <w:t>9. Éducation thérapeutique : mesures hygiéno-diététiques</w:t>
      </w:r>
    </w:p>
    <w:p>
      <w:r>
        <w:t>Tout conseil antiacide doit être accompagné de mesures diététiques : mastication lente, fractionnement des repas, réduction des aliments irritants (épices, café, alcool, tabac), surélévation de la tête du lit pour RGO nocturne, éviction des repas tardifs (&lt; 3 heures avant le coucher), perte de poids si surpoids, arrêt du tabac.</w:t>
      </w:r>
    </w:p>
    <w:p>
      <w:pPr>
        <w:pStyle w:val="Heading3"/>
      </w:pPr>
      <w:r>
        <w:t>10. Sources et références</w:t>
      </w:r>
    </w:p>
    <w:p>
      <w:pPr>
        <w:pStyle w:val="ListBullet"/>
      </w:pPr>
      <w:r>
        <w:t>VIDAL 2024 — Monographies produits</w:t>
      </w:r>
    </w:p>
    <w:p>
      <w:pPr>
        <w:pStyle w:val="ListBullet"/>
      </w:pPr>
      <w:r>
        <w:t>ANSM — RCP et recommandations</w:t>
      </w:r>
    </w:p>
    <w:p>
      <w:pPr>
        <w:pStyle w:val="ListBullet"/>
      </w:pPr>
      <w:r>
        <w:t>Thériaque — Base de données française des médicaments</w:t>
      </w:r>
    </w:p>
    <w:p>
      <w:pPr>
        <w:pStyle w:val="ListBullet"/>
      </w:pPr>
      <w:r>
        <w:t>CRAT (Centre de Renseignement sur les Agents Tératogènes, Hôpital Armand-Trousseau, Paris) — fiche grossesse/allaitement</w:t>
      </w:r>
    </w:p>
    <w:p>
      <w:pPr>
        <w:pStyle w:val="ListBullet"/>
      </w:pPr>
      <w:r>
        <w:t>UpToDate — "Approach to refractory gastroesophageal reflux disease in adults", "Treatment of Helicobacter pylori infection"</w:t>
      </w:r>
    </w:p>
    <w:p>
      <w:pPr>
        <w:pStyle w:val="ListBullet"/>
      </w:pPr>
      <w:r>
        <w:t>HAS — Recommandations sur le RGO et la dyspepsie</w:t>
      </w:r>
    </w:p>
    <w:p>
      <w:pPr>
        <w:pStyle w:val="ListBullet"/>
      </w:pPr>
      <w:r>
        <w:t>Maastricht V Consensus (2016) et Toronto Consensus (2016) — éradication de *Helicobacter pylori*</w:t>
      </w:r>
    </w:p>
    <w:p>
      <w:pPr>
        <w:pStyle w:val="ListBullet"/>
      </w:pPr>
      <w:r>
        <w:t>Critères de Rome IV (2016) — syndrome de l'intestin irritable et troubles fonctionnels intestinaux</w:t>
      </w:r>
    </w:p>
    <w:p>
      <w:r/>
      <w:r>
        <w:rPr>
          <w:b/>
        </w:rPr>
        <w:t>Fin de la section 52 — Antiacides, Alginates, Pansements Gastriques et Carminatifs</w:t>
      </w:r>
      <w:r/>
    </w:p>
    <w:p>
      <w:r/>
      <w:r>
        <w:rPr>
          <w:i/>
        </w:rPr>
        <w:t>Section rédigée pour le Fascicule VI — Gastro-entérologie du Livre de Pharmacologie Clinique pour les étudiants en pharmacie d'Algérie.</w:t>
      </w:r>
      <w:r/>
    </w:p>
    <w:p>
      <w:pPr>
        <w:pStyle w:val="Heading1"/>
      </w:pPr>
      <w:r>
        <w:t>Chapitre 3 — Prokinétiques, Antiémétiques et Antivertigineux</w:t>
      </w:r>
    </w:p>
    <w:p>
      <w:pPr>
        <w:pStyle w:val="Heading2"/>
      </w:pPr>
      <w:r>
        <w:t>Introduction générale du chapitre</w:t>
      </w:r>
    </w:p>
    <w:p>
      <w:r>
        <w:t>Les prokinétiques, antiémétiques et antivertigineux constituent une famille pharmacologique centrale en pratique pharmaceutique de ville comme en milieu hospitalier. Ils visent trois objectifs thérapeutiques distincts mais complémentaires : (i) restaurer une motilité gastro-intestinale altérée (prokinétiques), (ii) prévenir ou traiter les nausées et vomissements (antiémétiques), et (iii) corriger la sensation vertigineuse d'origine vestibulaire centrale (antivertigineux). Bien que ces classes partagent certaines cibles moléculaires (récepteurs dopaminergiques D2, sérotoninergiques 5-HT3 et 5-HT4, histaminergiques H1, muscariniques mACh, neurokininergiques NK1), leur positionnement clinique, leurs profils d'effets indésirables et leurs règles de prescription diffèrent profondément.</w:t>
      </w:r>
    </w:p>
    <w:p>
      <w:r>
        <w:t>Le présent chapitre, intégré au Fascicule VI — Gastro-entérologie, traite 10 DCIs disponibles (ou retirées du marché algérien) regroupées en 10 sous-classes pharmacologiques. Sont incluses : les antagonistes D2 centraux (métoclopramide), les antagonistes D2 périphériques (dompéridone), les agonistes 5-HT4 retirés (cisapride), les antagonistes 5-HT3 (ondansétron, granisétron, palonosétron), les antagonistes NK1 (aprépitant/fosaprépitant), les phénothiazines H1 (prométhazine), les butyrophénones neuroleptiques (halopéridol en indication antiémétique), et les anti-H1 centraux antivertigineux (méclozine). Deux molécules théoriquement importantes — le prucalopride (agoniste 5-HT4 sélectif) et les benzamides D2 (bromopride, alizapride, clébopride) — sont mentionnées comme non disponibles dans la nomenclature algérienne d'avril 2026, mais leur mécanisme et leur place thérapeutique sont abordés à des fins académiques.</w:t>
      </w:r>
    </w:p>
    <w:p>
      <w:r>
        <w:t>La démarche clinique face à un patient présentant nausées, vomissements, reflux, gastroparésie ou vertiges doit toujours intégrer : (1) l'étiologie (mécanique, chimio-induite, vestibulaire, métabolique, iatrogène, gravidique) ; (2) la sévérité (risque de déshydratation, déséquilibre électrolytique, âge, comorbidités) ; (3) le terrain (grossesse, allaitement, sujet âgé, insuffisance hépatique/rénale, allongement QT, maladie de Parkinson) ; (4) les interactions médicamenteuses (notamment antidépresseurs sérotoninergiques, antipsychotiques, allongeurs QT) ; (5) la durée de traitement (court terme pour métoclopramide &lt; 5 jours, préventif pour 5-HT3 et NK1 en chimiothérapie). Le pharmacien d'officine algérien joue ici un rôle pivot de délivrance, de conseil, de repérage des signaux d'alerte (effets extrapyramidaux, syncope, vomissements prolongés &gt; 48 h, hématémèse), et d'orientation vers le médecin.</w:t>
      </w:r>
    </w:p>
    <w:p>
      <w:r>
        <w:t>L'approche académique retenue dans ce chapitre privilégie la rigueur pharmacologique (récepteurs, voies de signalisation, pharmacocinétique), la exhaustivité des marques disponibles en Algérie (avec distinction Actif/Non Renouvelable/Retiré (R)), et la pertinence clinique (posologies, pièges, conseils au comptoir). Les sources mobilisées sont VIDAL, ANSM, Thériaque, CRAT (Centre Renseignements sur les Agents Tératogènes), MASCC/ESMO guidelines (antiémésie chimiothérapie), UpToDate et les RCP des spécialités.</w:t>
      </w:r>
    </w:p>
    <w:p>
      <w:pPr>
        <w:pStyle w:val="Heading2"/>
      </w:pPr>
      <w:r>
        <w:t>Sous-classe 1 — Prokinétiques antagonistes dopamine D2 centraux</w:t>
      </w:r>
    </w:p>
    <w:p>
      <w:r>
        <w:t>Les prokinétiques antagonistes D2 centraux représentent la classe historique des antiémétiques et prokinétiques digestifs. Le chef de file, la métoclopramide, est un benzamide substitué (orthopramide) qui se distingue des neuroleptiques par une activité antidopaminergique D2 modérée mais qui, à doses élevées, peut induire des effets extrapyramidaux typiques des neuroleptiques. Cette sous-classe agit à deux niveaux complémentaires : (i) au niveau central, par blocage des récepteurs dopaminergiques D2 de la zone gâchette chimioréceptive (area postrema / chemoreceptor trigger zone, CTZ) située hors de la barrière hémato-encéphalique (BHE), inhibant ainsi le réflexe émétique ; (ii) au niveau périphérique, par blocage des récepteurs D2 inhibiteurs présents sur les neurones entériques de la paroi digestive, ce qui lève l'inhibition dopaminergique sur la motilité et restaure un péristaltisme antérograde oeso-gastrique et intestinale. La métoclopramide possède également une action agoniste partielle 5-HT4 qui potentialise l'effet prokinétique par stimulation des récepteurs sérotoninergiques entérochromaffines. C'est cette triple action (D2 central antiémétique + D2 périphérique prokinétique + 5-HT4 agoniste prokinétique) qui justifie l'usage historique de la métoclopramide dans les nausées et vomissements postopératoires, la gastroparésie diabétique, les reflux gastro-oesophagiens, et en prévention des vomissements induits par chimiothérapie fortement émétisante (à doses élevées 1-2 mg/kg). L'enjeu thérapeutique majeur de cette classe est la limitation stricte de la durée de prescription (&lt; 5 jours) pour prévenir la survenue d'effets indésirables neurologiques centraux : syndrome extrapyramidal, dystonie aiguë, akathisie, dyskinésie tardive, syndrome malin des neuroleptiques (rare mais grave), et hyperprolactinémie (avec son cortège de gynécomastie, galactorrhée, aménorrhée, troubles de la libido). La métoclopramide traverse la BHE et sa prescription chez le sujet parkinsonien, chez la femme enceinte au 1er trimestre (risque malformatif débattu), et chez l'enfant (risque dystonie majoré) impose une évaluation bénéfice/risque rigoureuse. En Algérie, la métoclopramide reste un des médicaments les plus prescrits en gastro-entérologie de ville, disponible sous de très nombreuses marques (CLOPRAMID, METOPERAN, MODENUM, PRIMPERENE, PRIMPA, METOCLAM, METOPRAM, PRIMPERAN historique), avec un arsenal galénique large (comprimés 10 mg, sirop/gouttes buvables, solution injectable IM/IV, suppositoires). Le pharmacien d'officine doit veiller particulièrement à la durée maximale de 5 jours et à l'alerte sur les signes neurologiques précoces.</w:t>
      </w:r>
    </w:p>
    <w:p>
      <w:pPr>
        <w:pStyle w:val="Heading2"/>
      </w:pPr>
      <w:r>
        <w:t>Sous-classe 2 — Prokinétiques antagonistes dopamine D2 périphériques</w:t>
      </w:r>
    </w:p>
    <w:p>
      <w:r>
        <w:t>Les antagonistes D2 périphériques, dont le chef de file est la dompéridone, sont des benzimidazolones prokinétiques qui se distinguent fondamentalement de la métoclopramide par une très faible pénétration de la barrière hémato-encéphalique. Cette propriété pharmacocinétique essentielle explique l'absence quasi totale d'effets extrapyramidaux et de sédation centrale, et constitue l'avantage thérapeutique principal de la dompéridone sur la métoclopramide. Le blocage D2 s'effectue essentiellement au niveau périphérique : (i) au niveau du CTZ (zone postrema hors BHE, donc accessible sans traverser la BHE), où la dompéridone bloque les récepteurs D2 du CTZ et exerce son action antiémétique ; (ii) au niveau des plexus myentériques d'Auerbach, où le blocage des récepteurs D2 inhibiteurs augmente la libération d'acétylcholine et stimule la motilité gastrique et oeso-duodénale. Contrairement à la métoclopramide, la dompéridone n'a pas d'action agoniste 5-HT4. L'indication principale est le traitement symptomatique des nausées et vomissements d'origine non spécifique (gastro-entérites, reflux, migraine, iatrogène, post-opératoire), et secondairement la gastroparésie (notamment diabétique) et la stimulation de la lactation (effet hyperprolactinémiant). Toutefois, depuis 2014, l'ANSM et l'EMA ont restreint l'usage de la dompéridone en raison du risque d'allongement de l'intervalle QTc et de torsades de pointe (TdP), via blocage des canaux hERG ( Kv11.1 / KCNH2). La durée maximale de traitement a été ramenée à 7 jours (recommandation EMA 2014), les posologies réduites (≤ 30 mg/jour chez l'adulte), et les contre-indications élargies (insuffisance hépatique modérée à sévère, allongement QTc congénital ou acquis, hypokaliémie, hypomagnésémie, bradycardie, insuffisance cardiaque décompensée, association avec allongeurs QT). Chez l'enfant, la prescription doit être poids-ajustée et la forme sirop (1 mg/mL) avec pipette graduée en kg est privilégiée. En Algérie, la dompéridone reste largement disponible (MOTILIUM princeps Janssen, DOMPERIDONE BEKER, DOMPERIDONE BGL, EMETIKAN, EMIDIUM HUP, MERIDONE, MOTIDONE, PERIDIUM, NOZEUM, MEDILIUM, et formes orodispersibles et suspensions buvables). Le pharmacien doit systématiquement vérifier l'absence de prise concomitante d'allongeurs QT (macrolides, fluoroquinolones, antifongiques azolés, antipsychotiques, méthadone, amiodarone, sultopride, dropéridol) et le statut kaliémique chez les patients sous diurétiques. Le rapport bénéfice/risque reste favorable dans les indications courtes (≤ 7 jours) aux doses recommandées.</w:t>
      </w:r>
    </w:p>
    <w:p>
      <w:pPr>
        <w:pStyle w:val="Heading2"/>
      </w:pPr>
      <w:r>
        <w:t>Sous-classe 3 — Prokinétiques agonistes 5-HT4 retirés (Cisapride)</w:t>
      </w:r>
    </w:p>
    <w:p>
      <w:r>
        <w:t>Les agonistes 5-HT4, dont le chef de file est le cisapride (benzamide substitué de la même famille que la métoclopramide mais dépourvu d'activité antidopaminergique significative), représentent une classe pharmacologique aujourd'hui abandonnée en raison d'un profil de tolérance cardiaque défavorable. Le cisapride agit comme agoniste des récepteurs sérotoninergiques 5-HT4 présents sur les neurones entériques de la paroi digestive (plexus d'Auerbach et de Meissner). La stimulation de ces récepteurs entraîne une libération accrue d'acétylcholine au niveau des jonctions neuromusculaires entériques, augmentant ainsi le tonus du sphincter inférieur de l'oesophage (SIO), stimulant le péristaltisme oesophagien, accélérant la vidange gastrique et améliorant la coordination antro-duodénale. Cette action prokinétique pure, sans effets extrapyramidaux (pas de blocage D2 central) ni anticholinergiques ni sédation, avait justifié un large succès dans les années 1990 pour le reflux gastro-oesophagien (RGO), la dyspepsie, la gastroparésie et les troubles moteurs intestinaux. Cependant, le cisapride s'est révélé bloquer également les canaux potassiques cardiaques hERG (Kv11.1) à doses thérapeutiques, induisant un allongement de l'intervalle QTc et un risque de torsades de pointe, parfois mortel. Ce risque, majoré par les interactions médicamenteuses (inhibiteurs puissants du CYP3A4 : macrolides, azolés antifongiques, inhibiteurs de protéase du VIH, et autres allongeurs QT), a conduit à son retrait mondial progressif entre 2000 et 2011. En Algérie, le cisapride a été retiré du marché (statut RETRAIT) — tous les produits (PREPULSID princeps Janssen, FISIOGASTROL Salvat, GASTROPRIDE, MINSK, REFLUXIN, SEPRIDE) portent le statut (R) dans la nomenclature. Le pharmacien d'officine doit connaître cette classe pour répondre aux patients ayant pu en conserver, pour ne jamais substituer, et pour expliquer le retrait. Cette classe reste aussi un modèle pédagogique important pour illustrer le concept de pharmacovigilance post-AMM et de risque cardiaque médicamenteux.</w:t>
      </w:r>
    </w:p>
    <w:p>
      <w:pPr>
        <w:pStyle w:val="Heading2"/>
      </w:pPr>
      <w:r>
        <w:t>Sous-classe 4 — Prokinétiques agonistes sélectifs 5-HT4 (Prucalopride — non disponible en Algérie)</w:t>
      </w:r>
    </w:p>
    <w:p>
      <w:r>
        <w:t>Les agonistes sélectifs 5-HT4 constituent la seconde génération de prokinétiques sérotoninergiques, conçus pour offrir l'efficacité prokinétique du cisapride sans son risque cardiaque. Le chef de file actuel est le prucalopride, une dihydrobenzofurancarboxamide hautement sélective des récepteurs 5-HT4 (affinité &gt; 150 fois supérieure pour 5-HT4 que pour 5-HT3, D2, H1, et absence d'activité hERG significative aux doses thérapeutiques). Cette sélectivité est l'avantage pharmacologique majeur : pas d'effet sur le QTc, pas d'effets extrapyramidaux, pas d'hyperprolactinémie. Le prucalopride est indiqué dans la constipation chronique idiopathique chez la femme chez laquelle les laxatifs osmotiques et stimulants ont échoué (autorisation européenne restreinte à la femme, en raison d'un nombre insuffisant de données d'efficacité chez l'homme dans les essais pivots). Il est également évalué dans la gastroparésie, le pseudo-obstacle chronique, et la constipation opioïde. La posologie est de 2 mg/jour une fois par jour, réduite à 1 mg/jour en cas d'insuffisance rénale modérée à sévère (ClCr 30-60 mL/min) et chez le sujet âgé fragile. Les effets indésirables principaux sont céphalées, nausées, douleurs abdominales, diarrhée — généralement transitoires (première semaine). L'allaitement est déconseillé. Le prucalopride n'est pas disponible dans la nomenclature algérienne d'avril 2026 ; son absence expose les patients constipés chroniques sévères à un recours systématique aux laxatifs osmotiques (macrogol, lactulose) ou stimulants (bisacodyl, picosulfate), parfois insuffisants. Le pharmacien doit connaître cette classe pour répondre aux interrogations de patients informés, signaler sa non-disponibilité, et orienter vers le médecin pour évaluation alternatives (laxatifs rectaux, biofeedback, neuromodulation sacrée en cas de dyschésie réfractaire). D'autres agonistes 5-HT4 sélectifs existent (velusetrag, naronapride, ATI-7505) mais ne sont pas commercialisés. Le mosapride, agoniste 5-HT4 disponible dans certains pays asiatiques, n'est pas non plus disponible en Algérie. La mention de cette classe reste académiquement nécessaire car elle représente l'avenir conceptuel des prokinétiques digitaux.</w:t>
      </w:r>
    </w:p>
    <w:p>
      <w:pPr>
        <w:pStyle w:val="Heading2"/>
      </w:pPr>
      <w:r>
        <w:t>Sous-classe 5 — Antiémétiques antagonistes 5-HT3</w:t>
      </w:r>
    </w:p>
    <w:p>
      <w:r>
        <w:t>Les antagonistes 5-HT3 (les « setrons ») constituent la pierre angulaire de l'antiémésie moderne en chimiothérapie et en post-opératoire. Ils agissent par blocage compétitif sélectif des récepteurs 5-HT3, une sous-classe de récepteurs sérotoninergiques ligand-dépendants (canal cationique Na+/K+/Ca2+), exprimés à deux niveaux critiques : (i) au niveau central, sur le noyau du tractus solitaire (NTS) et la zone postrema / CTZ, où les récepteurs 5-HT3 détectent la sérotonine libérée par les cellules entérochromaffines digestives activées par les agents chimiothérapiques (surtout platines, anthracyclines, cyclophosphamide) ; (ii) au niveau périphérique, sur les terminaisons vagales afférentes de la paroi digestive (notamment gastrique et intestinale), où la sérotonine libérée active le réflexe émétique via le nerf vague. Le blocage de ces deux sites permet une inhibition complète de la voie sérotoninergique de l'émèse, particulièrement efficace pour la phase aiguë des vomissements chimio-induits (premières 24 h). La classe comprend trois molécules disponibles en Algérie : l'ondansétron (chef de file, premier 5-HT3 commercialisé 1990), le granisétron (1991), et le palonosétron (2003, seconde génération, demi-vie prolongée ~40 h, activité soutenue sur la phase retardée). Ces molécules ont révolutionné la tolérance des chimiothérapies fortement émétisantes et l'anesthésie ambulatoire. Le profil d'effets indésirables est globalement bon : céphalées (10-30%), constipation (10-20%), asthénie, bouffées de chaleur. Le risque d'allongement du QTc existe (surtout ondansétron IV dose &gt; 16 mg), nécessitant une prudence chez les patients cardiaques et un ECG préalable en cas de facteurs de risque. Une interaction importante avec l'apomorphine (hypotension sévère, perte de conscience) contre-indique l'association. Les antagonistes 5-HT3 entrent dans les protocoles MASCC/ESMO de prévention des nausées et vomissements chimio-induits (NVCI) en association avec les antagonistes NK1 (aprépitant) et les corticoïdes (dexaméthasone) pour les chimiothérapies hautement émétisantes (AC, cisplatine, carboplatine AUC ≥ 4). En Algérie, l'ondansétron est largement disponible sous de très nombreuses marques (SETRON Hikma, ONDANSETRON INPHA-MEDIS, SETREME BEKER, NAUSETRON 4A Santé, NOSITRON Saidal NR, ZOFER Sun, ZOPHREN GSK R, etc.) en comprimés (4, 8 mg), sirop (4 mg/5 mL), suppositoires (16 mg) et solution injectable IV (2 mg/mL). Le granisétron est disponible en injectable (GRANI DENK). Le palonosétron est disponible uniquement en association fixe avec le netupitant (AKYNZEO, association orale NK1+5-HT3). Le pharmacien doit connaître les schémas thérapeutiques préventifs (chimio fortement émétisante : 5-HT3 J1 + aprepitant J1-J3 + dexaméthasone ; chimio moyennement émétisante : 5-HT3 J1 + dexaméthasone), la supériorité du palonosétron sur les 5-HT3 de première génération en phase retardée, et la nécessité d'un ECG préalable chez les patients à risque.</w:t>
      </w:r>
    </w:p>
    <w:p>
      <w:pPr>
        <w:pStyle w:val="Heading2"/>
      </w:pPr>
      <w:r>
        <w:t>Sous-classe 6 — Antiémétiques antagonistes NK1</w:t>
      </w:r>
    </w:p>
    <w:p>
      <w:r>
        <w:t>Les antagonistes NK1 (substance P) constituent la dernière classe introduite dans l'arsenal antiémétique (2003). Ils agissent par blocage compétitif sélectif des récepteurs neurokininergiques NK1, exprimés au niveau central dans le NTS et la zone postrema / CTZ, où la substance P (un neuropeptide de 11 acides aminés de la famille des tachykinines) est le neurotransmetteur activateur principal de la voie émétique retardée. La substance P est libérée en réponse aux stimuli émétogènes prolongés (chimiothérapie, particularly phase retardée &gt; 24 h), et son blocage central complète l'action des antagonistes 5-HT3 (qui couvrent essentiellement la phase aiguë). L'aprépitant (chef de file, tri-substitué morpholine-acétal), son prodrogue intraveineuse le fosaprépitant (transformée en aprépitant actif en ~15 min par les phosphatases), et le netupitant (utilisé en association fixe avec le palonosétron dans AKYNZEO) sont les molécules disponibles. La caractéristique pharmacocinétique majeure de l'aprépitant est sa longue demi-vie (~40 h) permettant une couverture prolongée des 3 jours suivants la chimiothérapie. Il est métabolisé principalement par le CYP3A4, ce qui expose à de nombreuses interactions : augmentation de l'AUC de la dexaméthasone, du méthylprednisolone, de la midazolam, des inhibiteurs de protéase du VIH, de la warfarine (modification INR), et de l'olanzapine. La contraception non hormonale doit être privilégiée pendant traitement + 28 jours (induction CYP3A4 en fin de traitement réduisant l'efficacité des contraceptifs oraux). L'aprépitant entre dans le protocole triple MASCC/ESMO pour la chimiothérapie fortement émétisante : 5-HT3 + aprépitant + dexaméthasone. Le schéma oral standard est 125 mg J1 (1 h avant chimio) puis 80 mg J2 et J3. Le fosaprépitant IV est administré à 150 mg J1 en alternative à la forme orale. En Algérie, sont disponibles FOSAPREPITANT-SAIDAL, FOSAPREPITAL Sophal, FOSEMRED Dr Reddy's (poudre pour perfusion 150 mg), EMADIS Biopharm (gélules 80/125 mg kit 3 jours), XETREME Beker (gélules 80/125 mg), et AKYNZEO Helsinn (netupitant 300 mg + palonosétron 0,5 mg, gélule). Le pharmacien doit vérifier l'absence d'interactions majeures avec les CYP3A4 substrats, notamment les statines (simvastatine, atorvastatine), les anticoagulants oraux (warfarine), les corticoïdes (réduction dose dexaméthasone), et les contraceptifs oraux.</w:t>
      </w:r>
    </w:p>
    <w:p>
      <w:pPr>
        <w:pStyle w:val="Heading2"/>
      </w:pPr>
      <w:r>
        <w:t>Sous-classe 7 — Antiémétiques phénothiazines H1</w:t>
      </w:r>
    </w:p>
    <w:p>
      <w:r>
        <w:t>Les phénothiazines, dont le chef de file antiémétique est la prométhazine (et accessoirement la chlorpromazine dans d'autres contextes), appartiennent à la grande classe des neuroleptiques classiques. La prométhazine est un dérivé phénothiazinique à chaîne latérale aliphatique qui se distingue des neuroleptiques classiques (chlorpromazine) par une affinité dominante pour les récepteurs histaminergiques H1 centraux (H1 ≫ D2 &gt; mACh &gt; 5-HT2A). Cette signature pharmacologique particulière en fait avant tout un antihistaminique H1 sédatif à activité antiémétique, plutôt qu'un antipsychotique. Le mécanisme antiémétique est plurifactoriel : (i) blocage des récepteurs H1 centraux (NTS, vestibule), qui inhibe la composante histaminergique du réflexe émétique et de la cinétose ; (ii) blocage des récepteurs D2 du CTZ, à l'instar de la métoclopramide mais avec moindre affinité ; (iii) blocage des récepteurs muscariniques mACh centraux, à l'origine de l'effet anticholinergique (sécheresse buccale, mydriase, rétention urinaire, tachycardie) ; (iv) blocage des récepteurs 5-HT2A. Cette signature multi-récepteurs confère à la prométhazine une efficacité particulière dans les nausées et vomissements d'origine vestibulaire (cinétoses, maladie de Ménière, vertiges), dans les vomissements postopératoires, et dans certaines nausées gravidiques sévères (en deuxième intention après échec des anti-H1 non phénothiaziniques comme la doxylamine). L'effet sédatif H1 central marqué en fait également un hypnotique et un anxiolytique. Le profil d'effets indésirables comporte essentiellement : somnolence marquée (altération vigilance conduite/activités à risque), effets anticholinergiques, hypotension orthostatique, allongement du QTc (à surveiller), réactions paradoxales d'agitation chez le sujet âgé, et exceptionnels effets extrapyramidaux (à forte dose ou terrain vulnérable). En Algérie, la prométhazine est disponible en solution injectable (PRANOK 50 mg/2 mL Global Pharmatech — actif ; PHENERGAN, PROMETHAZINE HCL retirés). Les formes orales (comprimés 25 mg, sirop 5 mg/5 mL) historiquement disponibles (PHENERGAN, HISTAZIN, PHENAZINE) sont aujourd'hui retirées, ce qui pose un problème d'accès thérapeutique. Le pharmacien doit alerter sur l'altération de la vigilance, l'interaction avec l'alcool et autres dépresseurs centraux, et la contre-indication chez le nourrisson (risque de mort subite).</w:t>
      </w:r>
    </w:p>
    <w:p>
      <w:pPr>
        <w:pStyle w:val="Heading2"/>
      </w:pPr>
      <w:r>
        <w:t>Sous-classe 8 — Antiémétiques butyrophénones neuroleptiques</w:t>
      </w:r>
    </w:p>
    <w:p>
      <w:r>
        <w:t>Les butyrophénones, dont le chef de file est l'halopéridol, sont des neuroleptiques classiques antidopaminergiques D2 utilisés en psychiatrie (schizophrénie, agitation) mais également en indication antiémétique, particulièrement dans les nausées et vomissements réfractaires en soins palliatifs et oncologie. L'halopéridol agit par blocage compétitif des récepteurs dopaminergiques D2 centraux au niveau du CTZ et du NTS, inhibant ainsi le réflexe émétique. Sa pharmacocinétique est caractéristique : longue demi-vie (14-36 h), métabolisme hépatique CYP3A4 et CYP2D6, métabolite actif réducé dont la pharmacologie est voisine de la molécule mère. La posologie antiémétique est très inférieure à la posologie antipsychotique : 0,5 à 2 mg par voie sous-cutanée, IM ou IV, toutes les 8-12 h en soins palliatifs ; 1-2 mg per os en prévention. Le profil d'effets indésirables est typique des neuroleptiques : effets extrapyramidaux (parkinsonisme, akathisie, dystonie aiguë, dyskinésie tardive), syndrome malin des neuroleptiques (rare mais grave), allongement du QTc (à surveiller ECG, risque torsades), hyperprolactinémie (aménorrhée, galactorrhée), hypotension orthostatique, sédation, effets anticholinergiques modérés. L'halopéridol reste une option utile en soins palliatifs pour les nausées/vomissements liés à l'occlusion intestinale partielle, à l'insuffisance rénale/ hépatique, ou aux opioïdes, où les antiémétiques de première intention (5-HT3, métoclopramide) ont échoué ou sont contre-indiqués (occlusion complète = CI métoclopramide). En Algérie, l'halopéridol est largement disponible sous de nombreuses marques (HALDOL Janssen princeps, DEPRIDOL Frater Razes, HALLUDOL Saidal, SENORM 5 Sun, HADOL Arab Pharm, HALDOMEX KPMA, HALOL LAD, HALOPERIDOL BGL/PHYSIOPHARM/GL/PHARMAGHREB, HOLIT FORT, ISOPERIDOL, NEURALDOL, VILBAR Biopharm, plus forme retard décanoate HALDOL DECANOAS 50 mg/mL IM pour l'indication psychiatrique). Formes : solution injectable IM 5 mg/mL, solution buvable en gouttes 2 mg/mL (1 goutte ≈ 0,1 mg). Le pharmacien doit être vigilant sur l'allongement QTc (ECG avant initiation et surveillance), les interactions (allongeurs QT, CYP3A4/CYP2D6), et le risque de sédation majorée en association avec opioïdes/benzodiazépines.</w:t>
      </w:r>
    </w:p>
    <w:p>
      <w:pPr>
        <w:pStyle w:val="Heading2"/>
      </w:pPr>
      <w:r>
        <w:t>Sous-classe 9 — Antiémétiques benzamides D2 (Bromopride / Alizapride / Clébopride — non disponibles en Algérie)</w:t>
      </w:r>
    </w:p>
    <w:p>
      <w:r>
        <w:t xml:space="preserve">Les benzamides substitués antiémétiques, dont le chef de file historique est le métoclopramide, comprennent d'autres molécules de la même famille pharmacologique : le bromopride, l'alizapride et le clébopride. Bien que non disponibles dans la nomenclature algérienne d'avril 2026 (aucune spécialité commercialisée actuellement), ils restent mentionnés à des fins académiques car ils sont prescrits dans d'autres pays (France, Europe) et peuvent faire l'objet de demandes d'importation ponctuelles. (a) </w:t>
      </w:r>
      <w:r>
        <w:rPr>
          <w:b/>
        </w:rPr>
        <w:t>Bromopride</w:t>
      </w:r>
      <w:r>
        <w:t xml:space="preserve"> : antagoniste D2 central et périphérique (CTZ), peu différent de la métoclopramide dans son mécanisme ; indications : nausées et vomissements, gastroparésie ; posologie usuelle 10 mg x 3/j per os ou IM/IV ; effets indésirables identiques (extrapyramidaux, hyperprolactinémie, allongement QTc). (b) </w:t>
      </w:r>
      <w:r>
        <w:rPr>
          <w:b/>
        </w:rPr>
        <w:t>Alizapride</w:t>
      </w:r>
      <w:r>
        <w:t xml:space="preserve"> : antagoniste D2 avec également action antihistaminique H1 modérée, utilisé en antiémésie chimio-induite et post-opératoire ; posologie usuelle 50 mg x 3/j per os ou IM/IV ; profil d'EI voisin mais avec somnolence plus marquée. (c) </w:t>
      </w:r>
      <w:r>
        <w:rPr>
          <w:b/>
        </w:rPr>
        <w:t>Clébopride</w:t>
      </w:r>
      <w:r>
        <w:t xml:space="preserve"> : antagoniste D2 plus sélectif, utilisé en dyspepsie et reflux ; profil d'EI voisin. Ces molécules, comme la métoclopramide, exposent à un risque d'effets extrapyramidaux et d'allongement du QTc, et imposent les mêmes règles de prescription courte durée et de surveillance. Le pharmacien algérien doit connaître ces noms pour répondre aux patients venant de l'étranger, signaler la non-disponibilité locale, et proposer une substitution par la métoclopramide ou la dompéridone (selon indication et terrain). L'enseignement de cette classe dans le cadre du Fascicule VI reste essentiel pour la cohérence académique et la comparaison pharmacologique.</w:t>
      </w:r>
    </w:p>
    <w:p>
      <w:pPr>
        <w:pStyle w:val="Heading2"/>
      </w:pPr>
      <w:r>
        <w:t>Sous-classe 10 — Antivertigineux anti-H1 centraux</w:t>
      </w:r>
    </w:p>
    <w:p>
      <w:r>
        <w:t>Les antivertigineux anti-H1 centraux sont un sous-groupe particulier des antihistaminiques H1 de première génération (qui traversent la BHE) utilisés spécifiquement dans le traitement symptomatique des vertiges, cinétoses et troubles vestibulaires. Le chef de file classique est la méclozine (aussi connue sous le nom de méclizine). Le mécanisme antivertigineux est plurifactoriel : (i) blocage des récepteurs H1 centraux au niveau des noyaux vestibulaires (noyaux de Deiters, noyaux vestibulaires médial et supérieur) et du CTZ, où l'histamine joue un rôle de neurotransmetteur activateur de la voie vestibulaire ; (ii) blocage des récepteurs muscariniques mACh centraux, qui réduit la transmission cholinergique des afférences vestibulaires ; (iii) modeste blocage des récepteurs D2 du CTZ (effet antiémétique additionnel). La méclozine est indiquée dans la prévention et le traitement des vertiges d'origine vestibulaire (maladie de Ménière, vertige paroxystique bénin BPPV, neurite vestibulaire), des cinétoses (mal des transports, mal de mer), et accessoirement des nausées gravidiques (en seconde intention). Sa caractéristique pharmacocinétique est une longue demi-vie (~6 h, allant jusqu'à 12 h) permettant une monoprise quotidienne. Le profil d'effets indésirables comporte : somnolence marquée (effet H1 central principal), effets anticholinergiques (sécheresse buccale, mydriase, rétention urinaire, tachycardie, trouble accommodation), hypotension orthostatique, ataxie, et réactions paradoxales d'agitation chez le sujet âgé. En Algérie, la méclozine n'est plus disponible (AGYRAX 25 mg UCB Pharma retiré du marché). Cette pénurie expose les patients algériens vertigineux à un recours systématique vers d'autres antihistaminiques H1 moins spécifiques (dimenhydrinate, prométhazine injectable) ou vers les antihistaminiques H1 de seconde génération (cétirizine, loratadine) qui, en revanche, ne traversent pas la BHE et sont inefficaces sur le vertige. Le pharmacien doit connaître cette classe pour orienter les patients vertigineux vers le médecin ORL, et signaler que la méclozine n'est plus commercialisée ; les alternatives possibles sont les benzodiazépines à demi-vie courte (clonazépam) en traitement de courte durée, ou les antihistaminiques H1 de première génération disponibles (prométhazine injectable), ou le dimenhydrinate (non disponible également).</w:t>
      </w:r>
    </w:p>
    <w:p>
      <w:pPr>
        <w:pStyle w:val="Heading2"/>
      </w:pPr>
      <w:r>
        <w:t>1. DCI : Métoclopramide (seule)</w:t>
      </w:r>
    </w:p>
    <w:p>
      <w:r/>
      <w:r>
        <w:rPr>
          <w:b/>
        </w:rPr>
        <w:t>Liste des Catégories :</w:t>
      </w:r>
      <w:r>
        <w:t xml:space="preserve"> Liste I (injectable), Liste II (comprimés, sirop, suppositoires) — prokinétique et antiémétique.</w:t>
      </w:r>
    </w:p>
    <w:p>
      <w:r>
        <w:t>La métoclopramide est un benzamide substitué (orthopramide) de la même famille structurale que le sulpiride. Sa caractéristique pharmacologique majeure est de combiner trois actions complémentaires : antagoniste des récepteurs dopaminergiques D2 (central et périphérique), agoniste partiel des récepteurs sérotoninergiques 5-HT4 (entériques), et à doses élevées antagoniste des récepteurs 5-HT3. Elle traverse la barrière hémato-encéphalique, ce qui rend compte de son efficacité antiémétique centrale mais aussi de ses effets indésirables neurologiques centraux (syndrome extrapyramidal, akathisie, dystonie). Sa biodisponibilité orale est d'environ 80%, son pic plasmatique atteint en 1-2 h, sa demi-vie d'élimination est de 4-6 h, son métabolisme est hépatique (CYP2D6 mineur) et son élimination est majoritairement rénale (80% sous forme inchangée et métabolites). La liaison aux protéines plasmatiques est d'environ 30%.</w:t>
      </w:r>
    </w:p>
    <w:p>
      <w:r/>
      <w:r>
        <w:rPr>
          <w:b/>
        </w:rPr>
        <w:t>Médicaments disponibles en Algérie (Marques, Laboratoires, Formes et Dosages) :</w:t>
      </w:r>
      <w:r/>
    </w:p>
    <w:p>
      <w:pPr>
        <w:pStyle w:val="ListBullet"/>
      </w:pPr>
      <w:r/>
      <w:r>
        <w:rPr>
          <w:b/>
        </w:rPr>
        <w:t>CLOPRAMID</w:t>
      </w:r>
      <w:r>
        <w:t xml:space="preserve"> (SAIDAL GROUPE / GROUPE SAIDAL)</w:t>
      </w:r>
    </w:p>
    <w:p>
      <w:pPr>
        <w:pStyle w:val="ListBullet"/>
      </w:pPr>
      <w:r>
        <w:t>Formes et Dosages : Solution injectable IM/IV 10 mg/2 mL (B/50 et B/05 ampoules de 2 mL) ; Solution buvable 0,001 (≈ 1 mg/mL) flacon 125 mL ; Solution buvable gouttes 2,6 mg/mL flacon 60 mL</w:t>
      </w:r>
    </w:p>
    <w:p>
      <w:pPr>
        <w:pStyle w:val="ListBullet"/>
      </w:pPr>
      <w:r>
        <w:t>Statut : ACTIF (forme injectable) ; certaines formes NON_RENOUVELABLES</w:t>
      </w:r>
    </w:p>
    <w:p>
      <w:pPr>
        <w:pStyle w:val="ListBullet"/>
      </w:pPr>
      <w:r/>
      <w:r>
        <w:rPr>
          <w:b/>
        </w:rPr>
        <w:t>METOPERAN</w:t>
      </w:r>
      <w:r>
        <w:t xml:space="preserve"> (GEOPHARM)</w:t>
      </w:r>
    </w:p>
    <w:p>
      <w:pPr>
        <w:pStyle w:val="ListBullet"/>
      </w:pPr>
      <w:r>
        <w:t>Formes et Dosages : Solution injectable IM/IV 10 mg/2 mL (B/10 et B/50)</w:t>
      </w:r>
    </w:p>
    <w:p>
      <w:pPr>
        <w:pStyle w:val="ListBullet"/>
      </w:pPr>
      <w:r>
        <w:t>Statut : ACTIF</w:t>
      </w:r>
    </w:p>
    <w:p>
      <w:pPr>
        <w:pStyle w:val="ListBullet"/>
      </w:pPr>
      <w:r/>
      <w:r>
        <w:rPr>
          <w:b/>
        </w:rPr>
        <w:t>MODENUM</w:t>
      </w:r>
      <w:r>
        <w:t xml:space="preserve"> (LES LABORATOIRES FRATER RAZES)</w:t>
      </w:r>
    </w:p>
    <w:p>
      <w:pPr>
        <w:pStyle w:val="ListBullet"/>
      </w:pPr>
      <w:r>
        <w:t>Formes et Dosages : Solution injectable IM/IV 10 mg/2 mL (B/10 et B/50)</w:t>
      </w:r>
    </w:p>
    <w:p>
      <w:pPr>
        <w:pStyle w:val="ListBullet"/>
      </w:pPr>
      <w:r>
        <w:t>Statut : ACTIF</w:t>
      </w:r>
    </w:p>
    <w:p>
      <w:pPr>
        <w:pStyle w:val="ListBullet"/>
      </w:pPr>
      <w:r/>
      <w:r>
        <w:rPr>
          <w:b/>
        </w:rPr>
        <w:t>PRIMPERENE</w:t>
      </w:r>
      <w:r>
        <w:t xml:space="preserve"> (HUPP PHARMA)</w:t>
      </w:r>
    </w:p>
    <w:p>
      <w:pPr>
        <w:pStyle w:val="ListBullet"/>
      </w:pPr>
      <w:r>
        <w:t>Formes et Dosages : Solution injectable IM/IV 10 mg/2 mL (B/10 et B/50)</w:t>
      </w:r>
    </w:p>
    <w:p>
      <w:pPr>
        <w:pStyle w:val="ListBullet"/>
      </w:pPr>
      <w:r>
        <w:t>Statut : ACTIF</w:t>
      </w:r>
    </w:p>
    <w:p>
      <w:pPr>
        <w:pStyle w:val="ListBullet"/>
      </w:pPr>
      <w:r/>
      <w:r>
        <w:rPr>
          <w:b/>
        </w:rPr>
        <w:t>PRIMPA</w:t>
      </w:r>
      <w:r>
        <w:t xml:space="preserve"> (ALGERIAN GENERICS DEVELOPMENT PHARMA — AGD PHARMA)</w:t>
      </w:r>
    </w:p>
    <w:p>
      <w:pPr>
        <w:pStyle w:val="ListBullet"/>
      </w:pPr>
      <w:r>
        <w:t>Formes et Dosages : Comprimé 10 mg (B/40)</w:t>
      </w:r>
    </w:p>
    <w:p>
      <w:pPr>
        <w:pStyle w:val="ListBullet"/>
      </w:pPr>
      <w:r>
        <w:t>Statut : ACTIF</w:t>
      </w:r>
    </w:p>
    <w:p>
      <w:pPr>
        <w:pStyle w:val="ListBullet"/>
      </w:pPr>
      <w:r/>
      <w:r>
        <w:rPr>
          <w:b/>
        </w:rPr>
        <w:t>METOCLAM</w:t>
      </w:r>
      <w:r>
        <w:t xml:space="preserve"> (LABORATOIRE ALGERIEN DU MEDICAMENT — LAM)</w:t>
      </w:r>
    </w:p>
    <w:p>
      <w:pPr>
        <w:pStyle w:val="ListBullet"/>
      </w:pPr>
      <w:r>
        <w:t>Formes et Dosages : Solution buvable 0,1% (0,1 g/100 mL = 1 mg/mL) flacon 200 mL</w:t>
      </w:r>
    </w:p>
    <w:p>
      <w:pPr>
        <w:pStyle w:val="ListBullet"/>
      </w:pPr>
      <w:r>
        <w:t>Statut : ACTIF</w:t>
      </w:r>
    </w:p>
    <w:p>
      <w:pPr>
        <w:pStyle w:val="ListBullet"/>
      </w:pPr>
      <w:r/>
      <w:r>
        <w:rPr>
          <w:b/>
        </w:rPr>
        <w:t>METOPRAM</w:t>
      </w:r>
      <w:r>
        <w:t xml:space="preserve"> (4A SANTE INDUSTRIE)</w:t>
      </w:r>
    </w:p>
    <w:p>
      <w:pPr>
        <w:pStyle w:val="ListBullet"/>
      </w:pPr>
      <w:r>
        <w:t>Formes et Dosages : Suppositoire 10 mg (B/10)</w:t>
      </w:r>
    </w:p>
    <w:p>
      <w:pPr>
        <w:pStyle w:val="ListBullet"/>
      </w:pPr>
      <w:r>
        <w:t>Statut : ACTIF</w:t>
      </w:r>
    </w:p>
    <w:p>
      <w:pPr>
        <w:pStyle w:val="ListBullet"/>
      </w:pPr>
      <w:r/>
      <w:r>
        <w:rPr>
          <w:b/>
        </w:rPr>
        <w:t>METOCLOPRAMIDE</w:t>
      </w:r>
      <w:r>
        <w:t xml:space="preserve"> (RENAUDIN / MEDICUBA)</w:t>
      </w:r>
    </w:p>
    <w:p>
      <w:pPr>
        <w:pStyle w:val="ListBullet"/>
      </w:pPr>
      <w:r>
        <w:t>Formes et Dosages : Solution injectable 10 mg (B/10 ampoules) ; Comprimé 10 mg (B/10)</w:t>
      </w:r>
    </w:p>
    <w:p>
      <w:pPr>
        <w:pStyle w:val="ListBullet"/>
      </w:pPr>
      <w:r>
        <w:t>Statut : NON_RENOUVELABLE / RETRAIT (R)</w:t>
      </w:r>
    </w:p>
    <w:p>
      <w:pPr>
        <w:pStyle w:val="ListBullet"/>
      </w:pPr>
      <w:r/>
      <w:r>
        <w:rPr>
          <w:b/>
        </w:rPr>
        <w:t>PRIMPERAN</w:t>
      </w:r>
      <w:r>
        <w:t xml:space="preserve"> (WINTHROP PHARMA SAIDAL / SANOFI SYNTHELABO)</w:t>
      </w:r>
    </w:p>
    <w:p>
      <w:pPr>
        <w:pStyle w:val="ListBullet"/>
      </w:pPr>
      <w:r>
        <w:t>Formes et Dosages : Solution injectable 10 mg/2 mL (B/12 ampoules) ; Solution buvable édulcorée saccharine 1 mg/mL (flacon 200 mL) ; Comprimé sécable 10 mg (B/40)</w:t>
      </w:r>
    </w:p>
    <w:p>
      <w:pPr>
        <w:pStyle w:val="ListBullet"/>
      </w:pPr>
      <w:r>
        <w:t>Statut : NON_RENOUVELABLE / RETRAIT (R)</w:t>
      </w:r>
    </w:p>
    <w:p>
      <w:pPr>
        <w:pStyle w:val="ListBullet"/>
      </w:pPr>
      <w:r/>
      <w:r>
        <w:rPr>
          <w:b/>
        </w:rPr>
        <w:t>CLORAMID</w:t>
      </w:r>
      <w:r>
        <w:t xml:space="preserve"> (GROUPE SAIDAL)</w:t>
      </w:r>
    </w:p>
    <w:p>
      <w:pPr>
        <w:pStyle w:val="ListBullet"/>
      </w:pPr>
      <w:r>
        <w:t>Formes et Dosages : Comprimé 10 mg (B/40)</w:t>
      </w:r>
    </w:p>
    <w:p>
      <w:pPr>
        <w:pStyle w:val="ListBullet"/>
      </w:pPr>
      <w:r>
        <w:t>Statut : NON_RENOUVELABLE</w:t>
      </w:r>
    </w:p>
    <w:p>
      <w:pPr>
        <w:pStyle w:val="ListBullet"/>
      </w:pPr>
      <w:r/>
      <w:r>
        <w:rPr>
          <w:b/>
        </w:rPr>
        <w:t>METOCAI</w:t>
      </w:r>
      <w:r>
        <w:t xml:space="preserve"> (LABORATOIRE ALGERIEN DE DEVELOPPEMENT PHARMACEUTIQUE — LAD)</w:t>
      </w:r>
    </w:p>
    <w:p>
      <w:pPr>
        <w:pStyle w:val="ListBullet"/>
      </w:pPr>
      <w:r>
        <w:t>Formes et Dosages : Solution buvable 1 mg/mL (flacon 125 mL)</w:t>
      </w:r>
    </w:p>
    <w:p>
      <w:pPr>
        <w:pStyle w:val="ListBullet"/>
      </w:pPr>
      <w:r>
        <w:t>Statut : NON_RENOUVELABLE</w:t>
      </w:r>
    </w:p>
    <w:p>
      <w:pPr>
        <w:pStyle w:val="ListBullet"/>
      </w:pPr>
      <w:r/>
      <w:r>
        <w:rPr>
          <w:b/>
        </w:rPr>
        <w:t>METOPRIN</w:t>
      </w:r>
      <w:r>
        <w:t xml:space="preserve"> (LABORATOIRE PHARMACEUTIQUE ALGERIEN DE PRODUCTION — LPA)</w:t>
      </w:r>
    </w:p>
    <w:p>
      <w:pPr>
        <w:pStyle w:val="ListBullet"/>
      </w:pPr>
      <w:r>
        <w:t>Formes et Dosages : Solution buvable 1 mg/mL (flacon 200 mL)</w:t>
      </w:r>
    </w:p>
    <w:p>
      <w:pPr>
        <w:pStyle w:val="ListBullet"/>
      </w:pPr>
      <w:r>
        <w:t>Statut : NON_RENOUVELABLE</w:t>
      </w:r>
    </w:p>
    <w:p>
      <w:pPr>
        <w:pStyle w:val="ListBullet"/>
      </w:pPr>
      <w:r/>
      <w:r>
        <w:rPr>
          <w:b/>
        </w:rPr>
        <w:t>MEPRAMIDE</w:t>
      </w:r>
      <w:r>
        <w:t xml:space="preserve"> (BIOPHARM ALGERIE)</w:t>
      </w:r>
    </w:p>
    <w:p>
      <w:pPr>
        <w:pStyle w:val="ListBullet"/>
      </w:pPr>
      <w:r>
        <w:t>Formes et Dosages : Suppositoire 10 mg (B/10)</w:t>
      </w:r>
    </w:p>
    <w:p>
      <w:pPr>
        <w:pStyle w:val="ListBullet"/>
      </w:pPr>
      <w:r>
        <w:t>Statut : NON_RENOUVELABLE</w:t>
      </w:r>
    </w:p>
    <w:p>
      <w:pPr>
        <w:pStyle w:val="ListBullet"/>
      </w:pPr>
      <w:r/>
      <w:r>
        <w:rPr>
          <w:b/>
        </w:rPr>
        <w:t>METOSIL</w:t>
      </w:r>
      <w:r>
        <w:t xml:space="preserve"> (SPIMACO)</w:t>
      </w:r>
    </w:p>
    <w:p>
      <w:pPr>
        <w:pStyle w:val="ListBullet"/>
      </w:pPr>
      <w:r>
        <w:t>Formes et Dosages : Comprimé 10 mg (B/20)</w:t>
      </w:r>
    </w:p>
    <w:p>
      <w:pPr>
        <w:pStyle w:val="ListBullet"/>
      </w:pPr>
      <w:r>
        <w:t>Statut : RETRAIT (R)</w:t>
      </w:r>
    </w:p>
    <w:p>
      <w:pPr>
        <w:pStyle w:val="ListBullet"/>
      </w:pPr>
      <w:r/>
      <w:r>
        <w:rPr>
          <w:b/>
        </w:rPr>
        <w:t>PASPERAN</w:t>
      </w:r>
      <w:r>
        <w:t xml:space="preserve"> (MEDI PHARMA INTERNATIONAL — MEDICOLABS SYRIE)</w:t>
      </w:r>
    </w:p>
    <w:p>
      <w:pPr>
        <w:pStyle w:val="ListBullet"/>
      </w:pPr>
      <w:r>
        <w:t>Formes et Dosages : Comprimé 10 mg (B/20)</w:t>
      </w:r>
    </w:p>
    <w:p>
      <w:pPr>
        <w:pStyle w:val="ListBullet"/>
      </w:pPr>
      <w:r>
        <w:t>Statut : RETRAIT (R)</w:t>
      </w:r>
    </w:p>
    <w:p>
      <w:pPr>
        <w:pStyle w:val="ListBullet"/>
      </w:pPr>
      <w:r/>
      <w:r>
        <w:rPr>
          <w:b/>
        </w:rPr>
        <w:t>PRAMIDOL</w:t>
      </w:r>
      <w:r>
        <w:t xml:space="preserve"> (GALENICA)</w:t>
      </w:r>
    </w:p>
    <w:p>
      <w:pPr>
        <w:pStyle w:val="ListBullet"/>
      </w:pPr>
      <w:r>
        <w:t>Formes et Dosages : Comprimé 10 mg (B/40) ; Solution buvable 1 mg/mL (flacon 125 mL) ; Gouttes buvables 0,026 (flacon 60 mL)</w:t>
      </w:r>
    </w:p>
    <w:p>
      <w:pPr>
        <w:pStyle w:val="ListBullet"/>
      </w:pPr>
      <w:r>
        <w:t>Statut : RETRAIT (R)</w:t>
      </w:r>
    </w:p>
    <w:p>
      <w:pPr>
        <w:pStyle w:val="ListBullet"/>
      </w:pPr>
      <w:r/>
      <w:r>
        <w:rPr>
          <w:b/>
        </w:rPr>
        <w:t>PYLOMID</w:t>
      </w:r>
      <w:r>
        <w:t xml:space="preserve"> (JORDANIAN PHARMACEUTICAL MANUFACTURING — JPM)</w:t>
      </w:r>
    </w:p>
    <w:p>
      <w:pPr>
        <w:pStyle w:val="ListBullet"/>
      </w:pPr>
      <w:r>
        <w:t>Formes et Dosages : Comprimé 10 mg (B/30)</w:t>
      </w:r>
    </w:p>
    <w:p>
      <w:pPr>
        <w:pStyle w:val="ListBullet"/>
      </w:pPr>
      <w:r>
        <w:t>Statut : RETRAIT (R)</w:t>
      </w:r>
    </w:p>
    <w:p>
      <w:pPr>
        <w:pStyle w:val="ListBullet"/>
      </w:pPr>
      <w:r/>
      <w:r>
        <w:rPr>
          <w:b/>
        </w:rPr>
        <w:t>PRIMPERAN ENFANTS ET NOURRISSONS</w:t>
      </w:r>
      <w:r>
        <w:t xml:space="preserve"> (SANOFI AVENTIS)</w:t>
      </w:r>
    </w:p>
    <w:p>
      <w:pPr>
        <w:pStyle w:val="ListBullet"/>
      </w:pPr>
      <w:r>
        <w:t>Formes et Dosages : Solution buvable gouttes 2,6 mg/mL (flacon 60 mL)</w:t>
      </w:r>
    </w:p>
    <w:p>
      <w:pPr>
        <w:pStyle w:val="ListBullet"/>
      </w:pPr>
      <w:r>
        <w:t>Statut : RETRAIT (R)</w:t>
      </w:r>
    </w:p>
    <w:p>
      <w:pPr>
        <w:pStyle w:val="ListBullet"/>
      </w:pPr>
      <w:r/>
      <w:r>
        <w:rPr>
          <w:b/>
        </w:rPr>
        <w:t>ISOCLOPRAMID</w:t>
      </w:r>
      <w:r>
        <w:t xml:space="preserve"> (ISOPHARM ALGERIE)</w:t>
      </w:r>
    </w:p>
    <w:p>
      <w:pPr>
        <w:pStyle w:val="ListBullet"/>
      </w:pPr>
      <w:r>
        <w:t>Formes et Dosages : Solution buvable gouttes 2,6 mg/mL (flacon 60 mL + pipette)</w:t>
      </w:r>
    </w:p>
    <w:p>
      <w:pPr>
        <w:pStyle w:val="ListBullet"/>
      </w:pPr>
      <w:r>
        <w:t>Statut : RETRAIT (R)</w:t>
      </w:r>
    </w:p>
    <w:p>
      <w:pPr>
        <w:pStyle w:val="ListBullet"/>
      </w:pPr>
      <w:r/>
      <w:r>
        <w:rPr>
          <w:b/>
        </w:rPr>
        <w:t>KOPRANIDE ENFANT ET NOURRISSON</w:t>
      </w:r>
      <w:r>
        <w:t xml:space="preserve"> (BIO-GALENIC)</w:t>
      </w:r>
    </w:p>
    <w:p>
      <w:pPr>
        <w:pStyle w:val="ListBullet"/>
      </w:pPr>
      <w:r>
        <w:t>Formes et Dosages : Solution buvable gouttes 2,6 mg/mL (flacon 60 mL + seringue graduée en kg)</w:t>
      </w:r>
    </w:p>
    <w:p>
      <w:pPr>
        <w:pStyle w:val="ListBullet"/>
      </w:pPr>
      <w:r>
        <w:t>Statut : RETRAIT (R)</w:t>
      </w:r>
    </w:p>
    <w:p>
      <w:pPr>
        <w:pStyle w:val="ListBullet"/>
      </w:pPr>
      <w:r/>
      <w:r>
        <w:rPr>
          <w:b/>
        </w:rPr>
        <w:t>GEMPERAN</w:t>
      </w:r>
      <w:r>
        <w:t xml:space="preserve"> (ARAB PHARM)</w:t>
      </w:r>
    </w:p>
    <w:p>
      <w:pPr>
        <w:pStyle w:val="ListBullet"/>
      </w:pPr>
      <w:r>
        <w:t>Formes et Dosages : Solution buvable gouttes 2,60 mg/mL (flacon 60 mL)</w:t>
      </w:r>
    </w:p>
    <w:p>
      <w:pPr>
        <w:pStyle w:val="ListBullet"/>
      </w:pPr>
      <w:r>
        <w:t>Statut : RETRAIT (R)</w:t>
      </w:r>
    </w:p>
    <w:p>
      <w:r/>
      <w:r>
        <w:rPr>
          <w:b/>
        </w:rPr>
        <w:t>Sous-classe et Mécanisme d'action :</w:t>
      </w:r>
      <w:r/>
    </w:p>
    <w:p>
      <w:pPr>
        <w:pStyle w:val="ListBullet"/>
      </w:pPr>
      <w:r>
        <w:t>Sous-classe : Prokinétique antiémétique de la famille des benzamides substitués (orthopramides), antagoniste dopaminergique D2 central et périphérique, agoniste 5-HT4 partiel, antagoniste 5-HT3 à doses élevées.</w:t>
      </w:r>
    </w:p>
    <w:p>
      <w:pPr>
        <w:pStyle w:val="ListBullet"/>
      </w:pPr>
      <w:r>
        <w:t xml:space="preserve">Mécanisme d'action : La métoclopramide exerce son action par trois mécanismes complémentaires. (1) </w:t>
      </w:r>
      <w:r>
        <w:rPr>
          <w:b/>
        </w:rPr>
        <w:t>Blocage des récepteurs D2 centraux au niveau de la zone gâchette chimioréceptive (area postrema / CTZ)</w:t>
      </w:r>
      <w:r>
        <w:t xml:space="preserve"> — situé hors de la BHE — ce qui inhibe le réflexe émétique déclenché par les stimuli dopaminergiques (médicaments émétisants, toxins urémiques, métabolites). Le blocage D2 du CTZ explique l'effet antiémétique central. (2) </w:t>
      </w:r>
      <w:r>
        <w:rPr>
          <w:b/>
        </w:rPr>
        <w:t>Blocage des récepteurs D2 périphériques sur les neurones entériques</w:t>
      </w:r>
      <w:r>
        <w:t xml:space="preserve"> des plexus myentériques (Auerbach) et sous-muqueux (Meissner) : la dopamine endogène exerce un tonus inhibiteur sur la motilité digestive ; son blocage lève cette inhibition, augmente la libération d'acétylcholine au niveau des jonctions neuromusculaires, et stimule le tonus du sphincter inférieur de l'oesophage (SIO), augmente l'amplitude des contractions antrales, accélère la vidange gastrique, et coordonne la motilité antro-duodénale. (3) </w:t>
      </w:r>
      <w:r>
        <w:rPr>
          <w:b/>
        </w:rPr>
        <w:t>Agonisme partiel 5-HT4</w:t>
      </w:r>
      <w:r>
        <w:t xml:space="preserve"> : la stimulation des récepteurs 5-HT4 entériques potentialise la libération d'acétylcholine et renforce l'effet prokinétique. À doses élevées (1-2 mg/kg, utilisées en chimiothérapie fortement émétisante), un blocage des récepteurs 5-HT3 centraux et périphériques complète l'action antiémétique.</w:t>
      </w:r>
    </w:p>
    <w:p>
      <w:r/>
      <w:r>
        <w:rPr>
          <w:b/>
        </w:rPr>
        <w:t>Profil Pharmacologique :</w:t>
      </w:r>
      <w:r/>
    </w:p>
    <w:p>
      <w:pPr>
        <w:pStyle w:val="ListBullet"/>
      </w:pPr>
      <w:r>
        <w:t>Indications : (a) Nausées et vomissements d'origine non spécifique (gastro-entérite, dyspepsie, post-opératoire) en traitement court (&lt; 5 jours) ; (b) Gastroparésie (notamment diabétique, post-chirurgicale) ; (c) Reflux gastro-oesophagien (RGO) en seconde intention après échec des antiacides et IPP à dose minimale efficace ; (d) Préparation à l'endoscopie ou au radiodiagnostic digestif ; (e) Prévention des vomissements induits par chimiothérapie modérément à fortement émétisante (à dose élevée 1-2 mg/kg IV associée à corticoïde) ; (f) Aide à la montée laiteuse (effet hyperprolactinémiant) en cas d'échec des méthodes non pharmacologiques — usage de courte durée.</w:t>
      </w:r>
    </w:p>
    <w:p>
      <w:pPr>
        <w:pStyle w:val="ListBullet"/>
      </w:pPr>
      <w:r>
        <w:t>Contre-indications : (a) Hypersensibilité à la métoclopramide ou aux excipients ; (b) Maladie de Parkinson et autres syndromes parkinsoniens (lévodopa, agonistes dopaminergiques — antagonisme pharmacologique) ; (c) Tumeur prolactino-sécrétante (adénome à prolactine, cancer du sein hormonosensible) en raison de l'hyperprolactinémie induite ; (d) Occlusion intestinale complète, perforation digestive, hémorragie digestive active (la stimulation prokinétique majore le risque) ; (e) Phéochromocytome (risque de crise hypertensive par libération de catécholamines) ; (f) Antécédent de dyskinésie tardive médicamenteuse ; (g) Épilepsie sévère (abaissement du seuil épileptogène) ; (h) Premier trimestre de grossesse (à éviter) ; (i) Enfant &lt; 1 an (CI absolue) et prudence &lt; 18 ans (risque extrapyramidal majoré) ; (j) Association avec lévodopa, dopamine, agonistes dopaminergiques (antagonisme) ; (k) Allaitement (à éviter en raison du passage dans le lait).</w:t>
      </w:r>
    </w:p>
    <w:p>
      <w:pPr>
        <w:pStyle w:val="ListBullet"/>
      </w:pPr>
      <w:r>
        <w:t xml:space="preserve">Effets Indésirables : (a) </w:t>
      </w:r>
      <w:r>
        <w:rPr>
          <w:b/>
        </w:rPr>
        <w:t>Effets extrapyramidaux</w:t>
      </w:r>
      <w:r>
        <w:t xml:space="preserve"> (incidence 1-10% selon dose et durée) : dystonie aiguë (trismus, torticolis, crise oculogyre, opisthotonos — surtout enfant et sujet jeune), akathisie (sensation d'agitation motrice, incapacité à rester immobile), parkinsonisme bradykinétique (hypokinésie, rigidité, tremblement), dyskinésie tardive ( mouvements involontaires anormaux bucco-faciaux et tronculaires — prolongée, parfois irréversible, surtout femme âgée et traitement prolongé &gt; 3 mois) ; (b) </w:t>
      </w:r>
      <w:r>
        <w:rPr>
          <w:b/>
        </w:rPr>
        <w:t>Syndrome malin des neuroleptiques</w:t>
      </w:r>
      <w:r>
        <w:t xml:space="preserve"> (rare, &lt; 1/10 000 — hyperthermie, rigidité, altération de la conscience, rhabdomyolyse, insuffisance rénale aiguë) ; (c) </w:t>
      </w:r>
      <w:r>
        <w:rPr>
          <w:b/>
        </w:rPr>
        <w:t>Hyperprolactinémie</w:t>
      </w:r>
      <w:r>
        <w:t xml:space="preserve"> (très fréquente) : galactorrhée, aménorrhée, gynécomastie, troubles de la libido, impuissance ; (d) Effets digestifs : diarrhée, constipation, douleurs abdominales ; (e) Sédation, somnolence, asthénie, céphalées, vertiges ; (f) Hypotension orthostatique, tachycardie ; (g) Allongement du QTc (rare, à surveiller ECG si terrain cardiaque) ; (h) Réactions allergiques (rash, urticaire, exceptionnellement anaphylaxie).</w:t>
      </w:r>
    </w:p>
    <w:p>
      <w:r/>
      <w:r>
        <w:rPr>
          <w:b/>
        </w:rPr>
        <w:t>Prévention et Gestion des Effets Indésirables :</w:t>
      </w:r>
      <w:r/>
    </w:p>
    <w:p>
      <w:pPr>
        <w:pStyle w:val="ListBullet"/>
      </w:pPr>
      <w:r>
        <w:t xml:space="preserve">Mesures Préventives : (a) </w:t>
      </w:r>
      <w:r>
        <w:rPr>
          <w:b/>
        </w:rPr>
        <w:t>Durée maximale de traitement de 5 jours</w:t>
      </w:r>
      <w:r>
        <w:t xml:space="preserve"> (recommandation ANSM/EMA 2013) — règle absolue pour minimiser le risque de dyskinésie tardive ; (b) Posologie minimale efficace, particulièrement chez le sujet âgé (≤ 30 mg/jour) et l'enfant (poids-ajustée) ; (c) Éviter la prescription systématique et préférer les approches non pharmacologiques en première intention (hydratation, régime, antiacides) ; (d) Chez l'enfant &lt; 18 ans, réserver à la 2e/3e intention après échec des anti-H1 ou dompéridone ; chez l'enfant &lt; 1 an : CI absolue ; (e) Vérifier l'absence de maladie de Parkinson, de tumeur prolactine-dépendante, d'antécédent de dyskinésie tardive ; (f) Surveillance de la prolactinémie si traitement prolongé (en théorie, mais la durée courte le rend rarement nécessaire) ; (g) ECG préalable et surveillance si terrain cardiaque, hypokaliémie, allongeurs QT associés.</w:t>
      </w:r>
    </w:p>
    <w:p>
      <w:pPr>
        <w:pStyle w:val="ListBullet"/>
      </w:pPr>
      <w:r>
        <w:t xml:space="preserve">Conduite à Tenir : (a) </w:t>
      </w:r>
      <w:r>
        <w:rPr>
          <w:b/>
        </w:rPr>
        <w:t>Arrêt immédiat</w:t>
      </w:r>
      <w:r>
        <w:t xml:space="preserve"> en cas de signes extrapyramidaux (dystonie, akathisie, parkinsonisme, dyskinésie) — ne jamais réintroduire la molécule, signaler en pharmacovigilance ; (b) En cas de dystonie aiguë : traitement par anticholinergique (tri hexyphénidyle, tropatépine) ou benzodiazépine ; (c) En cas de syndrome malin des neuroleptiques : arrêt urgent, réhydratation, refroidissement, dantrolène IV, hospitalisation en réanimation ; (d) En cas d'hyperprolactinémie symptomatique : arrêt, discussion alternative (dompéridone avec surveillance QT, ou IPP si reflux) ; (e) En cas d'allongement du QTc : arrêt, ECG, correction des troubles électrolytiques, éviter réintroduction.</w:t>
      </w:r>
    </w:p>
    <w:p>
      <w:r/>
      <w:r>
        <w:rPr>
          <w:b/>
        </w:rPr>
        <w:t>Interactions Importantes :</w:t>
      </w:r>
      <w:r/>
    </w:p>
    <w:p>
      <w:pPr>
        <w:pStyle w:val="ListBullet"/>
      </w:pPr>
      <w:r/>
      <w:r>
        <w:rPr>
          <w:b/>
        </w:rPr>
        <w:t>Métoclopramide + anticholinergiques (atropine, tropatépine, trihexyphénidyle, antidépresseurs tricycliques, paroxetine anticholinergique)</w:t>
      </w:r>
      <w:r>
        <w:t xml:space="preserve"> : antagonisme pharmacologique du effet prokinétique (les anticholinergiques diminuent la motilité, la métoclopramide l'augmente) — à éviter ou surveiller.</w:t>
      </w:r>
    </w:p>
    <w:p>
      <w:pPr>
        <w:pStyle w:val="ListBullet"/>
      </w:pPr>
      <w:r/>
      <w:r>
        <w:rPr>
          <w:b/>
        </w:rPr>
        <w:t>Métoclopramide + neuroleptiques (halopéridol, chlorpromazine, rispéridone, olanzapine)</w:t>
      </w:r>
      <w:r>
        <w:t xml:space="preserve"> : addition des effets extrapyramidaux et hyperprolactinémie — association déconseillée.</w:t>
      </w:r>
    </w:p>
    <w:p>
      <w:pPr>
        <w:pStyle w:val="ListBullet"/>
      </w:pPr>
      <w:r/>
      <w:r>
        <w:rPr>
          <w:b/>
        </w:rPr>
        <w:t>Métoclopramide + lévodopa / agonistes dopaminergiques (bromocriptine, pramipexole, ropinirole)</w:t>
      </w:r>
      <w:r>
        <w:t xml:space="preserve"> : antagonisme réciproque — CI absolue.</w:t>
      </w:r>
    </w:p>
    <w:p>
      <w:pPr>
        <w:pStyle w:val="ListBullet"/>
      </w:pPr>
      <w:r/>
      <w:r>
        <w:rPr>
          <w:b/>
        </w:rPr>
        <w:t>Métoclopramide + allongeurs QT (amiodarone, sotalol, halofantrine, macrolides, fluoroquinolones, antidépresseurs tricycliques, méthadone, dropéridol, sultopride)</w:t>
      </w:r>
      <w:r>
        <w:t xml:space="preserve"> : risque majoré d'allongement QTc et de torsades de pointe.</w:t>
      </w:r>
    </w:p>
    <w:p>
      <w:pPr>
        <w:pStyle w:val="ListBullet"/>
      </w:pPr>
      <w:r/>
      <w:r>
        <w:rPr>
          <w:b/>
        </w:rPr>
        <w:t>Métoclopramide + alcohol / dépresseurs centraux (benzodiazépines, opioïdes, antihistaminiques H1 sédatifs)</w:t>
      </w:r>
      <w:r>
        <w:t xml:space="preserve"> : potentialisation de la sédation.</w:t>
      </w:r>
    </w:p>
    <w:p>
      <w:pPr>
        <w:pStyle w:val="ListBullet"/>
      </w:pPr>
      <w:r/>
      <w:r>
        <w:rPr>
          <w:b/>
        </w:rPr>
        <w:t>Métoclopramide + inhibiteurs CYP2D6 (paroxétine, fluoxétine, bupropion)</w:t>
      </w:r>
      <w:r>
        <w:t xml:space="preserve"> : augmentation possible des concentrations plasmatiques (mineur).</w:t>
      </w:r>
    </w:p>
    <w:p>
      <w:pPr>
        <w:pStyle w:val="ListBullet"/>
      </w:pPr>
      <w:r/>
      <w:r>
        <w:rPr>
          <w:b/>
        </w:rPr>
        <w:t>Métoclopramide + digoxine</w:t>
      </w:r>
      <w:r>
        <w:t xml:space="preserve"> : augmentation de l'absorption digestive de la digoxine (action prokinétique) — surveiller digoxinémie.</w:t>
      </w:r>
    </w:p>
    <w:p>
      <w:pPr>
        <w:pStyle w:val="ListBullet"/>
      </w:pPr>
      <w:r/>
      <w:r>
        <w:rPr>
          <w:b/>
        </w:rPr>
        <w:t>Métoclopramide + ciclosporine</w:t>
      </w:r>
      <w:r>
        <w:t xml:space="preserve"> : augmentation de l'absorption (Cmax ↑) — surveiller taux.</w:t>
      </w:r>
    </w:p>
    <w:p>
      <w:pPr>
        <w:pStyle w:val="ListBullet"/>
      </w:pPr>
      <w:r/>
      <w:r>
        <w:rPr>
          <w:b/>
        </w:rPr>
        <w:t>Métoclopramide + warfarine</w:t>
      </w:r>
      <w:r>
        <w:t xml:space="preserve"> : variation possible de l'INR — surveiller.</w:t>
      </w:r>
    </w:p>
    <w:p>
      <w:pPr>
        <w:pStyle w:val="ListBullet"/>
      </w:pPr>
      <w:r/>
      <w:r>
        <w:rPr>
          <w:b/>
        </w:rPr>
        <w:t>Métoclopramide + cisapride, dompéridone, bromopride</w:t>
      </w:r>
      <w:r>
        <w:t xml:space="preserve"> : association de prokinétiques non recommandée (addition effets extrapyramidaux et hyperprolactinémie).</w:t>
      </w:r>
    </w:p>
    <w:p>
      <w:r/>
      <w:r>
        <w:rPr>
          <w:b/>
        </w:rPr>
        <w:t>Grossesse et Allaitement :</w:t>
      </w:r>
      <w:r/>
    </w:p>
    <w:p>
      <w:pPr>
        <w:pStyle w:val="ListBullet"/>
      </w:pPr>
      <w:r>
        <w:t xml:space="preserve">Grossesse : Selon le CRAT, la métoclopramide est considérée comme </w:t>
      </w:r>
      <w:r>
        <w:rPr>
          <w:b/>
        </w:rPr>
        <w:t>compatible pendant la grossesse</w:t>
      </w:r>
      <w:r>
        <w:t xml:space="preserve"> en cas de nécessité, mais à éviter au 1er trimestre (données contradictoires sur une possible augmentation modeste des malformations cardiovasculaires fœtales — débat non tranché). Au 2e et 3e trimestre, l'usage ponctuel est possible. À la fin du 3e trimestre, risque théorique de dystonie extrapyramidale chez le nouveau-né si usage prolongé en fin de grossesse — usage court privilégié. À éviter en prescription prolongée. Le risque tératogène malformatif global reste faible mais le bénéfice doit être évalué.</w:t>
      </w:r>
    </w:p>
    <w:p>
      <w:pPr>
        <w:pStyle w:val="ListBullet"/>
      </w:pPr>
      <w:r>
        <w:t xml:space="preserve">Allaitement : Selon le CRAT, la métoclopramide est </w:t>
      </w:r>
      <w:r>
        <w:rPr>
          <w:b/>
        </w:rPr>
        <w:t>compatible avec l'allaitement</w:t>
      </w:r>
      <w:r>
        <w:t xml:space="preserve"> en usage ponctuel et court. Elle passe faiblement dans le lait maternel (rapport lait/plasma ≈ 0,5 à 1,5). À noter que la métoclopramide est parfois utilisée intentionnellement pour stimuler la lactation (effet hyperprolactinémiant), mais cette indication est hors AMM et nécessite prescription médicale avec évaluation du rapport bénéfice/risque. Surveillance de l'enfant allaité (somnolence, troubles digestifs).</w:t>
      </w:r>
    </w:p>
    <w:p>
      <w:pPr>
        <w:pStyle w:val="ListBullet"/>
      </w:pPr>
      <w:r>
        <w:t>Précisions : Risque fœtal principal = effets extrapyramidaux et hyperprolactinémie chez le nouveau-né en cas d'usage prolongé ou dose élevée en fin de grossesse. Préférer les anti-H1 (doxylamine + pyridoxine) ou les antiacides en première intention au 1er trimestre pour les nausées gravidiques.</w:t>
      </w:r>
    </w:p>
    <w:p>
      <w:r/>
      <w:r>
        <w:rPr>
          <w:b/>
        </w:rPr>
        <w:t>Posologie et Mode d'administration (Standard) :</w:t>
      </w:r>
      <w:r/>
    </w:p>
    <w:p>
      <w:pPr>
        <w:pStyle w:val="ListBullet"/>
      </w:pPr>
      <w:r>
        <w:t xml:space="preserve">Adulte : Comprimé 10 mg, 1 comprimé x 3/jour avant les repas et au coucher, </w:t>
      </w:r>
      <w:r>
        <w:rPr>
          <w:b/>
        </w:rPr>
        <w:t>durée maximale 5 jours</w:t>
      </w:r>
      <w:r>
        <w:t xml:space="preserve"> (≤ 30 mg/jour). Solution injectable IM/IV 10 mg (1 ampoule de 2 mL) x 1 à 3/jour, durée limitée. Solution buvable : 1 cuillère à soupe (15 mL = 15 mg) x 3/jour, durée 5 jours max. Suppositoire 10 mg x 2-3/jour (alternative en cas de vomissements empêchant la voie orale).</w:t>
      </w:r>
    </w:p>
    <w:p>
      <w:pPr>
        <w:pStyle w:val="ListBullet"/>
      </w:pPr>
      <w:r>
        <w:t>Sujet âgé : réduction de dose à 5 mg x 3/jour (≤ 15 mg/jour), en raison du risque majoré d'effets extrapyramidaux et de dyskinésie tardive. Surveillance neurologique accrue.</w:t>
      </w:r>
    </w:p>
    <w:p>
      <w:pPr>
        <w:pStyle w:val="ListBullet"/>
      </w:pPr>
      <w:r>
        <w:t xml:space="preserve">Enfant : 0,1 à 0,15 mg/kg x 3/jour, </w:t>
      </w:r>
      <w:r>
        <w:rPr>
          <w:b/>
        </w:rPr>
        <w:t>uniquement en 2e ou 3e intention</w:t>
      </w:r>
      <w:r>
        <w:t xml:space="preserve"> (CI &lt; 1 an, prudence &lt; 18 ans). Forme gouttes buvables (2,6 mg/mL, soit 0,26 mg/goutte) pipette graduée en kg pour administration pédiatrique.</w:t>
      </w:r>
    </w:p>
    <w:p>
      <w:pPr>
        <w:pStyle w:val="ListBullet"/>
      </w:pPr>
      <w:r>
        <w:t>Insuffisance rénale : adapter (ClCr &lt; 40 mL/min : 5 mg x 2/jour ; dialyse : 5 mg en fin de dialyse).</w:t>
      </w:r>
    </w:p>
    <w:p>
      <w:pPr>
        <w:pStyle w:val="ListBullet"/>
      </w:pPr>
      <w:r>
        <w:t>Insuffisance hépatique : pas d'adaptation formelle, mais prudence (métabolisme hépatique).</w:t>
      </w:r>
    </w:p>
    <w:p>
      <w:pPr>
        <w:pStyle w:val="ListBullet"/>
      </w:pPr>
      <w:r>
        <w:t xml:space="preserve">Durée : </w:t>
      </w:r>
      <w:r>
        <w:rPr>
          <w:b/>
        </w:rPr>
        <w:t>5 jours maximum</w:t>
      </w:r>
      <w:r>
        <w:t xml:space="preserve"> (recommandation ANSM/EMA 2013) — règle absolue pour la forme orale. En prévention des vomissements chimio-induits, administration IV ponctuelle possible J1 de la chimiothérapie.</w:t>
      </w:r>
    </w:p>
    <w:p>
      <w:pPr>
        <w:pStyle w:val="ListBullet"/>
      </w:pPr>
      <w:r>
        <w:t>Moment de prise : avant les repas (15-30 min) et au coucher pour optimiser l'effet prokinétique sur la vidange gastrique. En prévention chimio-induite : 30 min avant la chimiothérapie.</w:t>
      </w:r>
    </w:p>
    <w:p>
      <w:r/>
      <w:r>
        <w:rPr>
          <w:b/>
        </w:rPr>
        <w:t>Arbitrage et Bénéfices des Formes Galéniques :</w:t>
      </w:r>
      <w:r/>
    </w:p>
    <w:p>
      <w:pPr>
        <w:pStyle w:val="ListBullet"/>
      </w:pPr>
      <w:r/>
      <w:r>
        <w:rPr>
          <w:b/>
        </w:rPr>
        <w:t>Comprimés 10 mg</w:t>
      </w:r>
      <w:r>
        <w:t xml:space="preserve"> (PRIMPA, METOPRAM suppositoire pour enfant) : voie orale ambulatoire, durée stricte 5 jours, sécabilité utile pour adaptation posologique (sujet âgé, insuffisance rénale). Pratique pour la ville.</w:t>
      </w:r>
    </w:p>
    <w:p>
      <w:pPr>
        <w:pStyle w:val="ListBullet"/>
      </w:pPr>
      <w:r/>
      <w:r>
        <w:rPr>
          <w:b/>
        </w:rPr>
        <w:t>Solution buvable 1 mg/mL et gouttes 2,6 mg/mL</w:t>
      </w:r>
      <w:r>
        <w:t xml:space="preserve"> (METOCLAM, METOCAI, METOPRIN, PRAMIDOL, KOPRANIDE, GEMPERAN, ISOCLOPRAMID, PRIMPERAN ENFANTS) : usage pédiatrique (pipette graduée en kg), adaptation posologique fine, alternative à la forme comprimé en cas de difficulté de déglutition. Concentration 2,6 mg/mL permet administration en gouttes (1 goutte ≈ 0,13 mg).</w:t>
      </w:r>
    </w:p>
    <w:p>
      <w:pPr>
        <w:pStyle w:val="ListBullet"/>
      </w:pPr>
      <w:r/>
      <w:r>
        <w:rPr>
          <w:b/>
        </w:rPr>
        <w:t>Solution injectable IM/IV 10 mg/2 mL</w:t>
      </w:r>
      <w:r>
        <w:t xml:space="preserve"> (CLOPRAMID, METOPERAN, MODENUM, PRIMPERENE, PRIMPERAN) : usage hospitalier (urgences, post-opératoire, prévention chimio-induite),action rapide (5-10 min IV, 10-15 min IM), durée courte. Voie IV utile en cas de vomissements empêchant voie orale.</w:t>
      </w:r>
    </w:p>
    <w:p>
      <w:pPr>
        <w:pStyle w:val="ListBullet"/>
      </w:pPr>
      <w:r/>
      <w:r>
        <w:rPr>
          <w:b/>
        </w:rPr>
        <w:t>Suppositoire 10 mg</w:t>
      </w:r>
      <w:r>
        <w:t xml:space="preserve"> (METOPRAM, MEPRAMIDE) : alternative en cas de vomissements empêchant voie orale, ou chez le nourrisson ; résorption parfois aléatoire.</w:t>
      </w:r>
    </w:p>
    <w:p>
      <w:pPr>
        <w:pStyle w:val="ListBullet"/>
      </w:pPr>
      <w:r/>
      <w:r>
        <w:rPr>
          <w:b/>
        </w:rPr>
        <w:t>Orodispersibles</w:t>
      </w:r>
      <w:r>
        <w:t xml:space="preserve"> : non disponibles en Algérie pour la métoclopramide (disponibles pour la dompéridone).</w:t>
      </w:r>
    </w:p>
    <w:p>
      <w:r/>
      <w:r>
        <w:rPr>
          <w:b/>
        </w:rPr>
        <w:t>Instructions et Conseils au Patient :</w:t>
      </w:r>
      <w:r/>
    </w:p>
    <w:p>
      <w:pPr>
        <w:pStyle w:val="ListBullet"/>
      </w:pPr>
      <w:r>
        <w:t xml:space="preserve">Communication au comptoir : « Ce médicament stimule la vidange de l'estomac et combat les nausées et vomissements. </w:t>
      </w:r>
      <w:r>
        <w:rPr>
          <w:b/>
        </w:rPr>
        <w:t>Il ne doit pas être pris plus de 5 jours d'affilée</w:t>
      </w:r>
      <w:r>
        <w:t xml:space="preserve">. Si vous ressentez des tremblements, des mouvements incontrôlables du visage ou du cou, une agitation, une incapacité à rester immobile, </w:t>
      </w:r>
      <w:r>
        <w:rPr>
          <w:b/>
        </w:rPr>
        <w:t>arrêtez le traitement et consultez immédiatement un médecin</w:t>
      </w:r>
      <w:r>
        <w:t>. À prendre avant les repas. Prévenez votre médecin si vous êtes parkinsonien, si vous avez une tumeur du sein, ou si vous êtes enceinte. »</w:t>
      </w:r>
    </w:p>
    <w:p>
      <w:pPr>
        <w:pStyle w:val="ListBullet"/>
      </w:pPr>
      <w:r>
        <w:t>Mode d'utilisation pratique : (a) Prendre 15-30 min avant les 3 repas principaux et au coucher ; (b) Ne pas dépasser 3 comprimés par jour ; (c) En cas d'oubli, ne pas doubler la dose suivante ; (d) Avertir le patient des signes neurologiques d'alerte (dystonie, akathisie, tremblements) ; (e) Avertir le patient que ce traitement ne doit jamais être repris sans avis médical en raison du risque de dyskinésie tardive ; (f) Éviter la conduite et les activités à risque en raison de la somnolence possible ; (g) Ne pas associer avec l'alcool.</w:t>
      </w:r>
    </w:p>
    <w:p>
      <w:r/>
      <w:r>
        <w:rPr>
          <w:b/>
        </w:rPr>
        <w:t>Notes, Règles d'Or &amp; Pièges au Comptoir :</w:t>
      </w:r>
      <w:r/>
    </w:p>
    <w:p>
      <w:pPr>
        <w:pStyle w:val="ListBullet"/>
      </w:pPr>
      <w:r>
        <w:t xml:space="preserve">Piège classique : </w:t>
      </w:r>
      <w:r>
        <w:rPr>
          <w:b/>
        </w:rPr>
        <w:t>Métoclopramide &gt; 5 jours = risque majeur de dyskinésie tardive</w:t>
      </w:r>
      <w:r>
        <w:t xml:space="preserve"> (parfois irréversible). Le pharmacien doit refuser le renouvellement au-delà de 5 jours sans prescription médicale actualisée. Règle d'or absolue de l'ANSM depuis 2013.</w:t>
      </w:r>
    </w:p>
    <w:p>
      <w:pPr>
        <w:pStyle w:val="ListBullet"/>
      </w:pPr>
      <w:r>
        <w:t xml:space="preserve">Piège parkinsonien : la métoclopramide est </w:t>
      </w:r>
      <w:r>
        <w:rPr>
          <w:b/>
        </w:rPr>
        <w:t>contre-indiquée absolument</w:t>
      </w:r>
      <w:r>
        <w:t xml:space="preserve"> chez le patient parkinsonien sous lévodopa ou agonistes dopaminergiques — antagonisme pharmacologique direct. Demander systématiquement si le patient prend du Modopar, Sinemet, Parlodel, Requip, Sifrol, etc.</w:t>
      </w:r>
    </w:p>
    <w:p>
      <w:pPr>
        <w:pStyle w:val="ListBullet"/>
      </w:pPr>
      <w:r>
        <w:t xml:space="preserve">Piège enfant : la métoclopramide est </w:t>
      </w:r>
      <w:r>
        <w:rPr>
          <w:b/>
        </w:rPr>
        <w:t>contre-indiquée chez le nourrisson &lt; 1 an</w:t>
      </w:r>
      <w:r>
        <w:t xml:space="preserve"> et doit être évitée chez l'enfant &lt; 18 ans (risque majoré de dystonie aiguë). Réserver à la 2e/3e intention après échec des anti-H1 ou dompéridone.</w:t>
      </w:r>
    </w:p>
    <w:p>
      <w:pPr>
        <w:pStyle w:val="ListBullet"/>
      </w:pPr>
      <w:r>
        <w:t>Règle de prise : avant les repas (15-30 min), pour optimiser l'effet prokinétique sur la vidange gastrique. Au coucher pour le reflux nocturne.</w:t>
      </w:r>
    </w:p>
    <w:p>
      <w:pPr>
        <w:pStyle w:val="ListBullet"/>
      </w:pPr>
      <w:r>
        <w:t>Préparation et Conservation : comprimés à température ambiante &lt; 25°C, à l'abri de l'humidité ; solution buvable après ouverture : conservation 1 mois maximum au réfrigérateur ; suppositoires à conserver au frais (&lt; 8°C, éviter lefondu) ; solution injectable à conserver à température ambiante, à l'abri de la lumière.</w:t>
      </w:r>
    </w:p>
    <w:p>
      <w:pPr>
        <w:pStyle w:val="ListBullet"/>
      </w:pPr>
      <w:r>
        <w:t xml:space="preserve">Piège du surdosage / Substitution : la métoclopramide est un </w:t>
      </w:r>
      <w:r>
        <w:rPr>
          <w:b/>
        </w:rPr>
        <w:t>antidote partiel</w:t>
      </w:r>
      <w:r>
        <w:t xml:space="preserve"> des vomissements chimio-induits mais ne doit pas remplacer les 5-HT3 dans la prévention des chimiothérapies fortement émétisantes (sauf en cas de non-disponibilité — usage historique à doses élevées 1-2 mg/kg IV). Risque d'erreur de substitution entre </w:t>
      </w:r>
      <w:r>
        <w:rPr>
          <w:b/>
        </w:rPr>
        <w:t>métoclopramide et dompéridone</w:t>
      </w:r>
      <w:r>
        <w:t xml:space="preserve"> : la métoclopramide traverse la BHE (effets centraux), la dompéridone non (effets périphériques). Ne pas substituer sans vérifier le terrain (Parkinson = métoclopramide CI, dompéridone possible avec surveillance QT).</w:t>
      </w:r>
    </w:p>
    <w:p>
      <w:pPr>
        <w:pStyle w:val="Heading2"/>
      </w:pPr>
      <w:r>
        <w:t>2. DCI : Domperidone (seule)</w:t>
      </w:r>
    </w:p>
    <w:p>
      <w:r/>
      <w:r>
        <w:rPr>
          <w:b/>
        </w:rPr>
        <w:t>Liste des Catégories :</w:t>
      </w:r>
      <w:r>
        <w:t xml:space="preserve"> Liste I (MOTILIUM, MEDILIUM sirop), Liste II (la plupart des comprimés et suspensions buvables).</w:t>
      </w:r>
    </w:p>
    <w:p>
      <w:r>
        <w:t>La dompéridone est un benzimidazolone (dérivé de l'imidazolidinedione) qui se distingue fondamentalement de la métoclopramide par une très faible pénétration de la barrière hémato-encéphalique. Cette propriété pharmacocinétique, liée à son caractère fortement lipophobe et à sa substrat-activité pour la P-glycoprotéine (P-gp) qui l'empêche de traverser la BHE, explique l'absence quasi totale d'effets extrapyramidaux et de sédation centrale, et constitue l'avantage thérapeutique principal de la dompéridone. Sa biodisponibilité orale est modeste (13-17% en raison d'un effet de premier passage hépatique et digestif important), son pic plasmatique atteint en 30-60 min, sa demi-vie d'élimination est de 7-9 h, son métabolisme est principalement hépatique (CYP3A4), et son élimination est fécale (~66%) et rénale (~33%). La liaison aux protéines plasmatiques est de 91-93%.</w:t>
      </w:r>
    </w:p>
    <w:p>
      <w:r/>
      <w:r>
        <w:rPr>
          <w:b/>
        </w:rPr>
        <w:t>Médicaments disponibles en Algérie (Marques, Laboratoires, Formes et Dosages) :</w:t>
      </w:r>
      <w:r/>
    </w:p>
    <w:p>
      <w:pPr>
        <w:pStyle w:val="ListBullet"/>
      </w:pPr>
      <w:r/>
      <w:r>
        <w:rPr>
          <w:b/>
        </w:rPr>
        <w:t>DOMPERIDONE BEKER</w:t>
      </w:r>
      <w:r>
        <w:t xml:space="preserve"> (LABORATOIRES BEKER)</w:t>
      </w:r>
    </w:p>
    <w:p>
      <w:pPr>
        <w:pStyle w:val="ListBullet"/>
      </w:pPr>
      <w:r>
        <w:t>Formes et Dosages : Comprimé pelliculé 10 mg (B/40)</w:t>
      </w:r>
    </w:p>
    <w:p>
      <w:pPr>
        <w:pStyle w:val="ListBullet"/>
      </w:pPr>
      <w:r>
        <w:t>Statut : ACTIF</w:t>
      </w:r>
    </w:p>
    <w:p>
      <w:pPr>
        <w:pStyle w:val="ListBullet"/>
      </w:pPr>
      <w:r/>
      <w:r>
        <w:rPr>
          <w:b/>
        </w:rPr>
        <w:t>DOMPERIDONE BGL</w:t>
      </w:r>
      <w:r>
        <w:t xml:space="preserve"> (BIOGALENIC)</w:t>
      </w:r>
    </w:p>
    <w:p>
      <w:pPr>
        <w:pStyle w:val="ListBullet"/>
      </w:pPr>
      <w:r>
        <w:t>Formes et Dosages : Comprimé orodispersible 10 mg (B/30) ; Suspension buvable 1 mg/mL (flacon 200 mL + seringue pour administration orale graduée en kg)</w:t>
      </w:r>
    </w:p>
    <w:p>
      <w:pPr>
        <w:pStyle w:val="ListBullet"/>
      </w:pPr>
      <w:r>
        <w:t>Statut : ACTIF</w:t>
      </w:r>
    </w:p>
    <w:p>
      <w:pPr>
        <w:pStyle w:val="ListBullet"/>
      </w:pPr>
      <w:r/>
      <w:r>
        <w:rPr>
          <w:b/>
        </w:rPr>
        <w:t>DOMPERIMEX</w:t>
      </w:r>
      <w:r>
        <w:t xml:space="preserve"> (KPMA BIOTIC)</w:t>
      </w:r>
    </w:p>
    <w:p>
      <w:pPr>
        <w:pStyle w:val="ListBullet"/>
      </w:pPr>
      <w:r>
        <w:t>Formes et Dosages : Comprimé pelliculé 10 mg (B/30) ; Suspension buvable 1 mg/mL (flacon 200 mL + pipette graduée)</w:t>
      </w:r>
    </w:p>
    <w:p>
      <w:pPr>
        <w:pStyle w:val="ListBullet"/>
      </w:pPr>
      <w:r>
        <w:t>Statut : ACTIF</w:t>
      </w:r>
    </w:p>
    <w:p>
      <w:pPr>
        <w:pStyle w:val="ListBullet"/>
      </w:pPr>
      <w:r/>
      <w:r>
        <w:rPr>
          <w:b/>
        </w:rPr>
        <w:t>EMETIKAN 10</w:t>
      </w:r>
      <w:r>
        <w:t xml:space="preserve"> (TASSILI ARAB PHARMACEUTICAL CO)</w:t>
      </w:r>
    </w:p>
    <w:p>
      <w:pPr>
        <w:pStyle w:val="ListBullet"/>
      </w:pPr>
      <w:r>
        <w:t>Formes et Dosages : Comprimé pelliculé 10 mg (B/30)</w:t>
      </w:r>
    </w:p>
    <w:p>
      <w:pPr>
        <w:pStyle w:val="ListBullet"/>
      </w:pPr>
      <w:r>
        <w:t>Statut : ACTIF</w:t>
      </w:r>
    </w:p>
    <w:p>
      <w:pPr>
        <w:pStyle w:val="ListBullet"/>
      </w:pPr>
      <w:r/>
      <w:r>
        <w:rPr>
          <w:b/>
        </w:rPr>
        <w:t>EMIDIUM HUP</w:t>
      </w:r>
      <w:r>
        <w:t xml:space="preserve"> (HUPP PHARMA)</w:t>
      </w:r>
    </w:p>
    <w:p>
      <w:pPr>
        <w:pStyle w:val="ListBullet"/>
      </w:pPr>
      <w:r>
        <w:t>Formes et Dosages : Comprimé 10 mg (B/30)</w:t>
      </w:r>
    </w:p>
    <w:p>
      <w:pPr>
        <w:pStyle w:val="ListBullet"/>
      </w:pPr>
      <w:r>
        <w:t>Statut : ACTIF</w:t>
      </w:r>
    </w:p>
    <w:p>
      <w:pPr>
        <w:pStyle w:val="ListBullet"/>
      </w:pPr>
      <w:r/>
      <w:r>
        <w:rPr>
          <w:b/>
        </w:rPr>
        <w:t>MERIDONE</w:t>
      </w:r>
      <w:r>
        <w:t xml:space="preserve"> (SOMEDIAL)</w:t>
      </w:r>
    </w:p>
    <w:p>
      <w:pPr>
        <w:pStyle w:val="ListBullet"/>
      </w:pPr>
      <w:r>
        <w:t>Formes et Dosages : Comprimé pelliculé 10 mg (B/30)</w:t>
      </w:r>
    </w:p>
    <w:p>
      <w:pPr>
        <w:pStyle w:val="ListBullet"/>
      </w:pPr>
      <w:r>
        <w:t>Statut : ACTIF</w:t>
      </w:r>
    </w:p>
    <w:p>
      <w:pPr>
        <w:pStyle w:val="ListBullet"/>
      </w:pPr>
      <w:r/>
      <w:r>
        <w:rPr>
          <w:b/>
        </w:rPr>
        <w:t>MOTIDONE</w:t>
      </w:r>
      <w:r>
        <w:t xml:space="preserve"> (LABORATOIRE ALGERIEN DU MEDICAMENT — LAM)</w:t>
      </w:r>
    </w:p>
    <w:p>
      <w:pPr>
        <w:pStyle w:val="ListBullet"/>
      </w:pPr>
      <w:r>
        <w:t>Formes et Dosages : Comprimé sécable 10 mg (B/40) ; Suspension buvable 1 mg/mL (flacon 200 mL + pipette graduée en kg/mL)</w:t>
      </w:r>
    </w:p>
    <w:p>
      <w:pPr>
        <w:pStyle w:val="ListBullet"/>
      </w:pPr>
      <w:r>
        <w:t>Statut : ACTIF</w:t>
      </w:r>
    </w:p>
    <w:p>
      <w:pPr>
        <w:pStyle w:val="ListBullet"/>
      </w:pPr>
      <w:r/>
      <w:r>
        <w:rPr>
          <w:b/>
        </w:rPr>
        <w:t>MOTILIUM</w:t>
      </w:r>
      <w:r>
        <w:t xml:space="preserve"> (JANSSEN CILAG) — princeps</w:t>
      </w:r>
    </w:p>
    <w:p>
      <w:pPr>
        <w:pStyle w:val="ListBullet"/>
      </w:pPr>
      <w:r>
        <w:t>Formes et Dosages : Comprimé pelliculé 10 mg (B/40) ; Suspension buvable 1 mg/mL (flacon 200 mL + seringue pour administration orale de 5 mL graduée en kg)</w:t>
      </w:r>
    </w:p>
    <w:p>
      <w:pPr>
        <w:pStyle w:val="ListBullet"/>
      </w:pPr>
      <w:r>
        <w:t>Statut : ACTIF</w:t>
      </w:r>
    </w:p>
    <w:p>
      <w:pPr>
        <w:pStyle w:val="ListBullet"/>
      </w:pPr>
      <w:r/>
      <w:r>
        <w:rPr>
          <w:b/>
        </w:rPr>
        <w:t>PERIDIUM</w:t>
      </w:r>
      <w:r>
        <w:t xml:space="preserve"> (GENERIC LAB)</w:t>
      </w:r>
    </w:p>
    <w:p>
      <w:pPr>
        <w:pStyle w:val="ListBullet"/>
      </w:pPr>
      <w:r>
        <w:t>Formes et Dosages : Comprimé sécable 10 mg (B/30) ; Solution buvable 1 mg/mL (flacon 200 mL)</w:t>
      </w:r>
    </w:p>
    <w:p>
      <w:pPr>
        <w:pStyle w:val="ListBullet"/>
      </w:pPr>
      <w:r>
        <w:t>Statut : ACTIF</w:t>
      </w:r>
    </w:p>
    <w:p>
      <w:pPr>
        <w:pStyle w:val="ListBullet"/>
      </w:pPr>
      <w:r/>
      <w:r>
        <w:rPr>
          <w:b/>
        </w:rPr>
        <w:t>DOMPERONE</w:t>
      </w:r>
      <w:r>
        <w:t xml:space="preserve"> (PHARMALLIANCE)</w:t>
      </w:r>
    </w:p>
    <w:p>
      <w:pPr>
        <w:pStyle w:val="ListBullet"/>
      </w:pPr>
      <w:r>
        <w:t>Formes et Dosages : Comprimé pelliculé 10 mg (B/40) ; Suspension buvable 1 mg/mL (flacon 200 mL + pipette graduée en kg et gobelet doseur)</w:t>
      </w:r>
    </w:p>
    <w:p>
      <w:pPr>
        <w:pStyle w:val="ListBullet"/>
      </w:pPr>
      <w:r>
        <w:t>Statut : ACTIF (comprimés) / NON_RENOUVELABLE</w:t>
      </w:r>
    </w:p>
    <w:p>
      <w:pPr>
        <w:pStyle w:val="ListBullet"/>
      </w:pPr>
      <w:r/>
      <w:r>
        <w:rPr>
          <w:b/>
        </w:rPr>
        <w:t>DOPRIN</w:t>
      </w:r>
      <w:r>
        <w:t xml:space="preserve"> (SARL GROUPE SANTE)</w:t>
      </w:r>
    </w:p>
    <w:p>
      <w:pPr>
        <w:pStyle w:val="ListBullet"/>
      </w:pPr>
      <w:r>
        <w:t>Formes et Dosages : Comprimé 10 mg (B/20) ; Suspension buvable 1 mg/mL (flacon 100 mL)</w:t>
      </w:r>
    </w:p>
    <w:p>
      <w:pPr>
        <w:pStyle w:val="ListBullet"/>
      </w:pPr>
      <w:r>
        <w:t>Statut : ACTIF (suspension) / RETRAIT (R) (comprimés)</w:t>
      </w:r>
    </w:p>
    <w:p>
      <w:pPr>
        <w:pStyle w:val="ListBullet"/>
      </w:pPr>
      <w:r/>
      <w:r>
        <w:rPr>
          <w:b/>
        </w:rPr>
        <w:t>MEDILIUM</w:t>
      </w:r>
      <w:r>
        <w:t xml:space="preserve"> (INPHA-MEDIS)</w:t>
      </w:r>
    </w:p>
    <w:p>
      <w:pPr>
        <w:pStyle w:val="ListBullet"/>
      </w:pPr>
      <w:r>
        <w:t>Formes et Dosages : Suspension buvable 1 mg/1 mL (flacon)</w:t>
      </w:r>
    </w:p>
    <w:p>
      <w:pPr>
        <w:pStyle w:val="ListBullet"/>
      </w:pPr>
      <w:r>
        <w:t>Statut : ACTIF (Liste I)</w:t>
      </w:r>
    </w:p>
    <w:p>
      <w:pPr>
        <w:pStyle w:val="ListBullet"/>
      </w:pPr>
      <w:r/>
      <w:r>
        <w:rPr>
          <w:b/>
        </w:rPr>
        <w:t>NOZEUM</w:t>
      </w:r>
      <w:r>
        <w:t xml:space="preserve"> (SARL LABORATOIRE GROUPEMENT PHARMACEUTIQUE ALGERIEN)</w:t>
      </w:r>
    </w:p>
    <w:p>
      <w:pPr>
        <w:pStyle w:val="ListBullet"/>
      </w:pPr>
      <w:r>
        <w:t>Formes et Dosages : Sirop 1 mg/mL (flacon 200 mL)</w:t>
      </w:r>
    </w:p>
    <w:p>
      <w:pPr>
        <w:pStyle w:val="ListBullet"/>
      </w:pPr>
      <w:r>
        <w:t>Statut : ACTIF</w:t>
      </w:r>
    </w:p>
    <w:p>
      <w:pPr>
        <w:pStyle w:val="ListBullet"/>
      </w:pPr>
      <w:r/>
      <w:r>
        <w:rPr>
          <w:b/>
        </w:rPr>
        <w:t>PERIDYS</w:t>
      </w:r>
      <w:r>
        <w:t xml:space="preserve"> (PIERRE FABRE MEDICAMENT / PIERRE FABRE)</w:t>
      </w:r>
    </w:p>
    <w:p>
      <w:pPr>
        <w:pStyle w:val="ListBullet"/>
      </w:pPr>
      <w:r>
        <w:t>Formes et Dosages : Comprimé 10 mg (B/40) ; Suspension buvable 1 mg/mL (flacon 200 mL + seringue pour administration orale de 5 mL graduée en kg)</w:t>
      </w:r>
    </w:p>
    <w:p>
      <w:pPr>
        <w:pStyle w:val="ListBullet"/>
      </w:pPr>
      <w:r>
        <w:t>Statut : ACTIF (suspension) / RETRAIT (R) (comprimés)</w:t>
      </w:r>
    </w:p>
    <w:p>
      <w:pPr>
        <w:pStyle w:val="ListBullet"/>
      </w:pPr>
      <w:r/>
      <w:r>
        <w:rPr>
          <w:b/>
        </w:rPr>
        <w:t>DOMPERIDE</w:t>
      </w:r>
      <w:r>
        <w:t xml:space="preserve"> (DAR AL DAWA)</w:t>
      </w:r>
    </w:p>
    <w:p>
      <w:pPr>
        <w:pStyle w:val="ListBullet"/>
      </w:pPr>
      <w:r>
        <w:t>Formes et Dosages : Comprimé 10 mg (B/30) ; Suspension buvable 1 mg/mL (flacon 200 mL)</w:t>
      </w:r>
    </w:p>
    <w:p>
      <w:pPr>
        <w:pStyle w:val="ListBullet"/>
      </w:pPr>
      <w:r>
        <w:t>Statut : NON_RENOUVELABLE / RETRAIT (R)</w:t>
      </w:r>
    </w:p>
    <w:p>
      <w:pPr>
        <w:pStyle w:val="ListBullet"/>
      </w:pPr>
      <w:r/>
      <w:r>
        <w:rPr>
          <w:b/>
        </w:rPr>
        <w:t>DOMPERIDONE LPA</w:t>
      </w:r>
      <w:r>
        <w:t xml:space="preserve"> (LPA)</w:t>
      </w:r>
    </w:p>
    <w:p>
      <w:pPr>
        <w:pStyle w:val="ListBullet"/>
      </w:pPr>
      <w:r>
        <w:t>Formes et Dosages : Suspension buvable 1 mg/mL (flacon 200 mL)</w:t>
      </w:r>
    </w:p>
    <w:p>
      <w:pPr>
        <w:pStyle w:val="ListBullet"/>
      </w:pPr>
      <w:r>
        <w:t>Statut : NON_RENOUVELABLE</w:t>
      </w:r>
    </w:p>
    <w:p>
      <w:pPr>
        <w:pStyle w:val="ListBullet"/>
      </w:pPr>
      <w:r/>
      <w:r>
        <w:rPr>
          <w:b/>
        </w:rPr>
        <w:t>NAUSEDIUM</w:t>
      </w:r>
      <w:r>
        <w:t xml:space="preserve"> (GROUPE SAIDAL)</w:t>
      </w:r>
    </w:p>
    <w:p>
      <w:pPr>
        <w:pStyle w:val="ListBullet"/>
      </w:pPr>
      <w:r>
        <w:t>Formes et Dosages : Comprimé orodispersible 10 mg (B/30) ; Suspension buvable 1 mg/mL (flacon 200 mL + pipette doseuse)</w:t>
      </w:r>
    </w:p>
    <w:p>
      <w:pPr>
        <w:pStyle w:val="ListBullet"/>
      </w:pPr>
      <w:r>
        <w:t>Statut : NON_RENOUVELABLE</w:t>
      </w:r>
    </w:p>
    <w:p>
      <w:pPr>
        <w:pStyle w:val="ListBullet"/>
      </w:pPr>
      <w:r/>
      <w:r>
        <w:rPr>
          <w:b/>
        </w:rPr>
        <w:t>PERYDONE</w:t>
      </w:r>
      <w:r>
        <w:t xml:space="preserve"> (PHARMAGHREB)</w:t>
      </w:r>
    </w:p>
    <w:p>
      <w:pPr>
        <w:pStyle w:val="ListBullet"/>
      </w:pPr>
      <w:r>
        <w:t>Formes et Dosages : Suspension buvable 1 mg/mL (flacon 180 mL + pipette graduée)</w:t>
      </w:r>
    </w:p>
    <w:p>
      <w:pPr>
        <w:pStyle w:val="ListBullet"/>
      </w:pPr>
      <w:r>
        <w:t>Statut : NON_RENOUVELABLE</w:t>
      </w:r>
    </w:p>
    <w:p>
      <w:pPr>
        <w:pStyle w:val="ListBullet"/>
      </w:pPr>
      <w:r/>
      <w:r>
        <w:rPr>
          <w:b/>
        </w:rPr>
        <w:t>COSTI</w:t>
      </w:r>
      <w:r>
        <w:t xml:space="preserve"> (GEOPHARM)</w:t>
      </w:r>
    </w:p>
    <w:p>
      <w:pPr>
        <w:pStyle w:val="ListBullet"/>
      </w:pPr>
      <w:r>
        <w:t>Formes et Dosages : Comprimé 10 mg (B/50)</w:t>
      </w:r>
    </w:p>
    <w:p>
      <w:pPr>
        <w:pStyle w:val="ListBullet"/>
      </w:pPr>
      <w:r>
        <w:t>Statut : RETRAIT (R)</w:t>
      </w:r>
    </w:p>
    <w:p>
      <w:pPr>
        <w:pStyle w:val="ListBullet"/>
      </w:pPr>
      <w:r/>
      <w:r>
        <w:rPr>
          <w:b/>
        </w:rPr>
        <w:t>MOTILAT</w:t>
      </w:r>
      <w:r>
        <w:t xml:space="preserve"> (RAM PHARMA / RAM PHARMACEUTICAL INDUSTRIES)</w:t>
      </w:r>
    </w:p>
    <w:p>
      <w:pPr>
        <w:pStyle w:val="ListBullet"/>
      </w:pPr>
      <w:r>
        <w:t>Formes et Dosages : Comprimé 10 mg (B/30) ; Suspension buvable 5 mg/5 mL (flacon 100 mL)</w:t>
      </w:r>
    </w:p>
    <w:p>
      <w:pPr>
        <w:pStyle w:val="ListBullet"/>
      </w:pPr>
      <w:r>
        <w:t>Statut : RETRAIT (R)</w:t>
      </w:r>
    </w:p>
    <w:p>
      <w:pPr>
        <w:pStyle w:val="ListBullet"/>
      </w:pPr>
      <w:r/>
      <w:r>
        <w:rPr>
          <w:b/>
        </w:rPr>
        <w:t>DQA DOMP</w:t>
      </w:r>
      <w:r>
        <w:t xml:space="preserve"> (DUTCH QUALITY ASSURANCE PHARMA — DQA Pays-Bas)</w:t>
      </w:r>
    </w:p>
    <w:p>
      <w:pPr>
        <w:pStyle w:val="ListBullet"/>
      </w:pPr>
      <w:r>
        <w:t>Formes et Dosages : Comprimé 10 mg (B/30)</w:t>
      </w:r>
    </w:p>
    <w:p>
      <w:pPr>
        <w:pStyle w:val="ListBullet"/>
      </w:pPr>
      <w:r>
        <w:t>Statut : RETRAIT (R)</w:t>
      </w:r>
    </w:p>
    <w:p>
      <w:pPr>
        <w:pStyle w:val="ListBullet"/>
      </w:pPr>
      <w:r/>
      <w:r>
        <w:rPr>
          <w:b/>
        </w:rPr>
        <w:t>DOMPERIDONE ARROW</w:t>
      </w:r>
      <w:r>
        <w:t xml:space="preserve"> (ARROW GENERIQUES)</w:t>
      </w:r>
    </w:p>
    <w:p>
      <w:pPr>
        <w:pStyle w:val="ListBullet"/>
      </w:pPr>
      <w:r>
        <w:t>Formes et Dosages : Suspension buvable 1 mg/mL (flacon 200 mL + pipette graduée)</w:t>
      </w:r>
    </w:p>
    <w:p>
      <w:pPr>
        <w:pStyle w:val="ListBullet"/>
      </w:pPr>
      <w:r>
        <w:t>Statut : RETRAIT (R)</w:t>
      </w:r>
    </w:p>
    <w:p>
      <w:pPr>
        <w:pStyle w:val="ListBullet"/>
      </w:pPr>
      <w:r/>
      <w:r>
        <w:rPr>
          <w:b/>
        </w:rPr>
        <w:t>GASTRODONE</w:t>
      </w:r>
      <w:r>
        <w:t xml:space="preserve"> (SARL LABORATOIRES MM)</w:t>
      </w:r>
    </w:p>
    <w:p>
      <w:pPr>
        <w:pStyle w:val="ListBullet"/>
      </w:pPr>
      <w:r>
        <w:t>Formes et Dosages : Suspension buvable avec seringue doseuse 1 mg/mL (flacon 200 mL)</w:t>
      </w:r>
    </w:p>
    <w:p>
      <w:pPr>
        <w:pStyle w:val="ListBullet"/>
      </w:pPr>
      <w:r>
        <w:t>Statut : RETRAIT (R)</w:t>
      </w:r>
    </w:p>
    <w:p>
      <w:pPr>
        <w:pStyle w:val="ListBullet"/>
      </w:pPr>
      <w:r/>
      <w:r>
        <w:rPr>
          <w:b/>
        </w:rPr>
        <w:t>MOTILYO</w:t>
      </w:r>
      <w:r>
        <w:t xml:space="preserve"> (JANSSEN CILAG)</w:t>
      </w:r>
    </w:p>
    <w:p>
      <w:pPr>
        <w:pStyle w:val="ListBullet"/>
      </w:pPr>
      <w:r>
        <w:t>Formes et Dosages : Comprimé lyophilisé oral 10 mg (B/30)</w:t>
      </w:r>
    </w:p>
    <w:p>
      <w:pPr>
        <w:pStyle w:val="ListBullet"/>
      </w:pPr>
      <w:r>
        <w:t>Statut : RETRAIT (R)</w:t>
      </w:r>
    </w:p>
    <w:p>
      <w:r/>
      <w:r>
        <w:rPr>
          <w:b/>
        </w:rPr>
        <w:t>Sous-classe et Mécanisme d'action :</w:t>
      </w:r>
      <w:r/>
    </w:p>
    <w:p>
      <w:pPr>
        <w:pStyle w:val="ListBullet"/>
      </w:pPr>
      <w:r>
        <w:t>Sous-classe : Prokinétique antiémétique de la famille des benzimidazolones, antagoniste des récepteurs dopaminergiques D2 périphériques (peu de passage BHE), sans activité 5-HT4.</w:t>
      </w:r>
    </w:p>
    <w:p>
      <w:pPr>
        <w:pStyle w:val="ListBullet"/>
      </w:pPr>
      <w:r>
        <w:t xml:space="preserve">Mécanisme d'action : La dompéridone exerce son action par deux mécanismes principaux. (1) </w:t>
      </w:r>
      <w:r>
        <w:rPr>
          <w:b/>
        </w:rPr>
        <w:t>Blocage des récepteurs D2 du CTZ (area postrema)</w:t>
      </w:r>
      <w:r>
        <w:t xml:space="preserve"> — cette zone est située hors de la BHE, donc accessible à la dompéridone sans qu'elle ait besoin de traverser la BHE — inhibant ainsi le réflexe émétique déclenché par les stimuli dopaminergiques centraux (émétisants médicamenteux, métaboliques, toxiques). (2) </w:t>
      </w:r>
      <w:r>
        <w:rPr>
          <w:b/>
        </w:rPr>
        <w:t>Blocage des récepteurs D2 périphériques sur les neurones entériques</w:t>
      </w:r>
      <w:r>
        <w:t xml:space="preserve"> des plexus myentériques et sous-muqueux : la dopamine endogène exerce un tonus inhibiteur sur la motilité digestive ; son blocage lève cette inhibition, augmente la libération d'acétylcholine au niveau des jonctions neuromusculaires, et stimule le tonus du sphincter inférieur de l'oesophage (anti-reflux), augmente l'amplitude des contractions antrales, accélère la vidange gastrique, et coordonne la motilité antro-duodénale. Contrairement à la métoclopramide, </w:t>
      </w:r>
      <w:r>
        <w:rPr>
          <w:b/>
        </w:rPr>
        <w:t>pas d'activité agoniste 5-HT4</w:t>
      </w:r>
      <w:r>
        <w:t xml:space="preserve"> ni d'antagoniste 5-HT3 à doses thérapeutiques. L'absence de passage de la BHE (substrat P-gp) explique l'absence d'effets extrapyramidaux centraux et de sédation. Toutefois, la dompéridone bloque les canaux potassiques hERG cardiaques à doses thérapeutiques, à l'origine du risque d'allongement de l'intervalle QTc et de torsades de pointe.</w:t>
      </w:r>
    </w:p>
    <w:p>
      <w:r/>
      <w:r>
        <w:rPr>
          <w:b/>
        </w:rPr>
        <w:t>Profil Pharmacologique :</w:t>
      </w:r>
      <w:r/>
    </w:p>
    <w:p>
      <w:pPr>
        <w:pStyle w:val="ListBullet"/>
      </w:pPr>
      <w:r>
        <w:t>Indications : (a) Nausées et vomissements d'origine non spécifique (gastro-entérite, dyspepsie, migraine, iatrogène, post-opératoire), en traitement court (≤ 7 jours selon recommandations EMA 2014) ; (b) Signes de reflux gastro-oesophagien (RGO) et dyspepsie fonctionnelle en seconde intention ; (c) Gastroparésie (notamment diabétique) ; (d) En pédiatrie : nausées et vomissements chez l'enfant &gt; 12 ans et/ou &gt; 35 kg (forme sirop avec pipette graduée en kg) ; (e) Hors AMM : stimulation de la lactation en cas d'échec des méthodes non pharmacologiques (effet hyperprolactinémiant) — usage de courte durée, surveillance.</w:t>
      </w:r>
    </w:p>
    <w:p>
      <w:pPr>
        <w:pStyle w:val="ListBullet"/>
      </w:pPr>
      <w:r>
        <w:t>Contre-indications : (a) Hypersensibilité à la dompéridone ; (b) Prolactinome (adénome hypophysaire à prolactine), cancer du sein hormono-sensible ; (c) Allongement du QTc congénital ou acquis, troubles électrolytiques (hypokaliémie, hypomagnésémie, hypocalcémie), bradycardie sinusale cliniquement significative, insuffisance cardiaque décompensée ; (d) Insuffisance hépatique modérée à sévère ; (e) Hémorragie digestive active, occlusion intestinale complète, perforation digestive ; (f) Phéochromocytome ; (g) Association avec les inhibiteurs puissants du CYP3A4 (macrolides — clarithromycine, érythromycine ; azolés antifongiques — kétoconazole, itraconazole, voriconazole, fluconazole ; inhibiteurs de protéase du VIH) ; (h) Association avec les allongeurs QT (amiodarone, sotalol, quinidine, disopyramide, dofétilide, ibutilide, hydroxyzine, diphémanil, dropéridol, sultopride, méthadone, halofantrine, luméfantrine, antihistaminiques H1 de 1re génération, antidépresseurs tricycliques, certains fluoroquinolones — moxifloxacine) ; (i) Grossesse (à éviter 1er trimestre) ; (j) Allaitement (à éviter en usage prolongé).</w:t>
      </w:r>
    </w:p>
    <w:p>
      <w:pPr>
        <w:pStyle w:val="ListBullet"/>
      </w:pPr>
      <w:r>
        <w:t xml:space="preserve">Effets Indésirables : (a) </w:t>
      </w:r>
      <w:r>
        <w:rPr>
          <w:b/>
        </w:rPr>
        <w:t>Allongement du QTc et risque de torsades de pointe</w:t>
      </w:r>
      <w:r>
        <w:t xml:space="preserve"> — risque rare mais grave (estimation 1/10 000 à 1/100 000 patient-années), majoré par les interactions CYP3A4 et allongeurs QT, hypokaliémie, terrain cardiaque ; (b) </w:t>
      </w:r>
      <w:r>
        <w:rPr>
          <w:b/>
        </w:rPr>
        <w:t>Hyperprolactinémie</w:t>
      </w:r>
      <w:r>
        <w:t xml:space="preserve"> (très fréquente — effet direct de blocage D2 tubéro-infundibulaire) : galactorrhée, aménorrhée, gynécomastie, troubles de la libido, impuissance, retard de puberté chez l'adolescent — réversible à l'arrêt ; (c) Effets digestifs : diarrhée, constipation, douleurs abdominales, sécheresse buccale ; (d) Sédation modérée, céphalées, asthénie (moins marquées que métoclopramide en raison de l'absence de passage BHE) ; (e) Réactions allergiques (rash, urticaire, exceptionnellement anaphylaxie) ; (f) Effets extrapyramidaux (très rares, à forte dose ou terrain vulnérable — enfant, prématuré) ; (g) Mort subite du nourrisson (débattu, à forte dose, raison de la CI &lt; 12 ans sauf si &gt; 35 kg selon RCP). Risque cardiaque sérieux : 3 publications importantes (Dutch cohort 2010, EMA review 2011-2014) ont conduit à la restriction EMA 2014 (durée ≤ 7 jours, dose ≤ 30 mg/j adulte, CI allongeurs QT).</w:t>
      </w:r>
    </w:p>
    <w:p>
      <w:r/>
      <w:r>
        <w:rPr>
          <w:b/>
        </w:rPr>
        <w:t>Prévention et Gestion des Effets Indésirables :</w:t>
      </w:r>
      <w:r/>
    </w:p>
    <w:p>
      <w:pPr>
        <w:pStyle w:val="ListBullet"/>
      </w:pPr>
      <w:r>
        <w:t xml:space="preserve">Mesures Préventives : (a) </w:t>
      </w:r>
      <w:r>
        <w:rPr>
          <w:b/>
        </w:rPr>
        <w:t>Durée maximale de traitement de 7 jours</w:t>
      </w:r>
      <w:r>
        <w:t xml:space="preserve"> (recommandation EMA 2014) ; (b) Posologie minimale efficace, particulièrement chez le sujet âgé (≤ 30 mg/jour) et l'enfant (0,25 mg/kg x 3-4/j, max 0,75 mg/kg/jour) ; (c) Vérifier l'absence d'allongement QTc préexistant et de facteurs de risque cardiaque (insuffisance cardiaque, cardiopathie ischémique, bradycardie, troubles électrolytiques) ; (d) Vérifier kaliémie et magnésémie en cas de prise concomitante de diurétiques ; (e) Éviter l'association avec tous les inhibiteurs puissants du CYP3A4 et tous les allongeurs QT ; (f) Chez l'enfant &lt; 12 ans et &lt; 35 kg, utiliser la forme suspension buvable avec pipette graduée en kg ; (g) Surveillance de la prolactinémie si usage prolongé (mais la durée courte le rend rarement nécessaire) ; (h) ECG préalable en cas de terrain cardiaque ou de prescription à risque.</w:t>
      </w:r>
    </w:p>
    <w:p>
      <w:pPr>
        <w:pStyle w:val="ListBullet"/>
      </w:pPr>
      <w:r>
        <w:t xml:space="preserve">Conduite à Tenir : (a) </w:t>
      </w:r>
      <w:r>
        <w:rPr>
          <w:b/>
        </w:rPr>
        <w:t>Arrêt immédiat</w:t>
      </w:r>
      <w:r>
        <w:t xml:space="preserve"> en cas de syncope, palpitations, malaise — réaliser un ECG en urgence pour rechercher un allongement du QTc ; (b) En cas d'hyperprolactinémie symptomatique (galactorrhée persistante, aménorrhée) : arrêt, discussion alternative (IPP pour reflux, métoclopramide en garde-fou durée courte, anti-H1 pour nausées) ; (c) Correction des troubles électrolytiques (K+, Mg2+) ; (d) Pas de réintroduction en cas de torsades de pointe documentée ; (e) En cas de réaction extrapyramidale (rare) : arrêt, anticholinergique.</w:t>
      </w:r>
    </w:p>
    <w:p>
      <w:r/>
      <w:r>
        <w:rPr>
          <w:b/>
        </w:rPr>
        <w:t>Interactions Importantes :</w:t>
      </w:r>
      <w:r/>
    </w:p>
    <w:p>
      <w:pPr>
        <w:pStyle w:val="ListBullet"/>
      </w:pPr>
      <w:r/>
      <w:r>
        <w:rPr>
          <w:b/>
        </w:rPr>
        <w:t>Dompéridone + inhibiteurs puissants du CYP3A4</w:t>
      </w:r>
      <w:r>
        <w:t xml:space="preserve"> (clarithromycine, érythromycine, kétoconazole, itraconazole, voriconazole, fluconazole, ritonavir, saquinavir, indinavir, nelfinavir) : augmentation majeure des concentrations de dompéridone, allongement QTc et risque de torsades de pointe — </w:t>
      </w:r>
      <w:r>
        <w:rPr>
          <w:b/>
        </w:rPr>
        <w:t>CI absolue</w:t>
      </w:r>
      <w:r>
        <w:t>.</w:t>
      </w:r>
    </w:p>
    <w:p>
      <w:pPr>
        <w:pStyle w:val="ListBullet"/>
      </w:pPr>
      <w:r/>
      <w:r>
        <w:rPr>
          <w:b/>
        </w:rPr>
        <w:t>Dompéridone + allongeurs QT</w:t>
      </w:r>
      <w:r>
        <w:t xml:space="preserve"> (amiodarone, sotalol, quinidine, disopyramide, dofétilide, ibutilide, hydroxyzine, diphémanil, dropéridol, sultopride, pipamperone, méthadone, halofantrine, luméfantrine, antihistaminiques H1 de 1re génération — prométhazine ; antidépresseurs tricycliques ; certains fluoroquinolones — moxifloxacine, ciprofloxacine ; certains macrolides — azithromycine) : addition des effets sur le QTc — </w:t>
      </w:r>
      <w:r>
        <w:rPr>
          <w:b/>
        </w:rPr>
        <w:t>CI absolue</w:t>
      </w:r>
      <w:r>
        <w:t xml:space="preserve"> ou déconseillée.</w:t>
      </w:r>
    </w:p>
    <w:p>
      <w:pPr>
        <w:pStyle w:val="ListBullet"/>
      </w:pPr>
      <w:r/>
      <w:r>
        <w:rPr>
          <w:b/>
        </w:rPr>
        <w:t>Dompéridone + anticholinergiques</w:t>
      </w:r>
      <w:r>
        <w:t xml:space="preserve"> (atropine, trihexyphénidyle, tropatépine, antidépresseurs tricycliques) : antagonisme pharmacologique de l'effet prokinétique — à éviter.</w:t>
      </w:r>
    </w:p>
    <w:p>
      <w:pPr>
        <w:pStyle w:val="ListBullet"/>
      </w:pPr>
      <w:r/>
      <w:r>
        <w:rPr>
          <w:b/>
        </w:rPr>
        <w:t>Dompéridone + apomorphine</w:t>
      </w:r>
      <w:r>
        <w:t xml:space="preserve"> : risque d'hypotension sévère et de perte de conscience — CI absolue.</w:t>
      </w:r>
    </w:p>
    <w:p>
      <w:pPr>
        <w:pStyle w:val="ListBullet"/>
      </w:pPr>
      <w:r/>
      <w:r>
        <w:rPr>
          <w:b/>
        </w:rPr>
        <w:t>Dompéridone + neuroleptiques</w:t>
      </w:r>
      <w:r>
        <w:t xml:space="preserve"> (halopéridol, chlorpromazine, rispéridone, olanzapine) : addition des effets hyperprolactinémiant et du risque QTc — déconseillée.</w:t>
      </w:r>
    </w:p>
    <w:p>
      <w:pPr>
        <w:pStyle w:val="ListBullet"/>
      </w:pPr>
      <w:r/>
      <w:r>
        <w:rPr>
          <w:b/>
        </w:rPr>
        <w:t>Dompéridone + méthylprednisolone / prednisone</w:t>
      </w:r>
      <w:r>
        <w:t xml:space="preserve"> : risque majoré d'allongement QTc.</w:t>
      </w:r>
    </w:p>
    <w:p>
      <w:pPr>
        <w:pStyle w:val="ListBullet"/>
      </w:pPr>
      <w:r/>
      <w:r>
        <w:rPr>
          <w:b/>
        </w:rPr>
        <w:t>Dompéridone + diurétiques hypokaliémiants</w:t>
      </w:r>
      <w:r>
        <w:t xml:space="preserve"> (furosémide, hydrochlorothiazide, indapamide) : hypokaliémie majorant le risque de torsades — surveiller K+.</w:t>
      </w:r>
    </w:p>
    <w:p>
      <w:pPr>
        <w:pStyle w:val="ListBullet"/>
      </w:pPr>
      <w:r/>
      <w:r>
        <w:rPr>
          <w:b/>
        </w:rPr>
        <w:t>Dompéridone + anticoagulants oraux</w:t>
      </w:r>
      <w:r>
        <w:t xml:space="preserve"> (warfarine) : variation possible de l'INR (action prokinétique modifiant l'absorption) — surveiller.</w:t>
      </w:r>
    </w:p>
    <w:p>
      <w:pPr>
        <w:pStyle w:val="ListBullet"/>
      </w:pPr>
      <w:r/>
      <w:r>
        <w:rPr>
          <w:b/>
        </w:rPr>
        <w:t>Dompéridone + paroxétine, fluoxétine</w:t>
      </w:r>
      <w:r>
        <w:t xml:space="preserve"> (inhibiteurs CYP2D6 mineurs) : peu d'impact clinique.</w:t>
      </w:r>
    </w:p>
    <w:p>
      <w:pPr>
        <w:pStyle w:val="ListBullet"/>
      </w:pPr>
      <w:r/>
      <w:r>
        <w:rPr>
          <w:b/>
        </w:rPr>
        <w:t>Dompéridone + cimétidine, antiacides</w:t>
      </w:r>
      <w:r>
        <w:t xml:space="preserve"> (anti-H2, IPP) : modification de l'absorption de la dompéridone (alcalinisation gastrique) — espacer les prises d'au moins 2 h.</w:t>
      </w:r>
    </w:p>
    <w:p>
      <w:r/>
      <w:r>
        <w:rPr>
          <w:b/>
        </w:rPr>
        <w:t>Grossesse et Allaitement :</w:t>
      </w:r>
      <w:r/>
    </w:p>
    <w:p>
      <w:pPr>
        <w:pStyle w:val="ListBullet"/>
      </w:pPr>
      <w:r>
        <w:t xml:space="preserve">Grossesse : Selon le CRAT, la dompéridone est </w:t>
      </w:r>
      <w:r>
        <w:rPr>
          <w:b/>
        </w:rPr>
        <w:t>à éviter au 1er trimestre</w:t>
      </w:r>
      <w:r>
        <w:t xml:space="preserve"> par mesure de prudence (données limitées, possible association modeste avec malformations). Aux 2e et 3e trimestres, l'usage ponctuel est possible. À la fin du 3e trimestre, surveillance du nouveau-né en cas d'usage prolongé (risque théorique d'effets extrapyramidaux et d'hypotension). Préférer les anti-H1 non phénothiaziniques (doxylamine + pyridoxine) en première intention au 1er trimestre pour les nausées gravidiques. Le bénéfice doit toujours être évalué.</w:t>
      </w:r>
    </w:p>
    <w:p>
      <w:pPr>
        <w:pStyle w:val="ListBullet"/>
      </w:pPr>
      <w:r>
        <w:t xml:space="preserve">Allaitement : Selon le CRAT, la dompéridone est </w:t>
      </w:r>
      <w:r>
        <w:rPr>
          <w:b/>
        </w:rPr>
        <w:t>compatible avec l'allaitement</w:t>
      </w:r>
      <w:r>
        <w:t xml:space="preserve"> en usage ponctuel et court. Elle passe faiblement dans le lait maternel (rapport lait/plasma ≈ 0,1 à 0,3). À noter que la dompéridone est parfois utilisée intentionnellement pour stimuler la lactation (effet hyperprolactinémiant), mais cette indication est hors AMM en France et nécessite prescription médicale spécialisée avec évaluation du rapport bénéfice/risque. Surveillance de l'enfant allaité (somnolence, troubles digestifs, prise de poids). À éviter en usage prolongé et à forte dose.</w:t>
      </w:r>
    </w:p>
    <w:p>
      <w:pPr>
        <w:pStyle w:val="ListBullet"/>
      </w:pPr>
      <w:r>
        <w:t>Précisions : Risque fœtal principal = allongement du QTc fœtal théorique, effets extrapyramidaux en cas d'usage prolongé en fin de grossesse. Préférer les alternatives plus sûres en 1re intention (IPP pour reflux, anti-H1 pour nausées).</w:t>
      </w:r>
    </w:p>
    <w:p>
      <w:r/>
      <w:r>
        <w:rPr>
          <w:b/>
        </w:rPr>
        <w:t>Posologie et Mode d'administration (Standard) :</w:t>
      </w:r>
      <w:r/>
    </w:p>
    <w:p>
      <w:pPr>
        <w:pStyle w:val="ListBullet"/>
      </w:pPr>
      <w:r>
        <w:t xml:space="preserve">Adulte : Comprimé 10 mg, 1 comprimé x 3/jour avant les repas, </w:t>
      </w:r>
      <w:r>
        <w:rPr>
          <w:b/>
        </w:rPr>
        <w:t>durée maximale 7 jours</w:t>
      </w:r>
      <w:r>
        <w:t xml:space="preserve"> (≤ 30 mg/jour selon EMA 2014). Suspension buvable : 10 mL (10 mg) x 3/jour. Enfant &gt; 12 ans et &gt; 35 kg : comprimés 10 mg x 3/jour.</w:t>
      </w:r>
    </w:p>
    <w:p>
      <w:pPr>
        <w:pStyle w:val="ListBullet"/>
      </w:pPr>
      <w:r>
        <w:t>Sujet âgé : dose recommandée ≤ 30 mg/jour, surveillance ECG préalable si facteurs de risque cardiaque.</w:t>
      </w:r>
    </w:p>
    <w:p>
      <w:pPr>
        <w:pStyle w:val="ListBullet"/>
      </w:pPr>
      <w:r>
        <w:t>Enfant &lt; 12 ans et/ou &lt; 35 kg : 0,25 mg/kg x 3 à 4/jour par voie orale (suspension buvable avec pipette graduée en kg). Ne pas dépasser 0,75 mg/kg/jour.</w:t>
      </w:r>
    </w:p>
    <w:p>
      <w:pPr>
        <w:pStyle w:val="ListBullet"/>
      </w:pPr>
      <w:r>
        <w:t>Insuffisance rénale : réduire la dose de moitié et espacer (ClCr &lt; 30 mL/min), surveiller QTc.</w:t>
      </w:r>
    </w:p>
    <w:p>
      <w:pPr>
        <w:pStyle w:val="ListBullet"/>
      </w:pPr>
      <w:r>
        <w:t>Insuffisance hépatique : CI en cas d'insuffisance modérée à sévère ; prudence en cas d'insuffisance légère.</w:t>
      </w:r>
    </w:p>
    <w:p>
      <w:pPr>
        <w:pStyle w:val="ListBullet"/>
      </w:pPr>
      <w:r>
        <w:t xml:space="preserve">Durée : </w:t>
      </w:r>
      <w:r>
        <w:rPr>
          <w:b/>
        </w:rPr>
        <w:t>7 jours maximum</w:t>
      </w:r>
      <w:r>
        <w:t xml:space="preserve"> (recommandation EMA 2014). Pour la stimulation de la lactation (hors AMM) : usage de 1-2 semaines avec surveillance.</w:t>
      </w:r>
    </w:p>
    <w:p>
      <w:pPr>
        <w:pStyle w:val="ListBullet"/>
      </w:pPr>
      <w:r>
        <w:t>Moment de prise : 15-30 minutes avant les repas pour optimiser l'effet prokinétique sur la vidange gastrique. Au coucher pour le reflux nocturne.</w:t>
      </w:r>
    </w:p>
    <w:p>
      <w:r/>
      <w:r>
        <w:rPr>
          <w:b/>
        </w:rPr>
        <w:t>Arbitrage et Bénéfices des Formes Galéniques :</w:t>
      </w:r>
      <w:r/>
    </w:p>
    <w:p>
      <w:pPr>
        <w:pStyle w:val="ListBullet"/>
      </w:pPr>
      <w:r/>
      <w:r>
        <w:rPr>
          <w:b/>
        </w:rPr>
        <w:t>Comprimés pelliculés 10 mg</w:t>
      </w:r>
      <w:r>
        <w:t xml:space="preserve"> (DOMPERIDONE BEKER, EMETIKAN 10, EMIDIUM HUP, MERIDONE, MOTILIUM, MOTIDONE sécable, PERIDIUM sécable) : voie orale ambulatoire, durée stricte 7 jours, sécabilité utile pour adaptation posologique (sujet âgé, insuffisance rénale).</w:t>
      </w:r>
    </w:p>
    <w:p>
      <w:pPr>
        <w:pStyle w:val="ListBullet"/>
      </w:pPr>
      <w:r/>
      <w:r>
        <w:rPr>
          <w:b/>
        </w:rPr>
        <w:t>Comprimés orodispersibles 10 mg</w:t>
      </w:r>
      <w:r>
        <w:t xml:space="preserve"> (DOMPERIDONE BGL, NAUSEDIUM) : alternative en cas de difficulté de déglutition (sujet âgé,enfant, vomissements), dissolution rapide en bouche sans eau, intérêt en cas de vomissements empêchant la voie orale classique.</w:t>
      </w:r>
    </w:p>
    <w:p>
      <w:pPr>
        <w:pStyle w:val="ListBullet"/>
      </w:pPr>
      <w:r/>
      <w:r>
        <w:rPr>
          <w:b/>
        </w:rPr>
        <w:t>Suspension buvable 1 mg/mL</w:t>
      </w:r>
      <w:r>
        <w:t xml:space="preserve"> (MOTILIUM princeps, DOMPERIDONE BGL, DOMPERIMEX, MOTIDONE, PERIDIUM, PERIDYS, MEDILIUM, NOZEUM, DOMPERIDE) : usage pédiatrique (pipette graduée en kg), adaptation posologique fine, alternative à la forme comprimé en cas de difficulté de déglutition. Concentration 1 mg/mL permet administration précise (1 mL = 1 mg).</w:t>
      </w:r>
    </w:p>
    <w:p>
      <w:pPr>
        <w:pStyle w:val="ListBullet"/>
      </w:pPr>
      <w:r/>
      <w:r>
        <w:rPr>
          <w:b/>
        </w:rPr>
        <w:t>Forme injectable</w:t>
      </w:r>
      <w:r>
        <w:t xml:space="preserve"> : NON disponible en Algérie pour la dompéridone (la forme IM a été retirée en raison du risque cardiaque aigu). Ce retrait impose l'usage oral exclusif.</w:t>
      </w:r>
    </w:p>
    <w:p>
      <w:r/>
      <w:r>
        <w:rPr>
          <w:b/>
        </w:rPr>
        <w:t>Instructions et Conseils au Patient :</w:t>
      </w:r>
      <w:r/>
    </w:p>
    <w:p>
      <w:pPr>
        <w:pStyle w:val="ListBullet"/>
      </w:pPr>
      <w:r>
        <w:t xml:space="preserve">Communication au comptoir : « Ce médicament stimule la vidange de l'estomac et combat les nausées et vomissements. </w:t>
      </w:r>
      <w:r>
        <w:rPr>
          <w:b/>
        </w:rPr>
        <w:t>Il ne doit pas être pris plus de 7 jours d'affilée</w:t>
      </w:r>
      <w:r>
        <w:t xml:space="preserve">. </w:t>
      </w:r>
      <w:r>
        <w:rPr>
          <w:b/>
        </w:rPr>
        <w:t>Il ne doit pas être associé à certains antibiotiques (macrolides), antifongiques (azolés) ou médicaments contre les palpitations cardiaques</w:t>
      </w:r>
      <w:r>
        <w:t xml:space="preserve">. Si vous ressentez des palpitations, des vertiges, une syncope, </w:t>
      </w:r>
      <w:r>
        <w:rPr>
          <w:b/>
        </w:rPr>
        <w:t>arrêtez le traitement et consultez immédiatement un médecin</w:t>
      </w:r>
      <w:r>
        <w:t>. À prendre avant les repas. Prévenez votre médecin si vous avez des problèmes cardiaques, hépatiques, ou si vous êtes enceinte ou allaitez. »</w:t>
      </w:r>
    </w:p>
    <w:p>
      <w:pPr>
        <w:pStyle w:val="ListBullet"/>
      </w:pPr>
      <w:r>
        <w:t>Mode d'utilisation pratique : (a) Prendre 15-30 min avant les 3 repas principaux ; (b) Ne pas dépasser 3 comprimés par jour ; (c) En cas d'oubli, ne pas doubler la dose suivante ; (d) Avertir le patient des signes cardiaques d'alerte (palpitations, syncope, vertiges) ; (e) Avertir le patient que ce traitement ne doit jamais être associé à certains antibiotiques ou antifongiques sans avis médical ; (f) Éviter la conduite et les activités à risque en cas de somnolence ; (g) Ne pas associer avec l'alcool.</w:t>
      </w:r>
    </w:p>
    <w:p>
      <w:r/>
      <w:r>
        <w:rPr>
          <w:b/>
        </w:rPr>
        <w:t>Notes, Règles d'Or &amp; Pièges au Comptoir :</w:t>
      </w:r>
      <w:r/>
    </w:p>
    <w:p>
      <w:pPr>
        <w:pStyle w:val="ListBullet"/>
      </w:pPr>
      <w:r>
        <w:t xml:space="preserve">Piège classique : </w:t>
      </w:r>
      <w:r>
        <w:rPr>
          <w:b/>
        </w:rPr>
        <w:t>Dompéridone &gt; 7 jours = risque cardiaque (allongement QTc, torsades de pointe)</w:t>
      </w:r>
      <w:r>
        <w:t>. Le pharmacien doit refuser le renouvellement au-delà de 7 jours sans prescription médicale actualisée. Règle absolue EMA 2014.</w:t>
      </w:r>
    </w:p>
    <w:p>
      <w:pPr>
        <w:pStyle w:val="ListBullet"/>
      </w:pPr>
      <w:r>
        <w:t xml:space="preserve">Piège allongeurs QT : la dompéridone est </w:t>
      </w:r>
      <w:r>
        <w:rPr>
          <w:b/>
        </w:rPr>
        <w:t>contre-indiquée avec tous les allongeurs QT et les inhibiteurs puissants du CYP3A4</w:t>
      </w:r>
      <w:r>
        <w:t>. Toujours vérifier les traitements associés (interroger le patient sur ses prescriptions : macrolides, azolés, antipsychotiques, méthadone, amiodarone, etc.).</w:t>
      </w:r>
    </w:p>
    <w:p>
      <w:pPr>
        <w:pStyle w:val="ListBullet"/>
      </w:pPr>
      <w:r>
        <w:t xml:space="preserve">Piège enfant : la dompéridone est </w:t>
      </w:r>
      <w:r>
        <w:rPr>
          <w:b/>
        </w:rPr>
        <w:t>contre-indiquée chez le nourrisson &lt; 12 ans ou &lt; 35 kg</w:t>
      </w:r>
      <w:r>
        <w:t xml:space="preserve"> sauf usage suspension buvable à dose poids-ajustée. Risque de mort subite du nourrisson débattu, prudence absolue.</w:t>
      </w:r>
    </w:p>
    <w:p>
      <w:pPr>
        <w:pStyle w:val="ListBullet"/>
      </w:pPr>
      <w:r>
        <w:t>Piège lactation : la dompéridone est parfois utilisée hors AMM pour stimuler la lactation — usage spécialisé, surveiller prolactinémie, hyperprolactinémie prolongée, effets cardiaques possibles.</w:t>
      </w:r>
    </w:p>
    <w:p>
      <w:pPr>
        <w:pStyle w:val="ListBullet"/>
      </w:pPr>
      <w:r>
        <w:t>Règle de prise : avant les repas (15-30 min), pour optimiser l'effet prokinétique sur la vidange gastrique.</w:t>
      </w:r>
    </w:p>
    <w:p>
      <w:pPr>
        <w:pStyle w:val="ListBullet"/>
      </w:pPr>
      <w:r>
        <w:t>Préparation et Conservation : comprimés à température ambiante &lt; 25°C, à l'abri de l'humidité ; suspension buvable après ouverture : conservation 1 mois maximum (selon RCP) ; orodispersibles : à conserver dans leur emballage d'origine, à l'abri de l'humidité, à utiliser immédiatement après ouverture.</w:t>
      </w:r>
    </w:p>
    <w:p>
      <w:pPr>
        <w:pStyle w:val="ListBullet"/>
      </w:pPr>
      <w:r>
        <w:t>Piège du surdosage / Substitution : la dompéridone ne doit pas remplacer la métoclopramide en prévention des chimiothérapies fortement émétisantes (pas d'activité 5-HT4/5-HT3, pas de forme IV disponible). Ne pas substituer sans vérifier le terrain (Parkinson = métoclopramide CI, dompéridone possible avec surveillance QT ; insuffisance cardiaque = dompéridone CI, métoclopramide possible avec garde-fou durée courte).</w:t>
      </w:r>
    </w:p>
    <w:p>
      <w:pPr>
        <w:pStyle w:val="Heading2"/>
      </w:pPr>
      <w:r>
        <w:t>3. DCI : Cisapride (Retiré du marché) (seule)</w:t>
      </w:r>
    </w:p>
    <w:p>
      <w:r/>
      <w:r>
        <w:rPr>
          <w:b/>
        </w:rPr>
        <w:t>Liste des Catégories :</w:t>
      </w:r>
      <w:r>
        <w:t xml:space="preserve"> Liste II (historique) — prokinétique agoniste 5-HT4, RETIRÉ DU MARCHÉ (R).</w:t>
      </w:r>
    </w:p>
    <w:p>
      <w:r>
        <w:t>Le cisapride est un benzamide substitué (orthopramide) de la même famille structurale que la métoclopramide et le sulpiride, mais qui s'en distingue par une activité pharmacologique très sélective : agoniste des récepteurs sérotoninergiques 5-HT4 entériques, sans activité antidopaminergique D2 significative et sans activité anticholinergique. Cette sélectivité pharmacologique en faisait théoriquement le prokinétique digestif idéal : pas d'effets extrapyramidaux, pas de sédation, pas d'hyperprolactinémie, pas d'effets anticholinergiques. Sa pharmacocinétique est caractérisée par une biodisponibilité orale de 30-40% (effet de premier passage important), un pic plasmatique à 1-2 h, une demi-vie d'élimination de 6-12 h, un métabolisme hépatique principal par le CYP3A4 (rendant le cisapride très vulnérable aux interactions médicamenteuses), et une élimination rénale (90%) et fécale. La liaison aux protéines plasmatiques est de 97-98%. Le cisapride a été retiré du marché mondial progressivement entre 2000 et 2011 en raison de son risque cardiaque grave (allongement du QTc, torsades de pointe, décès), lié à un blocage des canaux potassiques hERG cardiaques. En Algérie, le cisapride est aujourd'hui retiré (R) dans toute la nomenclature.</w:t>
      </w:r>
    </w:p>
    <w:p>
      <w:r/>
      <w:r>
        <w:rPr>
          <w:b/>
        </w:rPr>
        <w:t>Médicaments disponibles en Algérie (Marques, Laboratoires, Formes et Dosages) :</w:t>
      </w:r>
      <w:r/>
    </w:p>
    <w:p>
      <w:pPr>
        <w:pStyle w:val="ListBullet"/>
      </w:pPr>
      <w:r/>
      <w:r>
        <w:rPr>
          <w:b/>
        </w:rPr>
        <w:t>GASTROPRIDE</w:t>
      </w:r>
      <w:r>
        <w:t xml:space="preserve"> (DAR AL DAWA)</w:t>
      </w:r>
    </w:p>
    <w:p>
      <w:pPr>
        <w:pStyle w:val="ListBullet"/>
      </w:pPr>
      <w:r>
        <w:t>Formes et Dosages : Comprimé 10 mg (B/20) ; Suspension buvable 1 mg/mL (flacon 100 mL)</w:t>
      </w:r>
    </w:p>
    <w:p>
      <w:pPr>
        <w:pStyle w:val="ListBullet"/>
      </w:pPr>
      <w:r>
        <w:t>Statut : RETRAIT (R)</w:t>
      </w:r>
    </w:p>
    <w:p>
      <w:pPr>
        <w:pStyle w:val="ListBullet"/>
      </w:pPr>
      <w:r/>
      <w:r>
        <w:rPr>
          <w:b/>
        </w:rPr>
        <w:t>FISIOGASTROL</w:t>
      </w:r>
      <w:r>
        <w:t xml:space="preserve"> (SALVAT)</w:t>
      </w:r>
    </w:p>
    <w:p>
      <w:pPr>
        <w:pStyle w:val="ListBullet"/>
      </w:pPr>
      <w:r>
        <w:t>Formes et Dosages : Comprimé 10 mg (B/50) ; Suspension buvable 1 mg/mL (flacons 100 mL et 200 mL)</w:t>
      </w:r>
    </w:p>
    <w:p>
      <w:pPr>
        <w:pStyle w:val="ListBullet"/>
      </w:pPr>
      <w:r>
        <w:t>Statut : RETRAIT (R)</w:t>
      </w:r>
    </w:p>
    <w:p>
      <w:pPr>
        <w:pStyle w:val="ListBullet"/>
      </w:pPr>
      <w:r/>
      <w:r>
        <w:rPr>
          <w:b/>
        </w:rPr>
        <w:t>MINSK</w:t>
      </w:r>
      <w:r>
        <w:t xml:space="preserve"> (ANFARM HELLAS SA)</w:t>
      </w:r>
    </w:p>
    <w:p>
      <w:pPr>
        <w:pStyle w:val="ListBullet"/>
      </w:pPr>
      <w:r>
        <w:t>Formes et Dosages : Comprimé 10 mg (B/50) ; Suspension buvable 1 mg/mL (flacon 200 mL)</w:t>
      </w:r>
    </w:p>
    <w:p>
      <w:pPr>
        <w:pStyle w:val="ListBullet"/>
      </w:pPr>
      <w:r>
        <w:t>Statut : RETRAIT (R)</w:t>
      </w:r>
    </w:p>
    <w:p>
      <w:pPr>
        <w:pStyle w:val="ListBullet"/>
      </w:pPr>
      <w:r/>
      <w:r>
        <w:rPr>
          <w:b/>
        </w:rPr>
        <w:t>REFLUXIN</w:t>
      </w:r>
      <w:r>
        <w:t xml:space="preserve"> (HAYAT)</w:t>
      </w:r>
    </w:p>
    <w:p>
      <w:pPr>
        <w:pStyle w:val="ListBullet"/>
      </w:pPr>
      <w:r>
        <w:t>Formes et Dosages : Comprimé 10 mg (B/30)</w:t>
      </w:r>
    </w:p>
    <w:p>
      <w:pPr>
        <w:pStyle w:val="ListBullet"/>
      </w:pPr>
      <w:r>
        <w:t>Statut : RETRAIT (R)</w:t>
      </w:r>
    </w:p>
    <w:p>
      <w:pPr>
        <w:pStyle w:val="ListBullet"/>
      </w:pPr>
      <w:r/>
      <w:r>
        <w:rPr>
          <w:b/>
        </w:rPr>
        <w:t>SEPRIDE</w:t>
      </w:r>
      <w:r>
        <w:t xml:space="preserve"> (JORDANIAN PHARMACEUTICAL MANUFACTURING — JPM)</w:t>
      </w:r>
    </w:p>
    <w:p>
      <w:pPr>
        <w:pStyle w:val="ListBullet"/>
      </w:pPr>
      <w:r>
        <w:t>Formes et Dosages : Comprimé 10 mg (B/30) ; Suspension buvable 1 mg/mL (flacon 100 mL)</w:t>
      </w:r>
    </w:p>
    <w:p>
      <w:pPr>
        <w:pStyle w:val="ListBullet"/>
      </w:pPr>
      <w:r>
        <w:t>Statut : RETRAIT (R)</w:t>
      </w:r>
    </w:p>
    <w:p>
      <w:pPr>
        <w:pStyle w:val="ListBullet"/>
      </w:pPr>
      <w:r/>
      <w:r>
        <w:rPr>
          <w:b/>
        </w:rPr>
        <w:t>PREPULSID</w:t>
      </w:r>
      <w:r>
        <w:t xml:space="preserve"> (JANSSEN CILAG) — princeps</w:t>
      </w:r>
    </w:p>
    <w:p>
      <w:pPr>
        <w:pStyle w:val="ListBullet"/>
      </w:pPr>
      <w:r>
        <w:t>Formes et Dosages : Comprimé sécable 10 mg (B/40) ; Suspension buvable 1 mg/mL (flacons 100 mL et 200 mL)</w:t>
      </w:r>
    </w:p>
    <w:p>
      <w:pPr>
        <w:pStyle w:val="ListBullet"/>
      </w:pPr>
      <w:r>
        <w:t>Statut : RETRAIT (R)</w:t>
      </w:r>
    </w:p>
    <w:p>
      <w:r/>
      <w:r>
        <w:rPr>
          <w:b/>
        </w:rPr>
        <w:t>Sous-classe et Mécanisme d'action :</w:t>
      </w:r>
      <w:r/>
    </w:p>
    <w:p>
      <w:pPr>
        <w:pStyle w:val="ListBullet"/>
      </w:pPr>
      <w:r>
        <w:t>Sous-classe : Prokinétique agoniste sélectif des récepteurs sérotoninergiques 5-HT4 entériques (sans activité D2, mACh, H1 ou 5-HT3 significative). RETIRÉ DU MARCHÉ en raison du risque cardiaque.</w:t>
      </w:r>
    </w:p>
    <w:p>
      <w:pPr>
        <w:pStyle w:val="ListBullet"/>
      </w:pPr>
      <w:r>
        <w:t xml:space="preserve">Mécanisme d'action : Le cisapride agit comme agoniste des récepteurs 5-HT4 présents sur les neurones entériques des plexus myentérique (Auerbach) et sous-muqueux (Meissner) de la paroi digestive. La stimulation de ces récepteurs entraîne une libération accrue d'acétylcholine au niveau des jonctions neuromusculaires entériques, augmentant ainsi le tonus du sphincter inférieur de l'oesophage (anti-reflux), stimulant le péristaltisme oesophagien, accélérant la vidange gastrique, et améliorant la coordination antro-duodénale et colique. Cette action prokinétique est pure (sans effets extrapyramidaux centraux, sans anticholinergiques, sans sédation). Le cisapride ne traverse pas significativement la BHE aux doses thérapeutiques. </w:t>
      </w:r>
      <w:r>
        <w:rPr>
          <w:b/>
        </w:rPr>
        <w:t>Cependant, le cisapride bloque également les canaux potassiques cardiaques hERG (Kv11.1 / KCNH2)</w:t>
      </w:r>
      <w:r>
        <w:t xml:space="preserve"> à doses thérapeutiques, à l'origine d'un allongement de l'intervalle QTc et d'un risque de torsades de pointe, parfois mortel. Ce risque, majoré par les interactions médicamenteuses (inhibiteurs puissants du CYP3A4 : macrolides, azolés antifongiques, inhibiteurs de protéase du VIH) et par les autres allongeurs QT, a conduit à son retrait mondial progressif.</w:t>
      </w:r>
    </w:p>
    <w:p>
      <w:r/>
      <w:r>
        <w:rPr>
          <w:b/>
        </w:rPr>
        <w:t>Profil Pharmacologique :</w:t>
      </w:r>
      <w:r/>
    </w:p>
    <w:p>
      <w:pPr>
        <w:pStyle w:val="ListBullet"/>
      </w:pPr>
      <w:r>
        <w:t>Indications : Historiquement indiqué dans (a) Reflux gastro-oesophagien (RGO) non compliqué, en cas d'échec des antiacides et IPP ; (b) Dyspepsie fonctionnelle ; (c) Gastroparésie (notamment diabétique) ; (d) Troubles moteurs intestinaux (constipation chronique, pseudo-obstruction intestinale chronique) ; (e) Préparation à l'endoscopie. Aujourd'hui PLUS INDICITÉ en raison du retrait du marché.</w:t>
      </w:r>
    </w:p>
    <w:p>
      <w:pPr>
        <w:pStyle w:val="ListBullet"/>
      </w:pPr>
      <w:r>
        <w:t>Contre-indications (historiques) : (a) Allongement du QTc congénital ou acquis ; (b) Troubles électrolytiques (hypokaliémie, hypomagnésémie) ; (c) Insuffisance hépatique sévère ; (d) Association avec tous les inhibiteurs puissants du CYP3A4 (macrolides — érythromycine, clarithromycine ; azolés antifongiques — kétoconazole, itraconazole, fluconazole, miconazole ; inhibiteurs de protéase du VIH — ritonavir, indinavir, saquinavir, nelfinavir) ; (e) Association avec tous les allongeurs QT (amiodarone, sotalol, quinidine, disopyramide, bépridil, antihistaminiques H1 de 1re génération, antidépresseurs tricycliques, phénothiazines, dropéridol, sultopride, halopéridol, méthadone) ; (f) Grossesse et allaitement.</w:t>
      </w:r>
    </w:p>
    <w:p>
      <w:pPr>
        <w:pStyle w:val="ListBullet"/>
      </w:pPr>
      <w:r>
        <w:t xml:space="preserve">Effets Indésirables (historiques) : (a) </w:t>
      </w:r>
      <w:r>
        <w:rPr>
          <w:b/>
        </w:rPr>
        <w:t>Allongement du QTc et risque de torsades de pointe</w:t>
      </w:r>
      <w:r>
        <w:t xml:space="preserve"> — risque rare mais grave, parfois mortel — raison principale du retrait du marché ; (b) Effets digestifs : diarrhée, douleurs abdominales, nausées ; (c) Céphalées, asthénie ; (d) Réactions allergiques (rash, urticaire) ; (e) Hyperprolactinémie (rare, discrète) ; (f) Effets extrapyramidaux (très rares) ; (g) Augmentation des transaminases (rare).</w:t>
      </w:r>
    </w:p>
    <w:p>
      <w:r/>
      <w:r>
        <w:rPr>
          <w:b/>
        </w:rPr>
        <w:t>Prévention et Gestion des Effets Indésirables :</w:t>
      </w:r>
      <w:r/>
    </w:p>
    <w:p>
      <w:pPr>
        <w:pStyle w:val="ListBullet"/>
      </w:pPr>
      <w:r>
        <w:t xml:space="preserve">Mesures Préventives : Le cisapride étant retiré du marché, il ne doit </w:t>
      </w:r>
      <w:r>
        <w:rPr>
          <w:b/>
        </w:rPr>
        <w:t>jamais être prescrit ni délivré</w:t>
      </w:r>
      <w:r>
        <w:t>. Les patients ayant pu en conserver doivent être informés du risque et invités à le rapporter à la pharmacie pour destruction. Le pharmacien doit signaler toute demande de cisapride comme médicament retiré. L'enseignement de cette classe reste académique pour illustrer le concept de pharmacovigilance post-AMM et de risque cardiaque médicamenteux.</w:t>
      </w:r>
    </w:p>
    <w:p>
      <w:pPr>
        <w:pStyle w:val="ListBullet"/>
      </w:pPr>
      <w:r>
        <w:t>Conduite à Tenir : Tout patient sous cisapride (usage ancien ou importation illicite) doit arrêter immédiatement le traitement, réaliser un ECG, et consulter un médecin pour évaluation du QTc et proposition d'alternative prokinétique (dompéridone avec surveillance QTc, métoclopramide en durée courte, prucalopride pour la constipation — non disponible en Algérie, ou IPP pour le reflux).</w:t>
      </w:r>
    </w:p>
    <w:p>
      <w:r/>
      <w:r>
        <w:rPr>
          <w:b/>
        </w:rPr>
        <w:t>Interactions Importantes :</w:t>
      </w:r>
      <w:r/>
    </w:p>
    <w:p>
      <w:pPr>
        <w:pStyle w:val="ListBullet"/>
      </w:pPr>
      <w:r/>
      <w:r>
        <w:rPr>
          <w:b/>
        </w:rPr>
        <w:t>Cisapride + inhibiteurs puissants du CYP3A4</w:t>
      </w:r>
      <w:r>
        <w:t xml:space="preserve"> (érythromycine, clarithromycine, kétoconazole, itraconazole, fluconazole, miconazole, ritonavir, saquinavir, indinavir, nelfinavir) : augmentation majeure des concentrations de cisapride, allongement QTc et risque de torsades de pointe — </w:t>
      </w:r>
      <w:r>
        <w:rPr>
          <w:b/>
        </w:rPr>
        <w:t>CI absolue</w:t>
      </w:r>
      <w:r>
        <w:t xml:space="preserve"> (raison historique majeure du retrait).</w:t>
      </w:r>
    </w:p>
    <w:p>
      <w:pPr>
        <w:pStyle w:val="ListBullet"/>
      </w:pPr>
      <w:r/>
      <w:r>
        <w:rPr>
          <w:b/>
        </w:rPr>
        <w:t>Cisapride + allongeurs QT</w:t>
      </w:r>
      <w:r>
        <w:t xml:space="preserve"> : addition des effets sur le QTc — </w:t>
      </w:r>
      <w:r>
        <w:rPr>
          <w:b/>
        </w:rPr>
        <w:t>CI absolue</w:t>
      </w:r>
      <w:r>
        <w:t>.</w:t>
      </w:r>
    </w:p>
    <w:p>
      <w:pPr>
        <w:pStyle w:val="ListBullet"/>
      </w:pPr>
      <w:r/>
      <w:r>
        <w:rPr>
          <w:b/>
        </w:rPr>
        <w:t>Cisapride + anticoagulants oraux</w:t>
      </w:r>
      <w:r>
        <w:t xml:space="preserve"> (warfarine) : augmentation de l'absorption et du risque hémorragique — surveiller INR.</w:t>
      </w:r>
    </w:p>
    <w:p>
      <w:pPr>
        <w:pStyle w:val="ListBullet"/>
      </w:pPr>
      <w:r/>
      <w:r>
        <w:rPr>
          <w:b/>
        </w:rPr>
        <w:t>Cisapride + digoxine</w:t>
      </w:r>
      <w:r>
        <w:t xml:space="preserve"> : augmentation possible de l'absorption.</w:t>
      </w:r>
    </w:p>
    <w:p>
      <w:pPr>
        <w:pStyle w:val="ListBullet"/>
      </w:pPr>
      <w:r/>
      <w:r>
        <w:rPr>
          <w:b/>
        </w:rPr>
        <w:t>Cisapride + diurétiques hypokaliémiants</w:t>
      </w:r>
      <w:r>
        <w:t xml:space="preserve"> : hypokaliémie majorant le risque de torsades.</w:t>
      </w:r>
    </w:p>
    <w:p>
      <w:r/>
      <w:r>
        <w:rPr>
          <w:b/>
        </w:rPr>
        <w:t>Grossesse et Allaitement :</w:t>
      </w:r>
      <w:r/>
    </w:p>
    <w:p>
      <w:pPr>
        <w:pStyle w:val="ListBullet"/>
      </w:pPr>
      <w:r>
        <w:t>Grossesse : CI par mesure de prudence en raison du risque cardiaque fœtal théorique et du retrait du marché. Le cisapride ne doit pas être utilisé pendant la grossesse.</w:t>
      </w:r>
    </w:p>
    <w:p>
      <w:pPr>
        <w:pStyle w:val="ListBullet"/>
      </w:pPr>
      <w:r>
        <w:t>Allaitement : CI en raison du passage dans le lait maternel et du risque cardiaque pour le nouveau-né.</w:t>
      </w:r>
    </w:p>
    <w:p>
      <w:pPr>
        <w:pStyle w:val="ListBullet"/>
      </w:pPr>
      <w:r>
        <w:t>Précisions : Le cisapride étant retiré du marché, toute exposition éventuelle doit faire l'objet d'une déclaration de pharmacovigilance et d'une consultation spécialisée.</w:t>
      </w:r>
    </w:p>
    <w:p>
      <w:r/>
      <w:r>
        <w:rPr>
          <w:b/>
        </w:rPr>
        <w:t>Posologie et Mode d'administration (Standard historique) :</w:t>
      </w:r>
      <w:r/>
    </w:p>
    <w:p>
      <w:pPr>
        <w:pStyle w:val="ListBullet"/>
      </w:pPr>
      <w:r>
        <w:t>Adulte : Comprimé 10 mg, 1 comprimé x 3 à 4/jour avant les repas et au coucher. Suspension buvable 1 mg/mL, 10 mL x 3 à 4/jour.</w:t>
      </w:r>
    </w:p>
    <w:p>
      <w:pPr>
        <w:pStyle w:val="ListBullet"/>
      </w:pPr>
      <w:r>
        <w:t>Sujet âgé : dose réduite à 5 mg x 3/jour, surveillance ECG.</w:t>
      </w:r>
    </w:p>
    <w:p>
      <w:pPr>
        <w:pStyle w:val="ListBullet"/>
      </w:pPr>
      <w:r>
        <w:t>Enfant : 0,2 mg/kg x 3 à 4/jour.</w:t>
      </w:r>
    </w:p>
    <w:p>
      <w:pPr>
        <w:pStyle w:val="ListBullet"/>
      </w:pPr>
      <w:r>
        <w:t>Durée : en théorie illimitée (mais traitement suspendu en raison du retrait).</w:t>
      </w:r>
    </w:p>
    <w:p>
      <w:pPr>
        <w:pStyle w:val="ListBullet"/>
      </w:pPr>
      <w:r>
        <w:t>Moment de prise : avant les repas (15-30 min) et au coucher.</w:t>
      </w:r>
    </w:p>
    <w:p>
      <w:pPr>
        <w:pStyle w:val="ListBullet"/>
      </w:pPr>
      <w:r>
        <w:t>Aujourd'hui : aucune posologie applicable — médicament retiré.</w:t>
      </w:r>
    </w:p>
    <w:p>
      <w:r/>
      <w:r>
        <w:rPr>
          <w:b/>
        </w:rPr>
        <w:t>Arbitrage et Bénéfices des Formes Galéniques :</w:t>
      </w:r>
      <w:r/>
    </w:p>
    <w:p>
      <w:pPr>
        <w:pStyle w:val="ListBullet"/>
      </w:pPr>
      <w:r>
        <w:t>Les formes historiques (comprimés 10 mg et suspension buvable 1 mg/mL) ne sont plus disponibles.</w:t>
      </w:r>
    </w:p>
    <w:p>
      <w:pPr>
        <w:pStyle w:val="ListBullet"/>
      </w:pPr>
      <w:r>
        <w:t>Le retrait a été progressif : PREPULSID princeps Janssen a été le premier retiré, suivi des génériques (GASTROPRIDE, FISIOGASTROL, MINSK, REFLUXIN, SEPRIDE).</w:t>
      </w:r>
    </w:p>
    <w:p>
      <w:pPr>
        <w:pStyle w:val="ListBullet"/>
      </w:pPr>
      <w:r>
        <w:t>Aucune alternative galénique directe n'est disponible — l'arsenal prokinétique algérien repose désormais sur la métoclopramide (avec garde-fou durée &lt; 5 jours) et la dompéridone (avec surveillance QTc).</w:t>
      </w:r>
    </w:p>
    <w:p>
      <w:r/>
      <w:r>
        <w:rPr>
          <w:b/>
        </w:rPr>
        <w:t>Instructions et Conseils au Patient :</w:t>
      </w:r>
      <w:r/>
    </w:p>
    <w:p>
      <w:pPr>
        <w:pStyle w:val="ListBullet"/>
      </w:pPr>
      <w:r>
        <w:t>Communication au comptoir : « Ce médicament a été retiré du marché il y a plusieurs années en raison d'un risque cardiaque grave (troubles du rythme, parfois mortels). Il ne doit plus être utilisé. Si vous en avez encore chez vous, rapportez-le à la pharmacie pour destruction. Pour vos troubles digestifs actuels, consultez votre médecin qui vous prescrira un traitement adapté et sûr. »</w:t>
      </w:r>
    </w:p>
    <w:p>
      <w:pPr>
        <w:pStyle w:val="ListBullet"/>
      </w:pPr>
      <w:r>
        <w:t>Mode d'utilisation pratique : aucune — médicament retiré.</w:t>
      </w:r>
    </w:p>
    <w:p>
      <w:r/>
      <w:r>
        <w:rPr>
          <w:b/>
        </w:rPr>
        <w:t>Notes, Règles d'Or &amp; Pièges au Comptoir :</w:t>
      </w:r>
      <w:r/>
    </w:p>
    <w:p>
      <w:pPr>
        <w:pStyle w:val="ListBullet"/>
      </w:pPr>
      <w:r>
        <w:t xml:space="preserve">Piège classique : </w:t>
      </w:r>
      <w:r>
        <w:rPr>
          <w:b/>
        </w:rPr>
        <w:t>Cisapride = médicament retiré du marché en raison du risque de torsades de pointe</w:t>
      </w:r>
      <w:r>
        <w:t>. Le pharmacien ne doit jamais délivrer, même sur ancienne prescription. Tout patient en ayant conservé doit être informé du risque.</w:t>
      </w:r>
    </w:p>
    <w:p>
      <w:pPr>
        <w:pStyle w:val="ListBullet"/>
      </w:pPr>
      <w:r>
        <w:t>Règle de prise : aucune — médicament retiré.</w:t>
      </w:r>
    </w:p>
    <w:p>
      <w:pPr>
        <w:pStyle w:val="ListBullet"/>
      </w:pPr>
      <w:r>
        <w:t>Préparation et Conservation : à rapporter à la pharmacie pour destruction (filière médicaments usagés).</w:t>
      </w:r>
    </w:p>
    <w:p>
      <w:pPr>
        <w:pStyle w:val="ListBullet"/>
      </w:pPr>
      <w:r>
        <w:t>Piège du surdosage / Substitution : la substitution par métoclopramide (durée courte &lt; 5 jours) ou dompéridone (surveillance QTc) doit se faire sur prescription médicale actualisée. Ne pas substituer sans avis médical.</w:t>
      </w:r>
    </w:p>
    <w:p>
      <w:pPr>
        <w:pStyle w:val="ListBullet"/>
      </w:pPr>
      <w:r>
        <w:t>Rôle pédagogique : le cisapride reste un cas d'école en pharmacologie et pharmacovigilance pour illustrer (i) le concept de risque cardiaque hERG, (ii) la criticité des interactions CYP3A4, (iii) l'importance de la pharmacovigilance post-AMM, (iv) le retrait de spécialités princeps après large diffusion.</w:t>
      </w:r>
    </w:p>
    <w:p>
      <w:pPr>
        <w:pStyle w:val="Heading2"/>
      </w:pPr>
      <w:r>
        <w:t>4. DCI : Ondansétron (seule)</w:t>
      </w:r>
    </w:p>
    <w:p>
      <w:r/>
      <w:r>
        <w:rPr>
          <w:b/>
        </w:rPr>
        <w:t>Liste des Catégories :</w:t>
      </w:r>
      <w:r>
        <w:t xml:space="preserve"> Liste I (injectable, suppositoire), Liste II (comprimés, sirop) — antiémétique antagoniste 5-HT3.</w:t>
      </w:r>
    </w:p>
    <w:p>
      <w:r>
        <w:t>L'ondansétron est le chef de file des antagonistes 5-HT3, première génération. C'est un carbazolone dérivé de la sérotonine, agoniste-antagoniste sélectif des récepteurs 5-HT3, qui a révolutionné la prise en charge des nausées et vomissements chimio-induits (NVCI) et post-opératoires (NVPO) depuis sa commercialisation en 1990. Sa pharmacocinétique est caractérisée par une biodisponibilité orale de 60% (premier passage hépatique), un pic plasmatique à 1-2 h, une demi-vie d'élimination de 3-4 h (courte — nécessitant administrations répétées ou perfusion continue), un métabolisme hépatique principal par le CYP3A4, le CYP2D6 et le CYP1A2, et une élimination rénale (75%) et fécale. La liaison aux protéines plasmatiques est de 70-76%. L'ondansétron traverse la barrière placentaire et la barrière hémato-encéphalique (à l'origine de son efficacité centrale).</w:t>
      </w:r>
    </w:p>
    <w:p>
      <w:r/>
      <w:r>
        <w:rPr>
          <w:b/>
        </w:rPr>
        <w:t>Médicaments disponibles en Algérie (Marques, Laboratoires, Formes et Dosages) :</w:t>
      </w:r>
      <w:r/>
    </w:p>
    <w:p>
      <w:pPr>
        <w:pStyle w:val="ListBullet"/>
      </w:pPr>
      <w:r/>
      <w:r>
        <w:rPr>
          <w:b/>
        </w:rPr>
        <w:t>SETRON</w:t>
      </w:r>
      <w:r>
        <w:t xml:space="preserve"> (HIKMA PHARMA ALGERIA)</w:t>
      </w:r>
    </w:p>
    <w:p>
      <w:pPr>
        <w:pStyle w:val="ListBullet"/>
      </w:pPr>
      <w:r>
        <w:t>Formes et Dosages : Solution injectable IV 2 mg/mL (boîte de 5 ampoules de 2 mL = 4 mg/2 mL ET boîte de 5 ampoules de 4 mL = 8 mg/4 mL)</w:t>
      </w:r>
    </w:p>
    <w:p>
      <w:pPr>
        <w:pStyle w:val="ListBullet"/>
      </w:pPr>
      <w:r>
        <w:t>Statut : ACTIF</w:t>
      </w:r>
    </w:p>
    <w:p>
      <w:pPr>
        <w:pStyle w:val="ListBullet"/>
      </w:pPr>
      <w:r/>
      <w:r>
        <w:rPr>
          <w:b/>
        </w:rPr>
        <w:t>ONDANSETRON INPHA-MEDIS</w:t>
      </w:r>
      <w:r>
        <w:t xml:space="preserve"> (INPHA-MEDIS)</w:t>
      </w:r>
    </w:p>
    <w:p>
      <w:pPr>
        <w:pStyle w:val="ListBullet"/>
      </w:pPr>
      <w:r>
        <w:t>Formes et Dosages : Comprimé pelliculé 4 mg (B/10) ; Comprimé pelliculé 8 mg (B/10)</w:t>
      </w:r>
    </w:p>
    <w:p>
      <w:pPr>
        <w:pStyle w:val="ListBullet"/>
      </w:pPr>
      <w:r>
        <w:t>Statut : ACTIF</w:t>
      </w:r>
    </w:p>
    <w:p>
      <w:pPr>
        <w:pStyle w:val="ListBullet"/>
      </w:pPr>
      <w:r/>
      <w:r>
        <w:rPr>
          <w:b/>
        </w:rPr>
        <w:t>SETREME</w:t>
      </w:r>
      <w:r>
        <w:t xml:space="preserve"> (LABORATOIRES BEKER)</w:t>
      </w:r>
    </w:p>
    <w:p>
      <w:pPr>
        <w:pStyle w:val="ListBullet"/>
      </w:pPr>
      <w:r>
        <w:t>Formes et Dosages : Comprimé pelliculé 4 mg (B/07 et B/28) ; Comprimé pelliculé 8 mg (B/07 et B/28)</w:t>
      </w:r>
    </w:p>
    <w:p>
      <w:pPr>
        <w:pStyle w:val="ListBullet"/>
      </w:pPr>
      <w:r>
        <w:t>Statut : ACTIF (4 mg) / NON_RENOUVELABLE (8 mg)</w:t>
      </w:r>
    </w:p>
    <w:p>
      <w:pPr>
        <w:pStyle w:val="ListBullet"/>
      </w:pPr>
      <w:r/>
      <w:r>
        <w:rPr>
          <w:b/>
        </w:rPr>
        <w:t>NAUSETRON</w:t>
      </w:r>
      <w:r>
        <w:t xml:space="preserve"> (4A SANTE INDUSTRIE / AFROPHARM SPA)</w:t>
      </w:r>
    </w:p>
    <w:p>
      <w:pPr>
        <w:pStyle w:val="ListBullet"/>
      </w:pPr>
      <w:r>
        <w:t>Formes et Dosages : Sirop 4 mg/5 mL (flacon 50 mL + cuillère mesure) ; Suppositoire 16 mg (B/02)</w:t>
      </w:r>
    </w:p>
    <w:p>
      <w:pPr>
        <w:pStyle w:val="ListBullet"/>
      </w:pPr>
      <w:r>
        <w:t>Statut : ACTIF</w:t>
      </w:r>
    </w:p>
    <w:p>
      <w:pPr>
        <w:pStyle w:val="ListBullet"/>
      </w:pPr>
      <w:r/>
      <w:r>
        <w:rPr>
          <w:b/>
        </w:rPr>
        <w:t>NOSITRON</w:t>
      </w:r>
      <w:r>
        <w:t xml:space="preserve"> (GROUPE SAIDAL)</w:t>
      </w:r>
    </w:p>
    <w:p>
      <w:pPr>
        <w:pStyle w:val="ListBullet"/>
      </w:pPr>
      <w:r>
        <w:t>Formes et Dosages : Comprimé orodispersible 4 mg (B/04) ; Comprimé orodispersible 8 mg (B/04) ; Solution injectable IV 2 mg/mL (4 mg/2 mL) (B/05 et B/50 ampoules de 2 mL) ; Sirop 4 mg/5 mL (flacon 50 mL + gobelet doseur gradué)</w:t>
      </w:r>
    </w:p>
    <w:p>
      <w:pPr>
        <w:pStyle w:val="ListBullet"/>
      </w:pPr>
      <w:r>
        <w:t>Statut : NON_RENOUVELABLE</w:t>
      </w:r>
    </w:p>
    <w:p>
      <w:pPr>
        <w:pStyle w:val="ListBullet"/>
      </w:pPr>
      <w:r/>
      <w:r>
        <w:rPr>
          <w:b/>
        </w:rPr>
        <w:t>EMESET</w:t>
      </w:r>
      <w:r>
        <w:t xml:space="preserve"> (CIPLA LIMITED)</w:t>
      </w:r>
    </w:p>
    <w:p>
      <w:pPr>
        <w:pStyle w:val="ListBullet"/>
      </w:pPr>
      <w:r>
        <w:t>Formes et Dosages : Solution injectable 2 mg/mL (4 mg/2 mL et 8 mg/4 mL) (B/5 ampoules 2 mL et 4 mL)</w:t>
      </w:r>
    </w:p>
    <w:p>
      <w:pPr>
        <w:pStyle w:val="ListBullet"/>
      </w:pPr>
      <w:r>
        <w:t>Statut : NON_RENOUVELABLE</w:t>
      </w:r>
    </w:p>
    <w:p>
      <w:pPr>
        <w:pStyle w:val="ListBullet"/>
      </w:pPr>
      <w:r/>
      <w:r>
        <w:rPr>
          <w:b/>
        </w:rPr>
        <w:t>ONDANSETRON-4</w:t>
      </w:r>
      <w:r>
        <w:t xml:space="preserve"> (EMPRESSA LABORATORIOS AICA)</w:t>
      </w:r>
    </w:p>
    <w:p>
      <w:pPr>
        <w:pStyle w:val="ListBullet"/>
      </w:pPr>
      <w:r>
        <w:t>Formes et Dosages : Solution injectable IV 2 mg/mL (4 mg/2 mL) (B/50 ampoules de 2 mL)</w:t>
      </w:r>
    </w:p>
    <w:p>
      <w:pPr>
        <w:pStyle w:val="ListBullet"/>
      </w:pPr>
      <w:r>
        <w:t>Statut : NON_RENOUVELABLE</w:t>
      </w:r>
    </w:p>
    <w:p>
      <w:pPr>
        <w:pStyle w:val="ListBullet"/>
      </w:pPr>
      <w:r/>
      <w:r>
        <w:rPr>
          <w:b/>
        </w:rPr>
        <w:t>ZOFER</w:t>
      </w:r>
      <w:r>
        <w:t xml:space="preserve"> (SUN PHARMACEUTICAL INDUSTRIES LTD)</w:t>
      </w:r>
    </w:p>
    <w:p>
      <w:pPr>
        <w:pStyle w:val="ListBullet"/>
      </w:pPr>
      <w:r>
        <w:t>Formes et Dosages : Solution injectable IV 2 mg/mL (4 mg/2 mL et 8 mg/4 mL) (B/5 ampoules 2 mL et 4 mL)</w:t>
      </w:r>
    </w:p>
    <w:p>
      <w:pPr>
        <w:pStyle w:val="ListBullet"/>
      </w:pPr>
      <w:r>
        <w:t>Statut : NON_RENOUVELABLE</w:t>
      </w:r>
    </w:p>
    <w:p>
      <w:pPr>
        <w:pStyle w:val="ListBullet"/>
      </w:pPr>
      <w:r/>
      <w:r>
        <w:rPr>
          <w:b/>
        </w:rPr>
        <w:t>ZOPHREN</w:t>
      </w:r>
      <w:r>
        <w:t xml:space="preserve"> (GLAXOSMITHKLINE / GLAXO SMITHKLINE) — princeps</w:t>
      </w:r>
    </w:p>
    <w:p>
      <w:pPr>
        <w:pStyle w:val="ListBullet"/>
      </w:pPr>
      <w:r>
        <w:t>Formes et Dosages : Solution injectable 2 mg/mL (4 mg/2 mL et 8 mg/4 mL) (B/5 ampoules 2 mL et 4 mL) ; Comprimé pelliculé 4 mg (B/10) ; Comprimé pelliculé 8 mg (B/10)</w:t>
      </w:r>
    </w:p>
    <w:p>
      <w:pPr>
        <w:pStyle w:val="ListBullet"/>
      </w:pPr>
      <w:r>
        <w:t>Statut : NON_RENOUVELABLE / RETRAIT (R)</w:t>
      </w:r>
    </w:p>
    <w:p>
      <w:pPr>
        <w:pStyle w:val="ListBullet"/>
      </w:pPr>
      <w:r/>
      <w:r>
        <w:rPr>
          <w:b/>
        </w:rPr>
        <w:t>EMESET-4</w:t>
      </w:r>
      <w:r>
        <w:t xml:space="preserve"> (CIPLA LIMITED)</w:t>
      </w:r>
    </w:p>
    <w:p>
      <w:pPr>
        <w:pStyle w:val="ListBullet"/>
      </w:pPr>
      <w:r>
        <w:t>Formes et Dosages : Comprimé 4 mg (B/10)</w:t>
      </w:r>
    </w:p>
    <w:p>
      <w:pPr>
        <w:pStyle w:val="ListBullet"/>
      </w:pPr>
      <w:r>
        <w:t>Statut : RETRAIT (R)</w:t>
      </w:r>
    </w:p>
    <w:p>
      <w:pPr>
        <w:pStyle w:val="ListBullet"/>
      </w:pPr>
      <w:r/>
      <w:r>
        <w:rPr>
          <w:b/>
        </w:rPr>
        <w:t>ONDAFEN</w:t>
      </w:r>
      <w:r>
        <w:t xml:space="preserve"> (BIOVITAL)</w:t>
      </w:r>
    </w:p>
    <w:p>
      <w:pPr>
        <w:pStyle w:val="ListBullet"/>
      </w:pPr>
      <w:r>
        <w:t>Formes et Dosages : Comprimé 4 mg (B/10) ; Comprimé 8 mg (B/10)</w:t>
      </w:r>
    </w:p>
    <w:p>
      <w:pPr>
        <w:pStyle w:val="ListBullet"/>
      </w:pPr>
      <w:r>
        <w:t>Statut : RETRAIT (R)</w:t>
      </w:r>
    </w:p>
    <w:p>
      <w:pPr>
        <w:pStyle w:val="ListBullet"/>
      </w:pPr>
      <w:r/>
      <w:r>
        <w:rPr>
          <w:b/>
        </w:rPr>
        <w:t>ZEMITRON</w:t>
      </w:r>
      <w:r>
        <w:t xml:space="preserve"> (ADVANCED PHARMACEUTICALS INDUSTRIES)</w:t>
      </w:r>
    </w:p>
    <w:p>
      <w:pPr>
        <w:pStyle w:val="ListBullet"/>
      </w:pPr>
      <w:r>
        <w:t>Formes et Dosages : Comprimé 4 mg (B/10) ; Comprimé 8 mg (B/10)</w:t>
      </w:r>
    </w:p>
    <w:p>
      <w:pPr>
        <w:pStyle w:val="ListBullet"/>
      </w:pPr>
      <w:r>
        <w:t>Statut : RETRAIT (R)</w:t>
      </w:r>
    </w:p>
    <w:p>
      <w:pPr>
        <w:pStyle w:val="ListBullet"/>
      </w:pPr>
      <w:r/>
      <w:r>
        <w:rPr>
          <w:b/>
        </w:rPr>
        <w:t>EMESET-8</w:t>
      </w:r>
      <w:r>
        <w:t xml:space="preserve"> (CIPLA LIMITED)</w:t>
      </w:r>
    </w:p>
    <w:p>
      <w:pPr>
        <w:pStyle w:val="ListBullet"/>
      </w:pPr>
      <w:r>
        <w:t>Formes et Dosages : Comprimé 8 mg (B/10)</w:t>
      </w:r>
    </w:p>
    <w:p>
      <w:pPr>
        <w:pStyle w:val="ListBullet"/>
      </w:pPr>
      <w:r>
        <w:t>Statut : RETRAIT (R)</w:t>
      </w:r>
    </w:p>
    <w:p>
      <w:r/>
      <w:r>
        <w:rPr>
          <w:b/>
        </w:rPr>
        <w:t>Sous-classe et Mécanisme d'action :</w:t>
      </w:r>
      <w:r/>
    </w:p>
    <w:p>
      <w:pPr>
        <w:pStyle w:val="ListBullet"/>
      </w:pPr>
      <w:r>
        <w:t>Sous-classe : Antiémétique antagoniste sélectif des récepteurs sérotoninergiques 5-HT3, première génération.</w:t>
      </w:r>
    </w:p>
    <w:p>
      <w:pPr>
        <w:pStyle w:val="ListBullet"/>
      </w:pPr>
      <w:r>
        <w:t xml:space="preserve">Mécanisme d'action : L'ondansétron est un antagoniste compétitif sélectif des récepteurs 5-HT3, une sous-classe de récepteurs sérotoninergiques ligand-dépendants (canal cationique Na+/K+/Ca2+). Ces récepteurs sont exprimés à deux niveaux critiques du réflexe émétique : (i) </w:t>
      </w:r>
      <w:r>
        <w:rPr>
          <w:b/>
        </w:rPr>
        <w:t>au niveau central</w:t>
      </w:r>
      <w:r>
        <w:t xml:space="preserve">, sur le noyau du tractus solitaire (NTS) et la zone postrema / CTZ (area postrema), où ils détectent la sérotonine libérée dans la circulation par les cellules entérochromaffines digestives activées par les agents chimiothérapiques ; (ii) </w:t>
      </w:r>
      <w:r>
        <w:rPr>
          <w:b/>
        </w:rPr>
        <w:t>au niveau périphérique</w:t>
      </w:r>
      <w:r>
        <w:t xml:space="preserve">, sur les terminaisons vagales afférentes de la paroi digestive (notamment gastrique et intestinale), où la sérotonine libérée localement active le réflexe émétique via le nerf vague. Le blocage compétitif de ces deux sites par l'ondansétron inhibe complètement la voie sérotoninergique de l'émèse, particulièrement efficace pour la </w:t>
      </w:r>
      <w:r>
        <w:rPr>
          <w:b/>
        </w:rPr>
        <w:t>phase aiguë des vomissements chimio-induits (premières 24 h)</w:t>
      </w:r>
      <w:r>
        <w:t>. À doses élevées (&gt; 16 mg IV), l'ondansétron peut également bloquer les canaux sodiques cardiaques et allonger le QTc. Le métabolisme hépatique par le CYP3A4 et le CYP2D6 explique certaines interactions (substrat commun avec de nombreux médicaments).</w:t>
      </w:r>
    </w:p>
    <w:p>
      <w:r/>
      <w:r>
        <w:rPr>
          <w:b/>
        </w:rPr>
        <w:t>Profil Pharmacologique :</w:t>
      </w:r>
      <w:r/>
    </w:p>
    <w:p>
      <w:pPr>
        <w:pStyle w:val="ListBullet"/>
      </w:pPr>
      <w:r>
        <w:t xml:space="preserve">Indications : (a) </w:t>
      </w:r>
      <w:r>
        <w:rPr>
          <w:b/>
        </w:rPr>
        <w:t>Prévention et traitement des nausées et vomissements chimio-induits (NVCI)</w:t>
      </w:r>
      <w:r>
        <w:t xml:space="preserve"> —尤其是 dans la phase aiguë (premières 24 h) des chimiothérapies moyennement à fortement émétisantes (cisplatine, cyclophosphamide, anthracyclines, AC, carboplatine AUC ≥ 4) — en association avec les antagonistes NK1 (aprépitant) et les corticoïdes (dexaméthasone) selon le protocole MASCC/ESMO ; (b) </w:t>
      </w:r>
      <w:r>
        <w:rPr>
          <w:b/>
        </w:rPr>
        <w:t>Prévention et traitement des nausées et vomissements post-opératoires (NVPO)</w:t>
      </w:r>
      <w:r>
        <w:t xml:space="preserve"> — 4 mg IV en fin d'intervention ou en cas de survenue ; (c) </w:t>
      </w:r>
      <w:r>
        <w:rPr>
          <w:b/>
        </w:rPr>
        <w:t>Prévention et traitement des nausées et vomissements radio-induits</w:t>
      </w:r>
      <w:r>
        <w:t xml:space="preserve"> (radiothérapie abdominale) ; (d) Nausées et vomissements sévères résistants aux antiémétiques de première intention en soins palliatifs (métastases, occlusion intestinale partielle) ; (e) Hors AMM : vomissements gravidiques sévères (hyperemesis gravidarum) en 2e intention après échec des anti-H1.</w:t>
      </w:r>
    </w:p>
    <w:p>
      <w:pPr>
        <w:pStyle w:val="ListBullet"/>
      </w:pPr>
      <w:r>
        <w:t xml:space="preserve">Contre-indications : (a) Hypersensibilité à l'ondansétron ou aux autres antagonistes 5-HT3 ; (b) Allongement du QTc congénital ou acquis (risque majoré, surtout à doses IV &gt; 16 mg) ; (c) Association avec l'apomorphine (risque d'hypotension sévère et de perte de conscience) — </w:t>
      </w:r>
      <w:r>
        <w:rPr>
          <w:b/>
        </w:rPr>
        <w:t>CI absolue</w:t>
      </w:r>
      <w:r>
        <w:t xml:space="preserve"> ; (d) Insuffisance hépatique sévère (clairance métabolique réduite, augmentation des concentrations) ; (e) Grossesse (à éviter au 1er trimestre par mesure de prudence, discussion bénéfice/risque) ; (f) Allaitement (à éviter, passage dans le lait).</w:t>
      </w:r>
    </w:p>
    <w:p>
      <w:pPr>
        <w:pStyle w:val="ListBullet"/>
      </w:pPr>
      <w:r>
        <w:t xml:space="preserve">Effets Indésirables : (a) </w:t>
      </w:r>
      <w:r>
        <w:rPr>
          <w:b/>
        </w:rPr>
        <w:t>Céphalées</w:t>
      </w:r>
      <w:r>
        <w:t xml:space="preserve"> (10-30% des patients — effet le plus fréquent) ; (b) </w:t>
      </w:r>
      <w:r>
        <w:rPr>
          <w:b/>
        </w:rPr>
        <w:t>Constipation</w:t>
      </w:r>
      <w:r>
        <w:t xml:space="preserve"> (10-20% — liée au blocage 5-HT3 entérique qui ralentit le transit) ; (c) Asthénie, fatigue, somnolence ; (d) Bouffées de chaleur, sensation de chaleur ; (e) Allongement du QTc (surtout à doses IV &gt; 16 mg, à surveiller ECG) ; (f) Augmentation modeste des transaminases (rare) ; (g) Réactions allergiques (rash, urticaire, exceptionnellement anaphylaxie) ; (h) Vision trouble, vertiges ; (i) Rarement : convulsions, troubles du rythme cardiaque, syndrome sérotoninergique (en association avec d'autres sérotoninergiques).</w:t>
      </w:r>
    </w:p>
    <w:p>
      <w:r/>
      <w:r>
        <w:rPr>
          <w:b/>
        </w:rPr>
        <w:t>Prévention et Gestion des Effets Indésirables :</w:t>
      </w:r>
      <w:r/>
    </w:p>
    <w:p>
      <w:pPr>
        <w:pStyle w:val="ListBullet"/>
      </w:pPr>
      <w:r>
        <w:t>Mesures Préventives : (a) Respect des posologies recommandées (ne pas dépasser 8 mg IV en une injection, ni 16 mg IV par jour pour la forme injectable chez l'adulte) ; (b) ECG préalable en cas de terrain cardiaque, d'allongement du QTc préexistant, d'hypokaliémie ou d'hypomagnésémie ; (c) Correction des troubles électrolytiques avant administration (K+, Mg2+) ; (d) Éviter l'association avec l'apomorphine ; (e) Prudence chez le sujet âgé et en insuffisance hépatique (réduction de dose à 8 mg/jour max en insuffisance hépatique sévère) ; (f) Surveillance de la constipation (laxatifs si besoin, surtout en chimiothérapie prolongée) ; (g) Surveillance du syndrome sérotoninergique en association avec les antidépresseurs ISRS, IRSN, IMAO.</w:t>
      </w:r>
    </w:p>
    <w:p>
      <w:pPr>
        <w:pStyle w:val="ListBullet"/>
      </w:pPr>
      <w:r>
        <w:t>Conduite à Tenir : (a) En cas de céphalées sévères : paracétamol, hydratation, arrêt si nécessaire ; (b) En cas de constipation : laxatifs osmotiques (macrogol) ; (c) En cas d'allongement du QTc documenté : arrêt, ECG, correction des troubles électrolytiques ; (d) En cas de syndrome sérotoninergique (agitation, confusion, myoclonies, hyperthermie, hyperréflexie) : arrêt immédiat, hospitalisation, cyproheptadine ; (e) En cas de réaction allergique : arrêt, antihistaminique, corticoïde.</w:t>
      </w:r>
    </w:p>
    <w:p>
      <w:r/>
      <w:r>
        <w:rPr>
          <w:b/>
        </w:rPr>
        <w:t>Interactions Importantes :</w:t>
      </w:r>
      <w:r/>
    </w:p>
    <w:p>
      <w:pPr>
        <w:pStyle w:val="ListBullet"/>
      </w:pPr>
      <w:r/>
      <w:r>
        <w:rPr>
          <w:b/>
        </w:rPr>
        <w:t>Ondansétron + apomorphine</w:t>
      </w:r>
      <w:r>
        <w:t xml:space="preserve"> : risque d'hypotension sévère et de perte de conscience — </w:t>
      </w:r>
      <w:r>
        <w:rPr>
          <w:b/>
        </w:rPr>
        <w:t>CI absolue</w:t>
      </w:r>
      <w:r>
        <w:t>.</w:t>
      </w:r>
    </w:p>
    <w:p>
      <w:pPr>
        <w:pStyle w:val="ListBullet"/>
      </w:pPr>
      <w:r/>
      <w:r>
        <w:rPr>
          <w:b/>
        </w:rPr>
        <w:t>Ondansétron + allongeurs QT</w:t>
      </w:r>
      <w:r>
        <w:t xml:space="preserve"> (amiodarone, sotalol, quinidine, disopyramide, moxifloxacine, méthadone, halopéridol, dropéridol, sultopride, dompéridone, antidépresseurs tricycliques) : addition des effets sur le QTc — surveillance ECG, déconseillée.</w:t>
      </w:r>
    </w:p>
    <w:p>
      <w:pPr>
        <w:pStyle w:val="ListBullet"/>
      </w:pPr>
      <w:r/>
      <w:r>
        <w:rPr>
          <w:b/>
        </w:rPr>
        <w:t>Ondansétron + médicaments sérotoninergiques</w:t>
      </w:r>
      <w:r>
        <w:t xml:space="preserve"> (ISRS — fluoxétine, paroxétine, sertraline, citalopram ; IRSN — venlafaxine, duloxétine ; IMAO ; tramadol ; triptans ; lithium ; linézolide ; bleu de méthylène) : risque de syndrome sérotoninergique — surveillance clinique.</w:t>
      </w:r>
    </w:p>
    <w:p>
      <w:pPr>
        <w:pStyle w:val="ListBullet"/>
      </w:pPr>
      <w:r/>
      <w:r>
        <w:rPr>
          <w:b/>
        </w:rPr>
        <w:t>Ondansétron + inhibiteurs CYP3A4</w:t>
      </w:r>
      <w:r>
        <w:t xml:space="preserve"> (kétoconazole, itraconazole, érythromycine, clarithromycine, ritonavir) : augmentation possible des concentrations d'ondansétron — surveillance.</w:t>
      </w:r>
    </w:p>
    <w:p>
      <w:pPr>
        <w:pStyle w:val="ListBullet"/>
      </w:pPr>
      <w:r/>
      <w:r>
        <w:rPr>
          <w:b/>
        </w:rPr>
        <w:t>Ondansétron + inducteurs CYP3A4</w:t>
      </w:r>
      <w:r>
        <w:t xml:space="preserve"> (rifampicine, phénytoïne, carbamazépine, phénobarbital, millepertuis) : diminution possible des concentrations — surveillance efficacité.</w:t>
      </w:r>
    </w:p>
    <w:p>
      <w:pPr>
        <w:pStyle w:val="ListBullet"/>
      </w:pPr>
      <w:r/>
      <w:r>
        <w:rPr>
          <w:b/>
        </w:rPr>
        <w:t>Ondansétron + tramadol</w:t>
      </w:r>
      <w:r>
        <w:t xml:space="preserve"> : diminution de l'analhésie du tramadol (blocage 5-HT3 inhibe l'effet analgésique du tramadol sérotoninergique) — préférer un autre antiémétique ou un autre antalgique.</w:t>
      </w:r>
    </w:p>
    <w:p>
      <w:pPr>
        <w:pStyle w:val="ListBullet"/>
      </w:pPr>
      <w:r/>
      <w:r>
        <w:rPr>
          <w:b/>
        </w:rPr>
        <w:t>Ondansétron + antidépresseurs tricycliques</w:t>
      </w:r>
      <w:r>
        <w:t xml:space="preserve"> : addition du risque QTc.</w:t>
      </w:r>
    </w:p>
    <w:p>
      <w:pPr>
        <w:pStyle w:val="ListBullet"/>
      </w:pPr>
      <w:r/>
      <w:r>
        <w:rPr>
          <w:b/>
        </w:rPr>
        <w:t>Ondansétron + autres 5-HT3</w:t>
      </w:r>
      <w:r>
        <w:t xml:space="preserve"> (granisétron, palonosétron) : ne pas associer (inutilité, addition des EI).</w:t>
      </w:r>
    </w:p>
    <w:p>
      <w:r/>
      <w:r>
        <w:rPr>
          <w:b/>
        </w:rPr>
        <w:t>Grossesse et Allaitement :</w:t>
      </w:r>
      <w:r/>
    </w:p>
    <w:p>
      <w:pPr>
        <w:pStyle w:val="ListBullet"/>
      </w:pPr>
      <w:r>
        <w:t xml:space="preserve">Grossesse : Selon le CRAT, l'ondansétron est </w:t>
      </w:r>
      <w:r>
        <w:rPr>
          <w:b/>
        </w:rPr>
        <w:t>compatible pendant la grossesse</w:t>
      </w:r>
      <w:r>
        <w:t xml:space="preserve"> en cas de nécessité, mais à utiliser avec prudence au 1er trimestre. Les données observationnelles récentes (cohortes danoise et suédoise, méta-analyses) suggèrent une possible association modeste entre l'ondansétron au 1er trimestre et une fente palatine (orale ± faciale) chez le nouveau-né (risque absolu augmenté de ~3 pour 10 000). Le bénéfice doit toujours être évalué (hyperemesis gravidarum sévère avec déshydratation, déséquilibre électrolytique) et l'ondansétron réservé à la 2e intention après échec des anti-H1 (doxylamine + pyridoxine) et de la métoclopramide. Aux 2e et 3e trimestres, l'usage est possible. À la fin du 3e trimestre, surveillance du nouveau-né en cas d'usage prolongé (risque théorique d'effets cardiaques). Le rôle de l'ondansétron dans l'hyperemesis gravidarum reste important mais doit être discuté au cas par cas.</w:t>
      </w:r>
    </w:p>
    <w:p>
      <w:pPr>
        <w:pStyle w:val="ListBullet"/>
      </w:pPr>
      <w:r>
        <w:t xml:space="preserve">Allaitement : Selon le CRAT, l'ondansétron est </w:t>
      </w:r>
      <w:r>
        <w:rPr>
          <w:b/>
        </w:rPr>
        <w:t>compatible avec l'allaitement</w:t>
      </w:r>
      <w:r>
        <w:t xml:space="preserve"> en usage ponctuel et court. Elle passe faiblement dans le lait maternel. Surveillance de l'enfant allaité (somnolence, troubles digestifs). À éviter en usage prolongé et à forte dose.</w:t>
      </w:r>
    </w:p>
    <w:p>
      <w:pPr>
        <w:pStyle w:val="ListBullet"/>
      </w:pPr>
      <w:r>
        <w:t>Précisions : Risque fœtal principal = possible fente palatine au 1er trimestre (débat non tranché, bénéfice/risque à évaluer). Préférer les anti-H1 en 1re intention pour les nausées gravidiques simples.</w:t>
      </w:r>
    </w:p>
    <w:p>
      <w:r/>
      <w:r>
        <w:rPr>
          <w:b/>
        </w:rPr>
        <w:t>Posologie et Mode d'administration (Standard) :</w:t>
      </w:r>
      <w:r/>
    </w:p>
    <w:p>
      <w:pPr>
        <w:pStyle w:val="ListBullet"/>
      </w:pPr>
      <w:r>
        <w:t>Adulte — NVCI chimio fortement émétisante : Forme IV : 8 mg (4 mL à 2 mg/mL) en IV lente 30 min avant la chimiothérapie, puis 8 mg IV à H4, puis 8 mg IV à H8 (total 24 mg sur 8 h, ne pas dépasser 16 mg IV en une injection unique). Alternative : 8 mg per os 30 min avant la chimiothérapie, puis 8 mg per os x 3/jour pendant 1-2 jours (selon protocole MASCC/ESMO).</w:t>
      </w:r>
    </w:p>
    <w:p>
      <w:pPr>
        <w:pStyle w:val="ListBullet"/>
      </w:pPr>
      <w:r>
        <w:t>Adulte — NVCI chimio moyennement émétisante : 8 mg IV 30 min avant la chimiothérapie, puis 8 mg per os x 2/jour pendant 2-3 jours. Alternative : 8 mg per os x 2/jour pendant 3 jours (associée à la dexaméthasone 8 mg J1 puis 8 mg/jour J2-J4).</w:t>
      </w:r>
    </w:p>
    <w:p>
      <w:pPr>
        <w:pStyle w:val="ListBullet"/>
      </w:pPr>
      <w:r>
        <w:t>Adulte — NVPO : 4 mg IV en fin d'intervention ou en cas de survenue. Alternative : 8 mg per os 1 h avant la fin de l'intervention.</w:t>
      </w:r>
    </w:p>
    <w:p>
      <w:pPr>
        <w:pStyle w:val="ListBullet"/>
      </w:pPr>
      <w:r>
        <w:t>Adulte — Nausées/vomissements radio-induits : 8 mg per os x 2-3/jour pendant la radiothérapie.</w:t>
      </w:r>
    </w:p>
    <w:p>
      <w:pPr>
        <w:pStyle w:val="ListBullet"/>
      </w:pPr>
      <w:r>
        <w:t>Sujet âgé (&gt; 75 ans) : pas d'adaptation posologique pour la forme IV, mais surveiller l'allongement QTc.</w:t>
      </w:r>
    </w:p>
    <w:p>
      <w:pPr>
        <w:pStyle w:val="ListBullet"/>
      </w:pPr>
      <w:r>
        <w:t>Enfant &gt; 6 mois et &gt; 8 kg — NVCI : 0,15 mg/kg IV x 3 (à H0, H4, H8) — ne pas dépasser 8 mg par injection ni 16 mg par jour. Alternative per os : 4 mg (pour 8-15 kg), 6 mg (pour 15-30 kg), 8 mg (&gt; 30 kg), 30 min avant chimio puis x 2/jour pendant 2-3 jours.</w:t>
      </w:r>
    </w:p>
    <w:p>
      <w:pPr>
        <w:pStyle w:val="ListBullet"/>
      </w:pPr>
      <w:r>
        <w:t>Insuffisance hépatique sévère : réduction à 8 mg/jour maximum (toutes formes).</w:t>
      </w:r>
    </w:p>
    <w:p>
      <w:pPr>
        <w:pStyle w:val="ListBullet"/>
      </w:pPr>
      <w:r>
        <w:t>Insuffisance rénale : pas d'adaptation nécessaire.</w:t>
      </w:r>
    </w:p>
    <w:p>
      <w:pPr>
        <w:pStyle w:val="ListBullet"/>
      </w:pPr>
      <w:r>
        <w:t>Durée : selon protocole — préventif chimio 3-5 jours, préventif post-op 24 h, curatif ponctuel.</w:t>
      </w:r>
    </w:p>
    <w:p>
      <w:pPr>
        <w:pStyle w:val="ListBullet"/>
      </w:pPr>
      <w:r>
        <w:t>Moment de prise : 30 min avant la chimiothérapie ou 1 h avant la fin de l'intervention chirurgicale (forme IV en fin d'intervention).</w:t>
      </w:r>
    </w:p>
    <w:p>
      <w:r/>
      <w:r>
        <w:rPr>
          <w:b/>
        </w:rPr>
        <w:t>Arbitrage et Bénéfices des Formes Galéniques :</w:t>
      </w:r>
      <w:r/>
    </w:p>
    <w:p>
      <w:pPr>
        <w:pStyle w:val="ListBullet"/>
      </w:pPr>
      <w:r/>
      <w:r>
        <w:rPr>
          <w:b/>
        </w:rPr>
        <w:t>Comprimés pelliculés 4 mg et 8 mg</w:t>
      </w:r>
      <w:r>
        <w:t xml:space="preserve"> (ONDANSETRON INPHA-MEDIS, SETREME, ZOPHREN) : voie orale ambulatoire pour la suite du traitement préventif chimio (J2-J5), utilisation pratique en ville.</w:t>
      </w:r>
    </w:p>
    <w:p>
      <w:pPr>
        <w:pStyle w:val="ListBullet"/>
      </w:pPr>
      <w:r/>
      <w:r>
        <w:rPr>
          <w:b/>
        </w:rPr>
        <w:t>Comprimés orodispersibles 4 mg et 8 mg</w:t>
      </w:r>
      <w:r>
        <w:t xml:space="preserve"> (NOSITRON) : alternative en cas de vomissements empêchant la voie orale classique, dissolution rapide en bouche sans eau.</w:t>
      </w:r>
    </w:p>
    <w:p>
      <w:pPr>
        <w:pStyle w:val="ListBullet"/>
      </w:pPr>
      <w:r/>
      <w:r>
        <w:rPr>
          <w:b/>
        </w:rPr>
        <w:t>Sirop 4 mg/5 mL</w:t>
      </w:r>
      <w:r>
        <w:t xml:space="preserve"> (NAUSETRON, NOSITRON) : usage pédiatrique (cuillère mesure ou gobelet doseur), adaptation posologique fine.</w:t>
      </w:r>
    </w:p>
    <w:p>
      <w:pPr>
        <w:pStyle w:val="ListBullet"/>
      </w:pPr>
      <w:r/>
      <w:r>
        <w:rPr>
          <w:b/>
        </w:rPr>
        <w:t>Suppositoire 16 mg</w:t>
      </w:r>
      <w:r>
        <w:t xml:space="preserve"> (NAUSETRON) : alternative en cas de vomissements sévères empêchant la voie orale ou IV, résorption parfois aléatoire, utilisation ponctuelle.</w:t>
      </w:r>
    </w:p>
    <w:p>
      <w:pPr>
        <w:pStyle w:val="ListBullet"/>
      </w:pPr>
      <w:r/>
      <w:r>
        <w:rPr>
          <w:b/>
        </w:rPr>
        <w:t>Solution injectable IV 2 mg/mL</w:t>
      </w:r>
      <w:r>
        <w:t xml:space="preserve"> (SETRON Hikma, ZOFER Sun, EMESET Cipla, ONDANSETRON-4, ZOPHREN GSK) : usage hospitalier (urgences, oncologie, anesthésie, post-opératoire), action rapide (5-10 min IV), durée d'action 4-8 h. Voie IM possible mais moins utilisée. Voie IV lente (sur 2-5 min) pour éviter le risque d'allongement QTc aigu.</w:t>
      </w:r>
    </w:p>
    <w:p>
      <w:r/>
      <w:r>
        <w:rPr>
          <w:b/>
        </w:rPr>
        <w:t>Instructions et Conseils au Patient :</w:t>
      </w:r>
      <w:r/>
    </w:p>
    <w:p>
      <w:pPr>
        <w:pStyle w:val="ListBullet"/>
      </w:pPr>
      <w:r>
        <w:t xml:space="preserve">Communication au comptoir : « Ce médicament combat les nausées et vomissements liés à la chimiothérapie, à la radiothérapie ou à une intervention chirurgicale. À prendre </w:t>
      </w:r>
      <w:r>
        <w:rPr>
          <w:b/>
        </w:rPr>
        <w:t>30 minutes avant</w:t>
      </w:r>
      <w:r>
        <w:t xml:space="preserve"> le début de votre traitement (chimiothérapie, anesthésie). Si vous ressentez des </w:t>
      </w:r>
      <w:r>
        <w:rPr>
          <w:b/>
        </w:rPr>
        <w:t>maux de tête</w:t>
      </w:r>
      <w:r>
        <w:t xml:space="preserve"> (très fréquent) ou une </w:t>
      </w:r>
      <w:r>
        <w:rPr>
          <w:b/>
        </w:rPr>
        <w:t>constipation</w:t>
      </w:r>
      <w:r>
        <w:t xml:space="preserve"> (fréquent), prévenez votre médecin. En cas de </w:t>
      </w:r>
      <w:r>
        <w:rPr>
          <w:b/>
        </w:rPr>
        <w:t>palpitations, vertiges, syncope</w:t>
      </w:r>
      <w:r>
        <w:t>, arrêtez le traitement et consultez immédiatement. Prévenez votre médecin si vous êtes enceinte (surtout au 1er trimestre), si vous allaitez, ou si vous prenez d'autres médicaments (surtout antidépresseurs, allongeurs QT). »</w:t>
      </w:r>
    </w:p>
    <w:p>
      <w:pPr>
        <w:pStyle w:val="ListBullet"/>
      </w:pPr>
      <w:r>
        <w:t>Mode d'utilisation pratique : (a) Prendre à heure fixe selon le protocole chimiothérapie ou radiothérapie ; (b) Respecter la posologie prescrite ; (c) En cas d'oubli, prendre dès que possible, ne pas doubler la dose suivante ; (d) Avertir le patient des signes d'alerte (céphalées sévères, constipation, palpitations) ; (e) Boire suffisamment d'eau et avoir une alimentation riche en fibres pour limiter la constipation ; (f) En cas de vomissement dans l'heure suivant la prise per os, reprendre une dose (avis médical) ; (g) Ne pas conduire en cas de somnolence.</w:t>
      </w:r>
    </w:p>
    <w:p>
      <w:r/>
      <w:r>
        <w:rPr>
          <w:b/>
        </w:rPr>
        <w:t>Notes, Règles d'Or &amp; Pièges au Comptoir :</w:t>
      </w:r>
      <w:r/>
    </w:p>
    <w:p>
      <w:pPr>
        <w:pStyle w:val="ListBullet"/>
      </w:pPr>
      <w:r>
        <w:t xml:space="preserve">Piège classique : </w:t>
      </w:r>
      <w:r>
        <w:rPr>
          <w:b/>
        </w:rPr>
        <w:t>Ondansétron IV &gt; 16 mg en une injection</w:t>
      </w:r>
      <w:r>
        <w:t xml:space="preserve"> = risque majeur d'allongement QTc et de torsades de pointe (recommandation FDA 2013 limitant la dose IV unique à 16 mg). Le pharmacien doit vérifier la prescription et alerter en cas de dose supérieure.</w:t>
      </w:r>
    </w:p>
    <w:p>
      <w:pPr>
        <w:pStyle w:val="ListBullet"/>
      </w:pPr>
      <w:r>
        <w:t xml:space="preserve">Piège apomorphine : l'ondansétron est </w:t>
      </w:r>
      <w:r>
        <w:rPr>
          <w:b/>
        </w:rPr>
        <w:t>contre-indiqué avec l'apomorphine</w:t>
      </w:r>
      <w:r>
        <w:t xml:space="preserve"> (risque d'hypotension sévère et de perte de conscience, parfois mortelle). Vérifier systématiquement si le patient parkinsonien est sous apomorphine.</w:t>
      </w:r>
    </w:p>
    <w:p>
      <w:pPr>
        <w:pStyle w:val="ListBullet"/>
      </w:pPr>
      <w:r>
        <w:t>Piège syndrome sérotoninergique : l'ondansétron peut contribuer à un syndrome sérotoninergique en association avec les ISRS, IRSN, IMAO, tramadol. Surveillance clinique chez les patients sous antidépresseurs.</w:t>
      </w:r>
    </w:p>
    <w:p>
      <w:pPr>
        <w:pStyle w:val="ListBullet"/>
      </w:pPr>
      <w:r>
        <w:t>Piège grossesse 1er trimestre : possible association avec fente palatine (débat non tranché). Réservé à l'hyperemesis gravidarum sévère en 2e intention.</w:t>
      </w:r>
    </w:p>
    <w:p>
      <w:pPr>
        <w:pStyle w:val="ListBullet"/>
      </w:pPr>
      <w:r>
        <w:t>Règle de prise : 30 min avant la chimiothérapie ou 1 h avant la fin de l'intervention chirurgicale (forme IV en fin d'intervention).</w:t>
      </w:r>
    </w:p>
    <w:p>
      <w:pPr>
        <w:pStyle w:val="ListBullet"/>
      </w:pPr>
      <w:r>
        <w:t>Préparation et Conservation : comprimés à température ambiante &lt; 25°C, à l'abri de l'humidité ; sirop après ouverture : conservation 1 mois maximum (selon RCP) ; suppositoires à conserver au frais (&lt; 8°C, éviter lefondu) ; solution injectable à conserver à température ambiante, à l'abri de la lumière.</w:t>
      </w:r>
    </w:p>
    <w:p>
      <w:pPr>
        <w:pStyle w:val="ListBullet"/>
      </w:pPr>
      <w:r>
        <w:t>Piège du surdosage / Substitution : l'ondansétron est la référence pour la phase aiguë des NVCI ; ne pas substituer par métoclopramide (efficacité moindre, effets extrapyramidaux) ni par dompéridone (efficacité moindre, risque QT). Le palonosétron (association AKYNZEO) est supérieur en phase retardée (demi-vie prolongée).</w:t>
      </w:r>
    </w:p>
    <w:p>
      <w:pPr>
        <w:pStyle w:val="Heading2"/>
      </w:pPr>
      <w:r>
        <w:t>5. DCI : Granisétron (seule)</w:t>
      </w:r>
    </w:p>
    <w:p>
      <w:r/>
      <w:r>
        <w:rPr>
          <w:b/>
        </w:rPr>
        <w:t>Liste des Catégories :</w:t>
      </w:r>
      <w:r>
        <w:t xml:space="preserve"> Liste I (injectable) — antiémétique antagoniste 5-HT3.</w:t>
      </w:r>
    </w:p>
    <w:p>
      <w:r>
        <w:t xml:space="preserve">Le granisétron est un antagoniste 5-HT3 de première génération, dérivé de l'indazole (carbazolone apparentée à l'ondansétron mais structurellement distinct). Il a été commercialisé dès 1991, peu après l'ondansétron. Sa pharmacocinétique se distingue de l'ondansétron par une </w:t>
      </w:r>
      <w:r>
        <w:rPr>
          <w:b/>
        </w:rPr>
        <w:t>demi-vie d'élimination plus longue (9-12 h, contre 3-4 h pour l'ondansétron)</w:t>
      </w:r>
      <w:r>
        <w:t>, autorisant une monoprise quotidienne, et par une biodisponibilité orale de 60%. Son pic plasmatique est atteint en 1-2 h, son métabolisme est hépatique (CYP3A4 principal, CYP1A1 mineur), et son élimination est rénale (~50%) et fécale (~50%). La liaison aux protéines plasmatiques est de 65%. Le granisétron traverse la barrière placentaire et la barrière hémato-encéphalique. Son profil d'efficacité est globalement superposable à celui de l'ondansétron dans la prévention des NVCI et NVPO, avec une tolérance légèrement meilleure sur les céphalées.</w:t>
      </w:r>
    </w:p>
    <w:p>
      <w:r/>
      <w:r>
        <w:rPr>
          <w:b/>
        </w:rPr>
        <w:t>Médicaments disponibles en Algérie (Marques, Laboratoires, Formes et Dosages) :</w:t>
      </w:r>
      <w:r/>
    </w:p>
    <w:p>
      <w:pPr>
        <w:pStyle w:val="ListBullet"/>
      </w:pPr>
      <w:r/>
      <w:r>
        <w:rPr>
          <w:b/>
        </w:rPr>
        <w:t>GRANI DENK</w:t>
      </w:r>
      <w:r>
        <w:t xml:space="preserve"> (DENK PHARMA GMBH &amp; CO.KG)</w:t>
      </w:r>
    </w:p>
    <w:p>
      <w:pPr>
        <w:pStyle w:val="ListBullet"/>
      </w:pPr>
      <w:r>
        <w:t>Formes et Dosages : Concentré pour solution injectable ou pour perfusion 1 mg/mL (boîte de 5 ampoules de 1 mL ET boîte de 5 ampoules de 3 mL)</w:t>
      </w:r>
    </w:p>
    <w:p>
      <w:pPr>
        <w:pStyle w:val="ListBullet"/>
      </w:pPr>
      <w:r>
        <w:t>Statut : ACTIF</w:t>
      </w:r>
    </w:p>
    <w:p>
      <w:pPr>
        <w:pStyle w:val="ListBullet"/>
      </w:pPr>
      <w:r/>
      <w:r>
        <w:rPr>
          <w:b/>
        </w:rPr>
        <w:t>KYTRIL</w:t>
      </w:r>
      <w:r>
        <w:t xml:space="preserve"> (ROCHE) — princeps</w:t>
      </w:r>
    </w:p>
    <w:p>
      <w:pPr>
        <w:pStyle w:val="ListBullet"/>
      </w:pPr>
      <w:r>
        <w:t>Formes et Dosages : Solution injectable IV 3 mg/3 mL (1 mg/mL) (B/5)</w:t>
      </w:r>
    </w:p>
    <w:p>
      <w:pPr>
        <w:pStyle w:val="ListBullet"/>
      </w:pPr>
      <w:r>
        <w:t>Statut : RETRAIT (R)</w:t>
      </w:r>
    </w:p>
    <w:p>
      <w:r/>
      <w:r>
        <w:rPr>
          <w:b/>
        </w:rPr>
        <w:t>Sous-classe et Mécanisme d'action :</w:t>
      </w:r>
      <w:r/>
    </w:p>
    <w:p>
      <w:pPr>
        <w:pStyle w:val="ListBullet"/>
      </w:pPr>
      <w:r>
        <w:t>Sous-classe : Antiémétique antagoniste sélectif des récepteurs sérotoninergiques 5-HT3, première génération (même classe que l'ondansétron).</w:t>
      </w:r>
    </w:p>
    <w:p>
      <w:pPr>
        <w:pStyle w:val="ListBullet"/>
      </w:pPr>
      <w:r>
        <w:t xml:space="preserve">Mécanisme d'action : Le granisétron est un antagoniste compétitif sélectif des récepteurs 5-HT3 (canal cationique ligand-dépendant), exprimés à deux niveaux : (i) </w:t>
      </w:r>
      <w:r>
        <w:rPr>
          <w:b/>
        </w:rPr>
        <w:t>au niveau central</w:t>
      </w:r>
      <w:r>
        <w:t xml:space="preserve">, sur le NTS et la zone postrema / CTZ ; (ii) </w:t>
      </w:r>
      <w:r>
        <w:rPr>
          <w:b/>
        </w:rPr>
        <w:t>au niveau périphérique</w:t>
      </w:r>
      <w:r>
        <w:t>, sur les terminaisons vagales afférentes de la paroi digestive. Le blocage compétitif de ces deux sites inhibe la voie sérotoninergique de l'émèse, particulièrement efficace pour la phase aiguë des vomissements chimio-induits (premières 24 h). Le granisétron a une affinité légèrement supérieure pour le récepteur 5-HT3 par rapport à l'ondansétron (Ki ≈ 8,6 nM vs 30 nM), mais cette différence n'a pas de traduction clinique significative en termes d'efficacité. Le granisétron a également un effet modeste sur les canaux potassiques hERG cardiaques (moins marqué que l'ondansétron), à l'origine d'un discret allongement du QTc.</w:t>
      </w:r>
    </w:p>
    <w:p>
      <w:r/>
      <w:r>
        <w:rPr>
          <w:b/>
        </w:rPr>
        <w:t>Profil Pharmacologique :</w:t>
      </w:r>
      <w:r/>
    </w:p>
    <w:p>
      <w:pPr>
        <w:pStyle w:val="ListBullet"/>
      </w:pPr>
      <w:r>
        <w:t xml:space="preserve">Indications : (a) </w:t>
      </w:r>
      <w:r>
        <w:rPr>
          <w:b/>
        </w:rPr>
        <w:t>Prévention et traitement des nausées et vomissements chimio-induits (NVCI)</w:t>
      </w:r>
      <w:r>
        <w:t xml:space="preserve"> — phase aiguë (premières 24 h) des chimiothérapies moyennement à fortement émétisantes, en association avec les antagonistes NK1 (aprépitant) et les corticoïdes (dexaméthasone) selon protocole MASCC/ESMO ; (b) </w:t>
      </w:r>
      <w:r>
        <w:rPr>
          <w:b/>
        </w:rPr>
        <w:t>Prévention et traitement des nausées et vomissements post-opératoires (NVPO)</w:t>
      </w:r>
      <w:r>
        <w:t xml:space="preserve"> — 1 mg IV en fin d'intervention ; (c) </w:t>
      </w:r>
      <w:r>
        <w:rPr>
          <w:b/>
        </w:rPr>
        <w:t>Prévention et traitement des nausées et vomissements radio-induits</w:t>
      </w:r>
      <w:r>
        <w:t xml:space="preserve"> (radiothérapie abdominale).</w:t>
      </w:r>
    </w:p>
    <w:p>
      <w:pPr>
        <w:pStyle w:val="ListBullet"/>
      </w:pPr>
      <w:r>
        <w:t xml:space="preserve">Contre-indications : (a) Hypersensibilité au granisétron ou aux autres antagonistes 5-HT3 ; (b) Allongement du QTc congénital ou acquis ; (c) Association avec l'apomorphine (risque d'hypotension sévère et de perte de conscience) — </w:t>
      </w:r>
      <w:r>
        <w:rPr>
          <w:b/>
        </w:rPr>
        <w:t>CI absolue</w:t>
      </w:r>
      <w:r>
        <w:t xml:space="preserve"> ; (d) Troubles électrolytiques non corrigés (hypokaliémie, hypomagnésémie) ; (e) Grossesse (à éviter au 1er trimestre par mesure de prudence) ; (f) Allaitement (à éviter).</w:t>
      </w:r>
    </w:p>
    <w:p>
      <w:pPr>
        <w:pStyle w:val="ListBullet"/>
      </w:pPr>
      <w:r>
        <w:t xml:space="preserve">Effets Indésirables : (a) </w:t>
      </w:r>
      <w:r>
        <w:rPr>
          <w:b/>
        </w:rPr>
        <w:t>Céphalées</w:t>
      </w:r>
      <w:r>
        <w:t xml:space="preserve"> (10-20%) — un peu moins fréquentes qu'avec l'ondansétron ; (b) </w:t>
      </w:r>
      <w:r>
        <w:rPr>
          <w:b/>
        </w:rPr>
        <w:t>Constipation</w:t>
      </w:r>
      <w:r>
        <w:t xml:space="preserve"> (5-15%) ; (c) Asthénie, fatigue, somnolence ; (d) Bouffées de chaleur ; (e) Allongement du QTc (moins marqué qu'ondansétron, mais à surveiller) ; (f) Augmentation modeste des transaminases (rare) ; (g) Réactions allergiques (rash, urticaire) ; (h) Douleurs abdominales, diarrhée ; (i) Rarement : convulsions, troubles du rythme cardiaque.</w:t>
      </w:r>
    </w:p>
    <w:p>
      <w:r/>
      <w:r>
        <w:rPr>
          <w:b/>
        </w:rPr>
        <w:t>Prévention et Gestion des Effets Indésirables :</w:t>
      </w:r>
      <w:r/>
    </w:p>
    <w:p>
      <w:pPr>
        <w:pStyle w:val="ListBullet"/>
      </w:pPr>
      <w:r>
        <w:t>Mesures Préventives : (a) Respect des posologies recommandées (1-3 mg IV par injection, ne pas dépasser 9 mg/jour en IV chez l'adulte) ; (b) ECG préalable en cas de terrain cardiaque, d'allongement du QTc préexistant, d'hypokaliémie ou d'hypomagnésémie ; (c) Correction des troubles électrolytiques avant administration (K+, Mg2+) ; (d) Éviter l'association avec l'apomorphine ; (e) Prudence chez le sujet âgé et en insuffisance hépatique (réduction de dose) ; (f) Surveillance de la constipation (laxatifs si besoin) ; (g) Surveillance du syndrome sérotoninergique en association avec les antidépresseurs ISRS, IRSN, IMAO.</w:t>
      </w:r>
    </w:p>
    <w:p>
      <w:pPr>
        <w:pStyle w:val="ListBullet"/>
      </w:pPr>
      <w:r>
        <w:t>Conduite à Tenir : (a) En cas de céphalées : paracétamol ; (b) En cas de constipation : laxatifs osmotiques ; (c) En cas d'allongement du QTc : arrêt, ECG, correction électrolytique ; (d) En cas de syndrome sérotoninergique : arrêt immédiat, hospitalisation, cyproheptadine ; (e) En cas de réaction allergique : arrêt, antihistaminique, corticoïde.</w:t>
      </w:r>
    </w:p>
    <w:p>
      <w:r/>
      <w:r>
        <w:rPr>
          <w:b/>
        </w:rPr>
        <w:t>Interactions Importantes :</w:t>
      </w:r>
      <w:r/>
    </w:p>
    <w:p>
      <w:pPr>
        <w:pStyle w:val="ListBullet"/>
      </w:pPr>
      <w:r/>
      <w:r>
        <w:rPr>
          <w:b/>
        </w:rPr>
        <w:t>Granisétron + apomorphine</w:t>
      </w:r>
      <w:r>
        <w:t xml:space="preserve"> : risque d'hypotension sévère et de perte de conscience — </w:t>
      </w:r>
      <w:r>
        <w:rPr>
          <w:b/>
        </w:rPr>
        <w:t>CI absolue</w:t>
      </w:r>
      <w:r>
        <w:t>.</w:t>
      </w:r>
    </w:p>
    <w:p>
      <w:pPr>
        <w:pStyle w:val="ListBullet"/>
      </w:pPr>
      <w:r/>
      <w:r>
        <w:rPr>
          <w:b/>
        </w:rPr>
        <w:t>Granisétron + allongeurs QT</w:t>
      </w:r>
      <w:r>
        <w:t xml:space="preserve"> : addition des effets sur le QTc — surveillance ECG.</w:t>
      </w:r>
    </w:p>
    <w:p>
      <w:pPr>
        <w:pStyle w:val="ListBullet"/>
      </w:pPr>
      <w:r/>
      <w:r>
        <w:rPr>
          <w:b/>
        </w:rPr>
        <w:t>Granisétron + médicaments sérotoninergiques</w:t>
      </w:r>
      <w:r>
        <w:t xml:space="preserve"> (ISRS, IRSN, IMAO, tramadol, triptans) : risque de syndrome sérotoninergique.</w:t>
      </w:r>
    </w:p>
    <w:p>
      <w:pPr>
        <w:pStyle w:val="ListBullet"/>
      </w:pPr>
      <w:r/>
      <w:r>
        <w:rPr>
          <w:b/>
        </w:rPr>
        <w:t>Granisétron + inhibiteurs CYP3A4</w:t>
      </w:r>
      <w:r>
        <w:t xml:space="preserve"> : augmentation possible des concentrations.</w:t>
      </w:r>
    </w:p>
    <w:p>
      <w:pPr>
        <w:pStyle w:val="ListBullet"/>
      </w:pPr>
      <w:r/>
      <w:r>
        <w:rPr>
          <w:b/>
        </w:rPr>
        <w:t>Granisétron + inducteurs CYP3A4</w:t>
      </w:r>
      <w:r>
        <w:t xml:space="preserve"> : diminution possible des concentrations.</w:t>
      </w:r>
    </w:p>
    <w:p>
      <w:pPr>
        <w:pStyle w:val="ListBullet"/>
      </w:pPr>
      <w:r/>
      <w:r>
        <w:rPr>
          <w:b/>
        </w:rPr>
        <w:t>Granisétron + autres 5-HT3</w:t>
      </w:r>
      <w:r>
        <w:t xml:space="preserve"> : ne pas associer.</w:t>
      </w:r>
    </w:p>
    <w:p>
      <w:r/>
      <w:r>
        <w:rPr>
          <w:b/>
        </w:rPr>
        <w:t>Grossesse et Allaitement :</w:t>
      </w:r>
      <w:r/>
    </w:p>
    <w:p>
      <w:pPr>
        <w:pStyle w:val="ListBullet"/>
      </w:pPr>
      <w:r>
        <w:t xml:space="preserve">Grossesse : Selon le CRAT, le granisétron est </w:t>
      </w:r>
      <w:r>
        <w:rPr>
          <w:b/>
        </w:rPr>
        <w:t>à éviter au 1er trimestre</w:t>
      </w:r>
      <w:r>
        <w:t xml:space="preserve"> par mesure de prudence (données limitées). Aux 2e et 3e trimestres, l'usage ponctuel est possible si nécessaire. Préférer l'ondansétron (plus de données) ou les anti-H1 en 1re intention pour les nausées gravidiques.</w:t>
      </w:r>
    </w:p>
    <w:p>
      <w:pPr>
        <w:pStyle w:val="ListBullet"/>
      </w:pPr>
      <w:r>
        <w:t xml:space="preserve">Allaitement : Selon le CRAT, le granisétron est </w:t>
      </w:r>
      <w:r>
        <w:rPr>
          <w:b/>
        </w:rPr>
        <w:t>à éviter pendant l'allaitement</w:t>
      </w:r>
      <w:r>
        <w:t xml:space="preserve"> en raison du passage dans le lait maternel et des données limitées. Préférer l'ondansétron si antiémétique nécessaire pendant l'allaitement.</w:t>
      </w:r>
    </w:p>
    <w:p>
      <w:pPr>
        <w:pStyle w:val="ListBullet"/>
      </w:pPr>
      <w:r>
        <w:t>Précisions : Risque fœtal principal = données limitées au 1er trimestre, prudence absolue.</w:t>
      </w:r>
    </w:p>
    <w:p>
      <w:r/>
      <w:r>
        <w:rPr>
          <w:b/>
        </w:rPr>
        <w:t>Posologie et Mode d'administration (Standard) :</w:t>
      </w:r>
      <w:r/>
    </w:p>
    <w:p>
      <w:pPr>
        <w:pStyle w:val="ListBullet"/>
      </w:pPr>
      <w:r>
        <w:t>Adulte — NVCI chimio fortement émétisante : 3 mg (3 mL à 1 mg/mL) IV lente (sur 5 min) ou perfusion courte 30 min avant la chimiothérapie. Peut être répété à H4 et H8 si nécessaire, sans dépasser 9 mg/jour en IV. Alternative : 1-2 mg per os x 2/jour pendant 3-5 jours.</w:t>
      </w:r>
    </w:p>
    <w:p>
      <w:pPr>
        <w:pStyle w:val="ListBullet"/>
      </w:pPr>
      <w:r>
        <w:t>Adulte — NVCI chimio moyennement émétisante : 1 mg per os x 2/jour pendant 3-5 jours, ou 3 mg IV 30 min avant la chimiothérapie (protocole simple).</w:t>
      </w:r>
    </w:p>
    <w:p>
      <w:pPr>
        <w:pStyle w:val="ListBullet"/>
      </w:pPr>
      <w:r>
        <w:t>Adulte — NVPO : 1 mg IV en fin d'intervention.</w:t>
      </w:r>
    </w:p>
    <w:p>
      <w:pPr>
        <w:pStyle w:val="ListBullet"/>
      </w:pPr>
      <w:r>
        <w:t>Sujet âgé : pas d'adaptation posologique formelle, surveiller QTc.</w:t>
      </w:r>
    </w:p>
    <w:p>
      <w:pPr>
        <w:pStyle w:val="ListBullet"/>
      </w:pPr>
      <w:r>
        <w:t>Enfant &gt; 2 ans — NVCI : 20-40 µg/kg IV (max 3 mg par injection), à renouveler si nécessaire.</w:t>
      </w:r>
    </w:p>
    <w:p>
      <w:pPr>
        <w:pStyle w:val="ListBullet"/>
      </w:pPr>
      <w:r>
        <w:t>Insuffisance hépatique : pas d'adaptation formelle, prudence.</w:t>
      </w:r>
    </w:p>
    <w:p>
      <w:pPr>
        <w:pStyle w:val="ListBullet"/>
      </w:pPr>
      <w:r>
        <w:t>Insuffisance rénale : pas d'adaptation nécessaire.</w:t>
      </w:r>
    </w:p>
    <w:p>
      <w:pPr>
        <w:pStyle w:val="ListBullet"/>
      </w:pPr>
      <w:r>
        <w:t>Durée : préventif chimio 3-5 jours, préventif post-op 24 h, curatif ponctuel.</w:t>
      </w:r>
    </w:p>
    <w:p>
      <w:pPr>
        <w:pStyle w:val="ListBullet"/>
      </w:pPr>
      <w:r>
        <w:t>Moment de prise : 30 min avant la chimiothérapie ou en fin d'intervention chirurgicale.</w:t>
      </w:r>
    </w:p>
    <w:p>
      <w:r/>
      <w:r>
        <w:rPr>
          <w:b/>
        </w:rPr>
        <w:t>Arbitrage et Bénéfices des Formes Galéniques :</w:t>
      </w:r>
      <w:r/>
    </w:p>
    <w:p>
      <w:pPr>
        <w:pStyle w:val="ListBullet"/>
      </w:pPr>
      <w:r/>
      <w:r>
        <w:rPr>
          <w:b/>
        </w:rPr>
        <w:t>Concentré pour solution injectable ou pour perfusion 1 mg/mL</w:t>
      </w:r>
      <w:r>
        <w:t xml:space="preserve"> (GRANI DENK, KYTRIL princeps) : usage hospitalier (oncologie, anesthésie, post-opératoire), action rapide (5-10 min IV), durée d'action 12-24 h (supérieure à l'ondansétron grâce à la demi-vie plus longue). Voie IV lente ou perfusion courte. La présentation en ampoules de 1 mL (1 mg) et 3 mL (3 mg) permet une adaptation posologique fine.</w:t>
      </w:r>
    </w:p>
    <w:p>
      <w:pPr>
        <w:pStyle w:val="ListBullet"/>
      </w:pPr>
      <w:r/>
      <w:r>
        <w:rPr>
          <w:b/>
        </w:rPr>
        <w:t>Forme orale (comprimés)</w:t>
      </w:r>
      <w:r>
        <w:t xml:space="preserve"> : non disponible en Algérie (KYTRIL comprimés princeps retiré), mais accessible en importation dans certains pays européens.</w:t>
      </w:r>
    </w:p>
    <w:p>
      <w:r/>
      <w:r>
        <w:rPr>
          <w:b/>
        </w:rPr>
        <w:t>Instructions et Conseils au Patient :</w:t>
      </w:r>
      <w:r/>
    </w:p>
    <w:p>
      <w:pPr>
        <w:pStyle w:val="ListBullet"/>
      </w:pPr>
      <w:r>
        <w:t xml:space="preserve">Communication au comptoir : « Ce médicament combat les nausées et vomissements liés à la chimiothérapie ou à une intervention chirurgicale. Il est administré par voie intraveineuse à l'hôpital. Si vous ressentez des </w:t>
      </w:r>
      <w:r>
        <w:rPr>
          <w:b/>
        </w:rPr>
        <w:t>maux de tête</w:t>
      </w:r>
      <w:r>
        <w:t xml:space="preserve"> ou une </w:t>
      </w:r>
      <w:r>
        <w:rPr>
          <w:b/>
        </w:rPr>
        <w:t>constipation</w:t>
      </w:r>
      <w:r>
        <w:t xml:space="preserve">, prévenez votre médecin. En cas de </w:t>
      </w:r>
      <w:r>
        <w:rPr>
          <w:b/>
        </w:rPr>
        <w:t>palpitations, vertiges, syncope</w:t>
      </w:r>
      <w:r>
        <w:t>, consultez immédiatement. Prévenez votre médecin si vous êtes enceinte, si vous allaitez, ou si vous prenez d'autres médicaments (surtout antidépresseurs, allongeurs QT, apomorphine). »</w:t>
      </w:r>
    </w:p>
    <w:p>
      <w:pPr>
        <w:pStyle w:val="ListBullet"/>
      </w:pPr>
      <w:r>
        <w:t>Mode d'utilisation pratique : (a) Administration IV lente ou en perfusion courte à l'hôpital ; (b) Respecter la prescription ; (c) Signaler tout effet indésirable.</w:t>
      </w:r>
    </w:p>
    <w:p>
      <w:r/>
      <w:r>
        <w:rPr>
          <w:b/>
        </w:rPr>
        <w:t>Notes, Règles d'Or &amp; Pièges au Comptoir :</w:t>
      </w:r>
      <w:r/>
    </w:p>
    <w:p>
      <w:pPr>
        <w:pStyle w:val="ListBullet"/>
      </w:pPr>
      <w:r>
        <w:t xml:space="preserve">Piège classique : </w:t>
      </w:r>
      <w:r>
        <w:rPr>
          <w:b/>
        </w:rPr>
        <w:t>Granisétron + apomorphine = CI absolue</w:t>
      </w:r>
      <w:r>
        <w:t xml:space="preserve"> (risque d'hypotension sévère et de perte de conscience, parfois mortelle). Vérifier systématiquement si le patient parkinsonien est sous apomorphine.</w:t>
      </w:r>
    </w:p>
    <w:p>
      <w:pPr>
        <w:pStyle w:val="ListBullet"/>
      </w:pPr>
      <w:r>
        <w:t>Piège allongeurs QT : surveillance ECG chez les patients à risque, prudence en association avec d'autres allongeurs QT.</w:t>
      </w:r>
    </w:p>
    <w:p>
      <w:pPr>
        <w:pStyle w:val="ListBullet"/>
      </w:pPr>
      <w:r>
        <w:t>Piège grossesse : à éviter au 1er trimestre (données limitées), préférer l'ondansétron.</w:t>
      </w:r>
    </w:p>
    <w:p>
      <w:pPr>
        <w:pStyle w:val="ListBullet"/>
      </w:pPr>
      <w:r>
        <w:t>Règle de prise : 30 min avant la chimiothérapie, monoprise quotidienne possible grâce à la demi-vie longue (avantage sur l'ondansétron).</w:t>
      </w:r>
    </w:p>
    <w:p>
      <w:pPr>
        <w:pStyle w:val="ListBullet"/>
      </w:pPr>
      <w:r>
        <w:t>Préparation et Conservation : solution injectable à conserver à température ambiante (&lt; 25°C), à l'abri de la lumière.</w:t>
      </w:r>
    </w:p>
    <w:p>
      <w:pPr>
        <w:pStyle w:val="ListBullet"/>
      </w:pPr>
      <w:r>
        <w:t>Piège du surdosage / Substitution : le granisétron est une alternative à l'ondansétron pour la phase aiguë des NVCI. Sa demi-vie plus longue permet une monoprise quotidienne. En cas de non-disponibilité, l'ondansétron peut être substitué (à posologie adaptée : 8 mg IV ou per os, multi-quotidien).</w:t>
      </w:r>
    </w:p>
    <w:p>
      <w:pPr>
        <w:pStyle w:val="Heading2"/>
      </w:pPr>
      <w:r>
        <w:t>6. DCI : Palonosétron (en association netupitant) (seule)</w:t>
      </w:r>
    </w:p>
    <w:p>
      <w:r/>
      <w:r>
        <w:rPr>
          <w:b/>
        </w:rPr>
        <w:t>Liste des Catégories :</w:t>
      </w:r>
      <w:r>
        <w:t xml:space="preserve"> Liste I — antiémétique antagoniste 5-HT3, association fixe avec antagoniste NK1.</w:t>
      </w:r>
    </w:p>
    <w:p>
      <w:r>
        <w:t xml:space="preserve">Le palonosétron est l'antagoniste 5-HT3 de </w:t>
      </w:r>
      <w:r>
        <w:rPr>
          <w:b/>
        </w:rPr>
        <w:t>seconde génération</w:t>
      </w:r>
      <w:r>
        <w:t xml:space="preserve">, commercialisé depuis 2003. Il se distingue des antagonistes 5-HT3 de première génération (ondansétron, granisétron) par deux caractéristiques pharmacologiques majeures : (i) une </w:t>
      </w:r>
      <w:r>
        <w:rPr>
          <w:b/>
        </w:rPr>
        <w:t>demi-vie d'élimination nettement plus longue (~40 h, contre 3-4 h pour l'ondansétron et 9-12 h pour le granisétron)</w:t>
      </w:r>
      <w:r>
        <w:t xml:space="preserve">, autorisant une monoprise unique garantissant une couverture prolongée des phases aiguë et retardée des NVCI ; (ii) une </w:t>
      </w:r>
      <w:r>
        <w:rPr>
          <w:b/>
        </w:rPr>
        <w:t>affinité pour le récepteur 5-HT3 considérablement supérieure</w:t>
      </w:r>
      <w:r>
        <w:t xml:space="preserve"> (Ki ≈ 0,2 nM, contre 8,6 nM pour le granisétron et 30 nM pour l'ondansétron — soit 150 fois plus affine que l'ondansétron) et une interaction de type allosteric (liaison au récepteur différente, dissociation lente). Le palonosétron a également une activité inhibitrice modérée sur le récepteur 5-HT3 dans des zones extra-CTZ (modulation de la voie NK1 indirecte, expliquant une certaine efficacité sur la phase retardée). Sa biodisponibilité orale est de 97%, son pic plasmatique à 5 h, son métabolisme est hépatique (CYP2D6 et CYP3A4 mineurs, principalement oxydation et réduction sans intervention majeure du CYP), et son élimination est rénale (~80%) et fécale. La liaison aux protéines plasmatiques est de 62%.</w:t>
      </w:r>
    </w:p>
    <w:p>
      <w:r>
        <w:t xml:space="preserve">En Algérie, le palonosétron n'est disponible qu'en </w:t>
      </w:r>
      <w:r>
        <w:rPr>
          <w:b/>
        </w:rPr>
        <w:t>association fixe orale avec le netupitant (antagoniste NK1)</w:t>
      </w:r>
      <w:r>
        <w:t xml:space="preserve"> dans la spécialité AKYNZEO (Helsinn). Cette association combine 300 mg de netupitant et 0,5 mg de palonosétron en une gélule unique, administrée 1 h avant la chimiothérapie, offrant une couverture complète des phases aiguë et retardée des NVCI pour les chimiothérapies fortement émétisantes. Le palonosétron seul (injectable ou per os) n'est pas disponible en Algérie.</w:t>
      </w:r>
    </w:p>
    <w:p>
      <w:r/>
      <w:r>
        <w:rPr>
          <w:b/>
        </w:rPr>
        <w:t>Médicaments disponibles en Algérie (Marques, Laboratoires, Formes et Dosages) :</w:t>
      </w:r>
      <w:r/>
    </w:p>
    <w:p>
      <w:pPr>
        <w:pStyle w:val="ListBullet"/>
      </w:pPr>
      <w:r/>
      <w:r>
        <w:rPr>
          <w:b/>
        </w:rPr>
        <w:t>AKYNZEO</w:t>
      </w:r>
      <w:r>
        <w:t xml:space="preserve"> (HELSINN BIREX PHARMACEUTICALS LTD)</w:t>
      </w:r>
    </w:p>
    <w:p>
      <w:pPr>
        <w:pStyle w:val="ListBullet"/>
      </w:pPr>
      <w:r>
        <w:t>Formes et Dosages : Gélule dosée à 300 mg de netupitant + 0,5 mg de palonosétron (boîte de 1 gélule)</w:t>
      </w:r>
    </w:p>
    <w:p>
      <w:pPr>
        <w:pStyle w:val="ListBullet"/>
      </w:pPr>
      <w:r>
        <w:t>Statut : ACTIF (Liste I)</w:t>
      </w:r>
    </w:p>
    <w:p>
      <w:r/>
      <w:r>
        <w:rPr>
          <w:b/>
        </w:rPr>
        <w:t>Sous-classe et Mécanisme d'action :</w:t>
      </w:r>
      <w:r/>
    </w:p>
    <w:p>
      <w:pPr>
        <w:pStyle w:val="ListBullet"/>
      </w:pPr>
      <w:r>
        <w:t xml:space="preserve">Sous-classe : Antiémétique antagoniste sélectif des récepteurs sérotoninergiques 5-HT3, </w:t>
      </w:r>
      <w:r>
        <w:rPr>
          <w:b/>
        </w:rPr>
        <w:t>seconde génération</w:t>
      </w:r>
      <w:r>
        <w:t>, en association fixe avec antagoniste NK1 (netupitant).</w:t>
      </w:r>
    </w:p>
    <w:p>
      <w:pPr>
        <w:pStyle w:val="ListBullet"/>
      </w:pPr>
      <w:r>
        <w:t>Mécanisme d'action : Le palonosétron est un antagoniste compétitif sélectif des récepteurs 5-HT3 (canal cationique ligand-dépendant), avec une affinité 150 fois supérieure à celle de l'ondansétron et une liaison allosteric (liaison différente du site de la sérotonine, dissociation lente). Cette propriété explique la durée d'action prolongée (jusqu'à 7 jours). Le palonosétron bloque les récepteurs 5-HT3 du CTZ et des terminaisons vagales afférentes, inhibant la voie sérotoninergique de l'émèse. Il a également une activité inhibitrice indirecte sur la voie NK1 (substance P), ce qui explique une partie de son efficacité sur la phase retardée. L'association avec le netupitant (antagoniste NK1) potentialise cette action sur la phase retardée : le netupitant bloque les récepteurs NK1 centraux (NTS, CTZ), où la substance P est le neurotransmetteur activateur principal de la phase retardée (&gt; 24 h). La combinaison palonosétron + netupitant offre une couverture complète des phases aiguë et retardée des NVCI en monoprise orale. Le netupitant a une longue demi-vie (~80 h) garantissant une couverture de plusieurs jours.</w:t>
      </w:r>
    </w:p>
    <w:p>
      <w:r/>
      <w:r>
        <w:rPr>
          <w:b/>
        </w:rPr>
        <w:t>Profil Pharmacologique :</w:t>
      </w:r>
      <w:r/>
    </w:p>
    <w:p>
      <w:pPr>
        <w:pStyle w:val="ListBullet"/>
      </w:pPr>
      <w:r>
        <w:t xml:space="preserve">Indications : (a) </w:t>
      </w:r>
      <w:r>
        <w:rPr>
          <w:b/>
        </w:rPr>
        <w:t>Prévention des nausées et vomissements chimio-induits (NVCI) aigus et retardés</w:t>
      </w:r>
      <w:r>
        <w:t xml:space="preserve"> — en association avec la dexaméthasone — pour les chimiothérapies fortement émétisantes (cisplatine, AC, carboplatine AUC ≥ 4) ; (b) Indication potentiellement étendue aux chimiothérapies moyennement émétisantes en alternative au protocole standard 5-HT3 + dexaméthasone. La spécialité AKYNZEO est un protocole MASCC/ESMO de référence pour les chimiothérapies fortement émétisantes.</w:t>
      </w:r>
    </w:p>
    <w:p>
      <w:pPr>
        <w:pStyle w:val="ListBullet"/>
      </w:pPr>
      <w:r>
        <w:t xml:space="preserve">Contre-indications : (a) Hypersensibilité au palonosétron, au netupitant ou aux excipients ; (b) Allongement du QTc congénital ou acquis (risque majoré) ; (c) Association avec l'apomorphine — </w:t>
      </w:r>
      <w:r>
        <w:rPr>
          <w:b/>
        </w:rPr>
        <w:t>CI absolue</w:t>
      </w:r>
      <w:r>
        <w:t xml:space="preserve"> ; (d) Troubles électrolytiques non corrigés ; (e) Grossesse (à éviter par mesure de prudence, données limitées) ; (f) Allaitement (à éviter).</w:t>
      </w:r>
    </w:p>
    <w:p>
      <w:pPr>
        <w:pStyle w:val="ListBullet"/>
      </w:pPr>
      <w:r>
        <w:t xml:space="preserve">Effets Indésirables : (a) </w:t>
      </w:r>
      <w:r>
        <w:rPr>
          <w:b/>
        </w:rPr>
        <w:t>Céphalées</w:t>
      </w:r>
      <w:r>
        <w:t xml:space="preserve"> (3-15%) ; (b) </w:t>
      </w:r>
      <w:r>
        <w:rPr>
          <w:b/>
        </w:rPr>
        <w:t>Constipation</w:t>
      </w:r>
      <w:r>
        <w:t xml:space="preserve"> (5-10%) ; (c) Asthénie, fatigue ; (d) Bouffées de chaleur ; (e) Allongement du QTc (à surveiller ECG si terrain cardiaque) ; (f) Dyspepsie, douleurs abdominales ; (g) Élévation modeste des transaminases (rare, surveillance en cas de pathologie hépatique) ; (h) Réactions allergiques (rash, urticaire) ; (i) Rarement : syndrome sérotoninergique en association avec d'autres sérotoninergiques.</w:t>
      </w:r>
    </w:p>
    <w:p>
      <w:r/>
      <w:r>
        <w:rPr>
          <w:b/>
        </w:rPr>
        <w:t>Prévention et Gestion des Effets Indésirables :</w:t>
      </w:r>
      <w:r/>
    </w:p>
    <w:p>
      <w:pPr>
        <w:pStyle w:val="ListBullet"/>
      </w:pPr>
      <w:r>
        <w:t>Mesures Préventives : (a) Respect de la posologie (1 gélule unique 1 h avant chimiothérapie) ; (b) ECG préalable en cas de terrain cardiaque, d'allongement du QTc préexistant, d'hypokaliémie ou d'hypomagnésémie ; (c) Correction des troubles électrolytiques (K+, Mg2+) ; (d) Éviter l'association avec l'apomorphine ; (e) Surveillance du syndrome sérotoninergique en association avec les antidépresseurs ISRS, IRSN, IMAO ; (f) Surveillance de la constipation (laxatifs si besoin) ; (g) Surveillance des transaminases en cas de pathologie hépatique ; (h) Interaction avec la dexaméthasone (réduction de dose dexaméthasone : 12 mg J1 puis 8 mg J2-J4 en cas d'association avec netupitant, en raison de l'inhibition CYP3A4 par le netupitant qui majore l'AUC de la dexaméthasone).</w:t>
      </w:r>
    </w:p>
    <w:p>
      <w:pPr>
        <w:pStyle w:val="ListBullet"/>
      </w:pPr>
      <w:r>
        <w:t>Conduite à Tenir : (a) En cas de céphalées : paracétamol ; (b) En cas de constipation : laxatifs osmotiques ; (c) En cas d'allongement du QTc : arrêt, ECG, correction électrolytique ; (d) En cas de syndrome sérotoninergique : arrêt immédiat, hospitalisation, cyproheptadine ; (e) En cas d'élévation importante des transaminases : arrêt, bilan hépatique.</w:t>
      </w:r>
    </w:p>
    <w:p>
      <w:r/>
      <w:r>
        <w:rPr>
          <w:b/>
        </w:rPr>
        <w:t>Interactions Importantes :</w:t>
      </w:r>
      <w:r/>
    </w:p>
    <w:p>
      <w:pPr>
        <w:pStyle w:val="ListBullet"/>
      </w:pPr>
      <w:r/>
      <w:r>
        <w:rPr>
          <w:b/>
        </w:rPr>
        <w:t>Palonosétron/Netupitant + apomorphine</w:t>
      </w:r>
      <w:r>
        <w:t xml:space="preserve"> : risque d'hypotension sévère et de perte de conscience — </w:t>
      </w:r>
      <w:r>
        <w:rPr>
          <w:b/>
        </w:rPr>
        <w:t>CI absolue</w:t>
      </w:r>
      <w:r>
        <w:t>.</w:t>
      </w:r>
    </w:p>
    <w:p>
      <w:pPr>
        <w:pStyle w:val="ListBullet"/>
      </w:pPr>
      <w:r/>
      <w:r>
        <w:rPr>
          <w:b/>
        </w:rPr>
        <w:t>Palonosétron/Netupitant + allongeurs QT</w:t>
      </w:r>
      <w:r>
        <w:t xml:space="preserve"> : addition des effets sur le QTc — surveillance ECG.</w:t>
      </w:r>
    </w:p>
    <w:p>
      <w:pPr>
        <w:pStyle w:val="ListBullet"/>
      </w:pPr>
      <w:r/>
      <w:r>
        <w:rPr>
          <w:b/>
        </w:rPr>
        <w:t>Palonosétron/Netupitant + médicaments sérotoninergiques</w:t>
      </w:r>
      <w:r>
        <w:t xml:space="preserve"> (ISRS, IRSN, IMAO, tramadol, triptans) : risque de syndrome sérotoninergique.</w:t>
      </w:r>
    </w:p>
    <w:p>
      <w:pPr>
        <w:pStyle w:val="ListBullet"/>
      </w:pPr>
      <w:r/>
      <w:r>
        <w:rPr>
          <w:b/>
        </w:rPr>
        <w:t>Netupitant + substrats du CYP3A4</w:t>
      </w:r>
      <w:r>
        <w:t xml:space="preserve"> (dexaméthasone, méthylprednisolone, midazolam, simvastatine, atorvastatine, lovastatine, ciclosporine, tacrolimus, sirolimus, warfarine, inhibiteurs de protéase du VIH, contraceptifs oraux estroprogestatifs) : augmentation des concentrations de ces médicaments par inhibition CYP3A4 par le netupitant — </w:t>
      </w:r>
      <w:r>
        <w:rPr>
          <w:b/>
        </w:rPr>
        <w:t>adapter la posologie de la dexaméthasone (12 mg J1, 8 mg J2-J4), éviter la simvastatine pendant le traitement, surveiller l'INR pour la warfarine, utiliser une contraception non hormonale pendant le traitement + 28 jours</w:t>
      </w:r>
      <w:r>
        <w:t xml:space="preserve"> (induction CYP3A4 en fin de traitement réduisant l'efficacité des contraceptifs oraux).</w:t>
      </w:r>
    </w:p>
    <w:p>
      <w:pPr>
        <w:pStyle w:val="ListBullet"/>
      </w:pPr>
      <w:r/>
      <w:r>
        <w:rPr>
          <w:b/>
        </w:rPr>
        <w:t>Netupitant + inducteurs puissants du CYP3A4</w:t>
      </w:r>
      <w:r>
        <w:t xml:space="preserve"> (rifampicine, phénytoïne, carbamazépine, phénobarbital, millepertuis) : diminution des concentrations de netupitant — déconseillé.</w:t>
      </w:r>
    </w:p>
    <w:p>
      <w:pPr>
        <w:pStyle w:val="ListBullet"/>
      </w:pPr>
      <w:r/>
      <w:r>
        <w:rPr>
          <w:b/>
        </w:rPr>
        <w:t>Netupitant + inhibiteurs puissants du CYP3A4</w:t>
      </w:r>
      <w:r>
        <w:t xml:space="preserve"> (kétoconazole, itraconazole, clarithromycine, ritonavir) : augmentation possible des concentrations de netupitant.</w:t>
      </w:r>
    </w:p>
    <w:p>
      <w:r/>
      <w:r>
        <w:rPr>
          <w:b/>
        </w:rPr>
        <w:t>Grossesse et Allaitement :</w:t>
      </w:r>
      <w:r/>
    </w:p>
    <w:p>
      <w:pPr>
        <w:pStyle w:val="ListBullet"/>
      </w:pPr>
      <w:r>
        <w:t xml:space="preserve">Grossesse : Selon le CRAT, le palonosétron est </w:t>
      </w:r>
      <w:r>
        <w:rPr>
          <w:b/>
        </w:rPr>
        <w:t>à éviter au 1er trimestre</w:t>
      </w:r>
      <w:r>
        <w:t xml:space="preserve"> par mesure de prudence (données limitées). Aux 2e et 3e trimestres, l'usage ponctuel est possible si nécessaire. Le netupitant, en raison de sa longue demi-vie et de ses interactions hormonales possibles, doit être évité pendant la grossesse. Préférer l'ondansétron en cas de nécessité d'antiémétique 5-HT3 pendant la grossesse.</w:t>
      </w:r>
    </w:p>
    <w:p>
      <w:pPr>
        <w:pStyle w:val="ListBullet"/>
      </w:pPr>
      <w:r>
        <w:t xml:space="preserve">Allaitement : Selon le CRAT, le palonosétron est </w:t>
      </w:r>
      <w:r>
        <w:rPr>
          <w:b/>
        </w:rPr>
        <w:t>à éviter pendant l'allaitement</w:t>
      </w:r>
      <w:r>
        <w:t xml:space="preserve"> en raison du passage dans le lait maternel. Le netupitant étant lipophile et à longue demi-vie, son passage dans le lait est probable et expose le nouveau-né à un risque d'interactions. Préférer l'ondansétron si antiémétique nécessaire pendant l'allaitement.</w:t>
      </w:r>
    </w:p>
    <w:p>
      <w:pPr>
        <w:pStyle w:val="ListBullet"/>
      </w:pPr>
      <w:r>
        <w:t>Précisions : Risque fœtal principal = données limitées pour le netupitant, prudence absolue. Contraception non hormonale obligatoire pendant traitement + 28 jours en raison de l'interaction avec les contraceptifs oraux.</w:t>
      </w:r>
    </w:p>
    <w:p>
      <w:r/>
      <w:r>
        <w:rPr>
          <w:b/>
        </w:rPr>
        <w:t>Posologie et Mode d'administration (Standard) :</w:t>
      </w:r>
      <w:r/>
    </w:p>
    <w:p>
      <w:pPr>
        <w:pStyle w:val="ListBullet"/>
      </w:pPr>
      <w:r>
        <w:t xml:space="preserve">Adulte — Prévention NVCI chimio fortement émétisante : 1 gélule (300 mg netupitant + 0,5 mg palonosétron) per os </w:t>
      </w:r>
      <w:r>
        <w:rPr>
          <w:b/>
        </w:rPr>
        <w:t>1 heure avant la chimiothérapie</w:t>
      </w:r>
      <w:r>
        <w:t xml:space="preserve"> J1, en association avec la dexaméthasone 12 mg J1 (avant chimio) puis 8 mg/J2-J4 (réduction de dose dexaméthasone en raison de l'inhibition CYP3A4 par le netupitant).</w:t>
      </w:r>
    </w:p>
    <w:p>
      <w:pPr>
        <w:pStyle w:val="ListBullet"/>
      </w:pPr>
      <w:r>
        <w:t>Adulte — Prévention NVCI chimio moyennement émétisante : 1 gélule J1 + dexaméthasone 12 mg J1 puis 8 mg/J2-J4 (protocole MASCC/ESMO 2023).</w:t>
      </w:r>
    </w:p>
    <w:p>
      <w:pPr>
        <w:pStyle w:val="ListBullet"/>
      </w:pPr>
      <w:r>
        <w:t>Sujet âgé : pas d'adaptation posologique formelle, surveiller QTc.</w:t>
      </w:r>
    </w:p>
    <w:p>
      <w:pPr>
        <w:pStyle w:val="ListBullet"/>
      </w:pPr>
      <w:r>
        <w:t>Enfant : AKYNZEO n'est pas indiqué chez l'enfant &lt; 18 ans (données limitées).</w:t>
      </w:r>
    </w:p>
    <w:p>
      <w:pPr>
        <w:pStyle w:val="ListBullet"/>
      </w:pPr>
      <w:r>
        <w:t>Insuffisance hépatique légère à modérée : pas d'adaptation. Insuffisance hépatique sévère : éviter (données limitées, surveillance transaminases).</w:t>
      </w:r>
    </w:p>
    <w:p>
      <w:pPr>
        <w:pStyle w:val="ListBullet"/>
      </w:pPr>
      <w:r>
        <w:t>Insuffisance rénale légère à modérée : pas d'adaptation. Insuffisance rénale sévère (ClCr &lt; 30 mL/min) ou dialyse : éviter (données limitées).</w:t>
      </w:r>
    </w:p>
    <w:p>
      <w:pPr>
        <w:pStyle w:val="ListBullet"/>
      </w:pPr>
      <w:r>
        <w:t>Durée : 1 gélule unique par cycle de chimiothérapie (couverture 5-7 jours grâce à la longue demi-vie du netupitant et du palonosétron).</w:t>
      </w:r>
    </w:p>
    <w:p>
      <w:pPr>
        <w:pStyle w:val="ListBullet"/>
      </w:pPr>
      <w:r>
        <w:t xml:space="preserve">Moment de prise : </w:t>
      </w:r>
      <w:r>
        <w:rPr>
          <w:b/>
        </w:rPr>
        <w:t>1 heure avant la chimiothérapie</w:t>
      </w:r>
      <w:r>
        <w:t>, en une prise unique, à jeun ou non.</w:t>
      </w:r>
    </w:p>
    <w:p>
      <w:r/>
      <w:r>
        <w:rPr>
          <w:b/>
        </w:rPr>
        <w:t>Arbitrage et Bénéfices des Formes Galéniques :</w:t>
      </w:r>
      <w:r/>
    </w:p>
    <w:p>
      <w:pPr>
        <w:pStyle w:val="ListBullet"/>
      </w:pPr>
      <w:r/>
      <w:r>
        <w:rPr>
          <w:b/>
        </w:rPr>
        <w:t>Gélule orale 300 mg netupitant + 0,5 mg palonosétron</w:t>
      </w:r>
      <w:r>
        <w:t xml:space="preserve"> (AKYNZEO) : administration orale unique par cycle de chimiothérapie, simplification majeure du protocole antiémétique préventif. Évite la multiprise d'ondansétron ou de granisétron sur 3-5 jours, et l'administration IV le jour de la chimiothérapie. Couverture prolongée des phases aiguë et retardée. La forme orale permet une administration ambulatoire (cabinets d'oncologie de ville, hôpital de jour).</w:t>
      </w:r>
    </w:p>
    <w:p>
      <w:pPr>
        <w:pStyle w:val="ListBullet"/>
      </w:pPr>
      <w:r/>
      <w:r>
        <w:rPr>
          <w:b/>
        </w:rPr>
        <w:t>Palonosétron injectable</w:t>
      </w:r>
      <w:r>
        <w:t xml:space="preserve"> : non disponible en Algérie (accessible en importation dans certains pays européens), permettrait une administration IV à J1 de la chimiothérapie.</w:t>
      </w:r>
    </w:p>
    <w:p>
      <w:r/>
      <w:r>
        <w:rPr>
          <w:b/>
        </w:rPr>
        <w:t>Instructions et Conseils au Patient :</w:t>
      </w:r>
      <w:r/>
    </w:p>
    <w:p>
      <w:pPr>
        <w:pStyle w:val="ListBullet"/>
      </w:pPr>
      <w:r>
        <w:t xml:space="preserve">Communication au comptoir : « Ce médicament prévient les nausées et vomissements liés à votre chimiothérapie. Il est pris </w:t>
      </w:r>
      <w:r>
        <w:rPr>
          <w:b/>
        </w:rPr>
        <w:t>1 heure avant</w:t>
      </w:r>
      <w:r>
        <w:t xml:space="preserve"> le début de la chimiothérapie, en une seule gélule. </w:t>
      </w:r>
      <w:r>
        <w:rPr>
          <w:b/>
        </w:rPr>
        <w:t>Il est associé à un autre médicament (dexaméthasone) selon le protocole prescrit</w:t>
      </w:r>
      <w:r>
        <w:t xml:space="preserve">. Si vous ressentez des </w:t>
      </w:r>
      <w:r>
        <w:rPr>
          <w:b/>
        </w:rPr>
        <w:t>maux de tête</w:t>
      </w:r>
      <w:r>
        <w:t xml:space="preserve"> ou une </w:t>
      </w:r>
      <w:r>
        <w:rPr>
          <w:b/>
        </w:rPr>
        <w:t>constipation</w:t>
      </w:r>
      <w:r>
        <w:t xml:space="preserve">, prévenez votre médecin. En cas de </w:t>
      </w:r>
      <w:r>
        <w:rPr>
          <w:b/>
        </w:rPr>
        <w:t>palpitations, vertiges, syncope</w:t>
      </w:r>
      <w:r>
        <w:t xml:space="preserve">, consultez immédiatement. </w:t>
      </w:r>
      <w:r>
        <w:rPr>
          <w:b/>
        </w:rPr>
        <w:t>Si vous prenez une contraception orale, utilisez une méthode complémentaire (préservatif) pendant le traitement + 28 jours</w:t>
      </w:r>
      <w:r>
        <w:t>. Prévenez votre médecin si vous êtes enceinte, si vous allaitez, ou si vous prenez d'autres médicaments (surtout statines, antidépresseurs, allongeurs QT, apomorphine). »</w:t>
      </w:r>
    </w:p>
    <w:p>
      <w:pPr>
        <w:pStyle w:val="ListBullet"/>
      </w:pPr>
      <w:r>
        <w:t>Mode d'utilisation pratique : (a) Prendre la gélule entière avec un verre d'eau, 1 heure avant la chimiothérapie ; (b) Respecter la posologie prescrite (1 gélule unique par cycle) ; (c) Avertir le patient des signes d'alerte (céphalées sévères, constipation, palpitations) ; (d) Boire suffisamment d'eau et avoir une alimentation riche en fibres ; (e) Signaler tout autre traitement en cours (surtout statines, antidépresseurs, warfarine, contraception orale).</w:t>
      </w:r>
    </w:p>
    <w:p>
      <w:r/>
      <w:r>
        <w:rPr>
          <w:b/>
        </w:rPr>
        <w:t>Notes, Règles d'Or &amp; Pièges au Comptoir :</w:t>
      </w:r>
      <w:r/>
    </w:p>
    <w:p>
      <w:pPr>
        <w:pStyle w:val="ListBullet"/>
      </w:pPr>
      <w:r>
        <w:t xml:space="preserve">Piège classique : </w:t>
      </w:r>
      <w:r>
        <w:rPr>
          <w:b/>
        </w:rPr>
        <w:t>Palonosétron/Netupitant + apomorphine = CI absolue</w:t>
      </w:r>
      <w:r>
        <w:t xml:space="preserve"> (risque d'hypotension sévère et de perte de conscience). Vérifier systématiquement si le patient parkinsonien est sous apomorphine.</w:t>
      </w:r>
    </w:p>
    <w:p>
      <w:pPr>
        <w:pStyle w:val="ListBullet"/>
      </w:pPr>
      <w:r>
        <w:t xml:space="preserve">Piège contraception orale : le netupitant inhibe le CYP3A4 et </w:t>
      </w:r>
      <w:r>
        <w:rPr>
          <w:b/>
        </w:rPr>
        <w:t>modifie l'efficacité des contraceptifs oraux estroprogestatifs</w:t>
      </w:r>
      <w:r>
        <w:t>. Utiliser une méthode complémentaire (préservatif) pendant le traitement + 28 jours. Information essentielle à délivrer.</w:t>
      </w:r>
    </w:p>
    <w:p>
      <w:pPr>
        <w:pStyle w:val="ListBullet"/>
      </w:pPr>
      <w:r>
        <w:t xml:space="preserve">Piège dexaméthasone : le netupitant inhibe le CYP3A4 et </w:t>
      </w:r>
      <w:r>
        <w:rPr>
          <w:b/>
        </w:rPr>
        <w:t>majore l'AUC de la dexaméthasone</w:t>
      </w:r>
      <w:r>
        <w:t>. Réduire la dose dexaméthasone à 12 mg J1 puis 8 mg J2-J4 (au lieu de 20 mg J1 puis 8 mg/J2-J4 dans le protocole sans netupitant).</w:t>
      </w:r>
    </w:p>
    <w:p>
      <w:pPr>
        <w:pStyle w:val="ListBullet"/>
      </w:pPr>
      <w:r>
        <w:t>Piège statines : éviter la simvastatine pendant le traitement (risque de rhabdomyolyse), surveiller atorvastatine et lovastatine.</w:t>
      </w:r>
    </w:p>
    <w:p>
      <w:pPr>
        <w:pStyle w:val="ListBullet"/>
      </w:pPr>
      <w:r>
        <w:t>Piège warfarine : surveiller l'INR pendant et après le traitement (modification de l'absorption et du métabolisme).</w:t>
      </w:r>
    </w:p>
    <w:p>
      <w:pPr>
        <w:pStyle w:val="ListBullet"/>
      </w:pPr>
      <w:r>
        <w:t>Règle de prise : 1 heure avant la chimiothérapie, en une prise unique par cycle.</w:t>
      </w:r>
    </w:p>
    <w:p>
      <w:pPr>
        <w:pStyle w:val="ListBullet"/>
      </w:pPr>
      <w:r>
        <w:t>Préparation et Conservation : gélules à température ambiante &lt; 25°C, à l'abri de l'humidité, dans leur emballage d'origine.</w:t>
      </w:r>
    </w:p>
    <w:p>
      <w:pPr>
        <w:pStyle w:val="ListBullet"/>
      </w:pPr>
      <w:r>
        <w:t>Piège du surdosage / Substitution : AKYNZEO est une association fixe, ne pas substituer par les composants séparés (palonosétron et netupitant ne sont pas disponibles séparément en Algérie). En cas de non-disponibilité d'AKYNZEO, utiliser le protocole alternatif : ondansétron 8 mg IV J1 + aprépitant 125 mg J1 puis 80 mg J2-J3 + dexaméthasone 20 mg J1 puis 8 mg/J2-J4 (protocole MASCC/ESMO standard).</w:t>
      </w:r>
    </w:p>
    <w:p>
      <w:pPr>
        <w:pStyle w:val="Heading2"/>
      </w:pPr>
      <w:r>
        <w:t>7. DCI : Aprépitant / Fosaprépitant (seule)</w:t>
      </w:r>
    </w:p>
    <w:p>
      <w:r/>
      <w:r>
        <w:rPr>
          <w:b/>
        </w:rPr>
        <w:t>Liste des Catégories :</w:t>
      </w:r>
      <w:r>
        <w:t xml:space="preserve"> Liste I — antiémétique antagoniste NK1.</w:t>
      </w:r>
    </w:p>
    <w:p>
      <w:r>
        <w:t xml:space="preserve">L'aprépitant est le chef de file des antagonistes des récepteurs NK1 (substance P), dernière classe introduite dans l'arsenal antiémétique (2003). C'est une molécule tri-substituée morpholine-acétal, hautement lipophile, qui se caractérise par une activité sélective sur les récepteurs NK1 centraux (NTS, area postrema, CTZ). Le </w:t>
      </w:r>
      <w:r>
        <w:rPr>
          <w:b/>
        </w:rPr>
        <w:t>fosaprépitant</w:t>
      </w:r>
      <w:r>
        <w:t xml:space="preserve"> est la prodrogue intraveineuse de l'aprépitant, transformée en aprépitant actif en ~15 min par les phosphatases hépatiques et tissulaires. La pharmacocinétique de l'aprépitant est caractérisée par une biodisponibilité orale de 60-65%, un pic plasmatique à 4 h, une </w:t>
      </w:r>
      <w:r>
        <w:rPr>
          <w:b/>
        </w:rPr>
        <w:t>demi-vie d'élimination prolongée de 9-13 h après dose unique, allant jusqu'à 40-70 h après doses répétées</w:t>
      </w:r>
      <w:r>
        <w:t xml:space="preserve"> (permettant la couverture des 3 jours suivants la chimiothérapie par un schéma 125 mg J1 + 80 mg J2-J3). Le métabolisme est principalement hépatique par le CYP3A4 (substrat + inhibiteur modéré), avec une élimination rénale (~86%, principalement métabolites) et fécale. La liaison aux protéines plasmatiques est &gt; 95%.</w:t>
      </w:r>
    </w:p>
    <w:p>
      <w:r/>
      <w:r>
        <w:rPr>
          <w:b/>
        </w:rPr>
        <w:t>Médicaments disponibles en Algérie (Marques, Laboratoires, Formes et Dosages) :</w:t>
      </w:r>
      <w:r/>
    </w:p>
    <w:p>
      <w:pPr>
        <w:pStyle w:val="ListBullet"/>
      </w:pPr>
      <w:r/>
      <w:r>
        <w:rPr>
          <w:b/>
        </w:rPr>
        <w:t>FOSAPREPITANT-SAIDAL</w:t>
      </w:r>
      <w:r>
        <w:t xml:space="preserve"> (GROUPE SAIDAL)</w:t>
      </w:r>
    </w:p>
    <w:p>
      <w:pPr>
        <w:pStyle w:val="ListBullet"/>
      </w:pPr>
      <w:r>
        <w:t>Formes et Dosages : Poudre pour solution pour perfusion 150 mg (boîte de 01 flacon de 10 mL)</w:t>
      </w:r>
    </w:p>
    <w:p>
      <w:pPr>
        <w:pStyle w:val="ListBullet"/>
      </w:pPr>
      <w:r>
        <w:t>Statut : ACTIF</w:t>
      </w:r>
    </w:p>
    <w:p>
      <w:pPr>
        <w:pStyle w:val="ListBullet"/>
      </w:pPr>
      <w:r/>
      <w:r>
        <w:rPr>
          <w:b/>
        </w:rPr>
        <w:t>FOSAPREPITAL</w:t>
      </w:r>
      <w:r>
        <w:t xml:space="preserve"> (SOCIETE PHARMACEUTIQUE ALGERIENNE SOPHAL)</w:t>
      </w:r>
    </w:p>
    <w:p>
      <w:pPr>
        <w:pStyle w:val="ListBullet"/>
      </w:pPr>
      <w:r>
        <w:t>Formes et Dosages : Poudre lyophilisée pour solution pour perfusion 150 mg (boîte de 01 flacon)</w:t>
      </w:r>
    </w:p>
    <w:p>
      <w:pPr>
        <w:pStyle w:val="ListBullet"/>
      </w:pPr>
      <w:r>
        <w:t>Statut : ACTIF</w:t>
      </w:r>
    </w:p>
    <w:p>
      <w:pPr>
        <w:pStyle w:val="ListBullet"/>
      </w:pPr>
      <w:r/>
      <w:r>
        <w:rPr>
          <w:b/>
        </w:rPr>
        <w:t>FOSEMRED</w:t>
      </w:r>
      <w:r>
        <w:t xml:space="preserve"> (DR. REDDY'S LABORATORIES LIMITED)</w:t>
      </w:r>
    </w:p>
    <w:p>
      <w:pPr>
        <w:pStyle w:val="ListBullet"/>
      </w:pPr>
      <w:r>
        <w:t>Formes et Dosages : Poudre lyophilisée pour solution pour perfusion 150 mg (boîte de 01 flacon)</w:t>
      </w:r>
    </w:p>
    <w:p>
      <w:pPr>
        <w:pStyle w:val="ListBullet"/>
      </w:pPr>
      <w:r>
        <w:t>Statut : ACTIF</w:t>
      </w:r>
    </w:p>
    <w:p>
      <w:pPr>
        <w:pStyle w:val="ListBullet"/>
      </w:pPr>
      <w:r/>
      <w:r>
        <w:rPr>
          <w:b/>
        </w:rPr>
        <w:t>EMADIS</w:t>
      </w:r>
      <w:r>
        <w:t xml:space="preserve"> (BIOPHARM)</w:t>
      </w:r>
    </w:p>
    <w:p>
      <w:pPr>
        <w:pStyle w:val="ListBullet"/>
      </w:pPr>
      <w:r>
        <w:t>Formes et Dosages : Gélule 80 mg + 125 mg (boîte contenant 02 gélules à 80 mg et 01 gélule à 125 mg — schéma 3 jours)</w:t>
      </w:r>
    </w:p>
    <w:p>
      <w:pPr>
        <w:pStyle w:val="ListBullet"/>
      </w:pPr>
      <w:r>
        <w:t>Statut : ACTIF</w:t>
      </w:r>
    </w:p>
    <w:p>
      <w:pPr>
        <w:pStyle w:val="ListBullet"/>
      </w:pPr>
      <w:r/>
      <w:r>
        <w:rPr>
          <w:b/>
        </w:rPr>
        <w:t>XETREME</w:t>
      </w:r>
      <w:r>
        <w:t xml:space="preserve"> (LABORATOIRES BEKER)</w:t>
      </w:r>
    </w:p>
    <w:p>
      <w:pPr>
        <w:pStyle w:val="ListBullet"/>
      </w:pPr>
      <w:r>
        <w:t>Formes et Dosages : Gélule 80 mg + 125 mg (boîte de 3 gélules : 1 gélule 125 mg + 2 gélules 80 mg — schéma 3 jours)</w:t>
      </w:r>
    </w:p>
    <w:p>
      <w:pPr>
        <w:pStyle w:val="ListBullet"/>
      </w:pPr>
      <w:r>
        <w:t>Statut : ACTIF</w:t>
      </w:r>
    </w:p>
    <w:p>
      <w:r/>
      <w:r>
        <w:rPr>
          <w:b/>
        </w:rPr>
        <w:t>Sous-classe et Mécanisme d'action :</w:t>
      </w:r>
      <w:r/>
    </w:p>
    <w:p>
      <w:pPr>
        <w:pStyle w:val="ListBullet"/>
      </w:pPr>
      <w:r>
        <w:t>Sous-classe : Antiémétique antagoniste compétitif sélectif des récepteurs neurokininergiques NK1 (substance P), dernière génération. Aprépitant (per os) et fosaprépitant (prodrogue IV).</w:t>
      </w:r>
    </w:p>
    <w:p>
      <w:pPr>
        <w:pStyle w:val="ListBullet"/>
      </w:pPr>
      <w:r>
        <w:t>Mécanisme d'action : L'aprépitant et le fosaprépitant (transformé en aprépitant actif en 15 min) sont des antagonistes compétitifs sélectifs des récepteurs NK1, exprimés au niveau central dans le NTS et la zone postrema / CTZ. La substance P (un neuropeptide de 11 acides aminés de la famille des tachykinines, codée par le gène TAC1) est le neurotransmetteur activateur principal de la voie émétique retardée (&gt; 24 h après chimiothérapie). La substance P est libérée en réponse aux stimuli émétogènes prolongés (chimiothérapie, especially phase retardée), et son blocage central complète l'action des antagonistes 5-HT3 (qui couvrent essentiellement la phase aiguë). L'aprépitant et le fosaprépitant ne traversent pas significativement la BHE, mais agissent au niveau du CTZ (hors BHE) et du NTS (région où la BHE est perméable). L'activité antagoniste NK1 est hautement sélective (affinité Ki ≈ 0,1 nM pour NK1, &gt; 3 000 fois moins pour NK2 et NK3). L'aprépitant a également un effet modeste sur le récepteur 5-HT3 (Ki ≈ 3,7 µM), sans traduction clinique. Le fosaprépitant est une prodrogue phosphorylée, rapidement convertie en aprépitant par les phosphatases, avec une biodisponibilité IV de 100% et une conversion complète en aprépitant actif en 15 min.</w:t>
      </w:r>
    </w:p>
    <w:p>
      <w:r/>
      <w:r>
        <w:rPr>
          <w:b/>
        </w:rPr>
        <w:t>Profil Pharmacologique :</w:t>
      </w:r>
      <w:r/>
    </w:p>
    <w:p>
      <w:pPr>
        <w:pStyle w:val="ListBullet"/>
      </w:pPr>
      <w:r>
        <w:t xml:space="preserve">Indications : (a) </w:t>
      </w:r>
      <w:r>
        <w:rPr>
          <w:b/>
        </w:rPr>
        <w:t>Prévention des nausées et vomissements chimio-induits (NVCI) aigus et retardés</w:t>
      </w:r>
      <w:r>
        <w:t>, en association avec un antagoniste 5-HT3 (ondansétron, granisétron, palonosétron) et la dexaméthasone — selon le protocole triple MASCC/ESMO — pour les chimiothérapies fortement émétisantes (cisplatine, AC, carboplatine AUC ≥ 4) ; (b) Indication potentiellement étendue aux chimiothérapies moyennement émétisantes en protocole alternatif. Le schéma standard est 125 mg per os J1 (1 h avant chimio) puis 80 mg per os J2 et J3 (3 jours) ; le schéma IV alternatif est 150 mg fosaprépitant IV J1 (en alternative à 125 mg per os).</w:t>
      </w:r>
    </w:p>
    <w:p>
      <w:pPr>
        <w:pStyle w:val="ListBullet"/>
      </w:pPr>
      <w:r>
        <w:t>Contre-indications : (a) Hypersensibilité à l'aprépitant, au fosaprépitant ou aux excipients (notamment polysorbate 80 dans la forme IV — risque de réaction allergique) ; (b) Association avec les inhibiteurs puissants du CYP3A4 (kétoconazole, itraconazole, clarithromycine, ritonavir, nelfinavir) — augmente les concentrations d'aprépitant ; (c) Association avec la pimozide, le terfénadine, l'astémizole, le cisapride — risque majoré d'allongement QTc par inhibition CYP3A4 ; (d) Grossesse (à éviter par mesure de prudence, données limitées, en raison de l'effet sur la reproduction animale) ; (e) Allaitement (à éviter).</w:t>
      </w:r>
    </w:p>
    <w:p>
      <w:pPr>
        <w:pStyle w:val="ListBullet"/>
      </w:pPr>
      <w:r>
        <w:t xml:space="preserve">Effets Indésirables : (a) </w:t>
      </w:r>
      <w:r>
        <w:rPr>
          <w:b/>
        </w:rPr>
        <w:t>Asthénie, fatigue</w:t>
      </w:r>
      <w:r>
        <w:t xml:space="preserve"> (10-20%) ; (b) </w:t>
      </w:r>
      <w:r>
        <w:rPr>
          <w:b/>
        </w:rPr>
        <w:t>Céphalées</w:t>
      </w:r>
      <w:r>
        <w:t xml:space="preserve"> (5-15%) ; (c) </w:t>
      </w:r>
      <w:r>
        <w:rPr>
          <w:b/>
        </w:rPr>
        <w:t>Constipation</w:t>
      </w:r>
      <w:r>
        <w:t xml:space="preserve"> (5-10%) ; (d) </w:t>
      </w:r>
      <w:r>
        <w:rPr>
          <w:b/>
        </w:rPr>
        <w:t>Dyspepsie, nausées</w:t>
      </w:r>
      <w:r>
        <w:t xml:space="preserve"> (paradoxalement, en raison de la dose de dexaméthasone associée) ; (e) </w:t>
      </w:r>
      <w:r>
        <w:rPr>
          <w:b/>
        </w:rPr>
        <w:t>Élévation des transaminases</w:t>
      </w:r>
      <w:r>
        <w:t xml:space="preserve"> (rare, surveillance en cas de pathologie hépatique) ; (f) </w:t>
      </w:r>
      <w:r>
        <w:rPr>
          <w:b/>
        </w:rPr>
        <w:t>Allongement du QTc</w:t>
      </w:r>
      <w:r>
        <w:t xml:space="preserve"> (rare, à surveiller) ; (g) Réactions allergiques (rash, urticaire, exceptionnellement anaphylaxie — surtout avec la forme IV contenant du polysorbate 80) ; (h) Neutropénie, leucopénie (rare, en relation avec la chimiothérapie sous-jacente) ; (i) Rarement : syndrome sérotoninergique en association avec les antidépresseurs ISRS, IRSN, IMAO.</w:t>
      </w:r>
    </w:p>
    <w:p>
      <w:r/>
      <w:r>
        <w:rPr>
          <w:b/>
        </w:rPr>
        <w:t>Prévention et Gestion des Effets Indésirables :</w:t>
      </w:r>
      <w:r/>
    </w:p>
    <w:p>
      <w:pPr>
        <w:pStyle w:val="ListBullet"/>
      </w:pPr>
      <w:r>
        <w:t>Mesures Préventives : (a) Respect de la posologie (125 mg J1 + 80 mg J2-J3 per os, ou 150 mg fosaprépitant IV J1) ; (b) Surveillance des transaminases en cas de pathologie hépatique ; (c) ECG préalable en cas de terrain cardiaque ; (d) Éviter l'association avec les substrats à marge thérapeutique étroite du CYP3A4 (pimozide, terfénadine, astémizole, cisapride) ; (e) Adapter la posologie de la dexaméthasone associée (réduction à 12 mg J1 puis 8 mg J2-J4 au lieu de 20 mg J1 puis 8 mg/J2-J4 en raison de l'inhibition CYP3A4 par l'aprépitant qui majore l'AUC de la dexaméthasone de 2,2 à 2,5 fois) ; (f) Éviter la simvastatine pendant le traitement (risque de rhabdomyolyse par inhibition CYP3A4) ; (g) Surveiller l'INR pour la warfarine (aprépitant inhibe le CYP3A4 et majore l'INR) ; (h) Utiliser une contraception non hormonale pendant le traitement + 28 jours (induction CYP3A4 en fin de traitement réduisant l'efficacité des contraceptifs oraux) ; (i) Surveillance de la tolérance de la forme IV (réactions allergiques au polysorbate 80).</w:t>
      </w:r>
    </w:p>
    <w:p>
      <w:pPr>
        <w:pStyle w:val="ListBullet"/>
      </w:pPr>
      <w:r>
        <w:t>Conduite à Tenir : (a) En cas de céphalées : paracétamol ; (b) En cas de constipation : laxatifs osmotiques ; (c) En cas d'élévation importante des transaminases : arrêt, bilan hépatique ; (d) En cas de réaction allergique (surtout forme IV) : arrêt immédiat, antihistaminique, corticoïde, surveillance ; (e) En cas d'allongement du QTc : arrêt, ECG, correction électrolytique.</w:t>
      </w:r>
    </w:p>
    <w:p>
      <w:r/>
      <w:r>
        <w:rPr>
          <w:b/>
        </w:rPr>
        <w:t>Interactions Importantes :</w:t>
      </w:r>
      <w:r/>
    </w:p>
    <w:p>
      <w:pPr>
        <w:pStyle w:val="ListBullet"/>
      </w:pPr>
      <w:r/>
      <w:r>
        <w:rPr>
          <w:b/>
        </w:rPr>
        <w:t>Aprépitant + substrats du CYP3A4</w:t>
      </w:r>
      <w:r>
        <w:t xml:space="preserve"> (dexaméthasone, méthylprednisolone, midazolam, simvastatine, atorvastatine, lovastatine, ciclosporine, tacrolimus, sirolimus, everolimus, warfarine, inhibiteurs de protéase du VIH, contraceptifs oraux estroprogestatifs) : augmentation des concentrations de ces médicaments par inhibition CYP3A4 par l'aprépitant — </w:t>
      </w:r>
      <w:r>
        <w:rPr>
          <w:b/>
        </w:rPr>
        <w:t>adapter la posologie de la dexaméthasone (12 mg J1, 8 mg J2-J4), éviter la simvastatine, surveiller l'INR pour la warfarine, utiliser une contraception non hormonale pendant le traitement + 28 jours</w:t>
      </w:r>
      <w:r>
        <w:t>.</w:t>
      </w:r>
    </w:p>
    <w:p>
      <w:pPr>
        <w:pStyle w:val="ListBullet"/>
      </w:pPr>
      <w:r/>
      <w:r>
        <w:rPr>
          <w:b/>
        </w:rPr>
        <w:t>Aprépitant + pimozide, terfénadine, astémizole, cisapride</w:t>
      </w:r>
      <w:r>
        <w:t xml:space="preserve"> : risque majeur d'allongement QTc par inhibition CYP3A4 — </w:t>
      </w:r>
      <w:r>
        <w:rPr>
          <w:b/>
        </w:rPr>
        <w:t>CI absolue</w:t>
      </w:r>
      <w:r>
        <w:t>.</w:t>
      </w:r>
    </w:p>
    <w:p>
      <w:pPr>
        <w:pStyle w:val="ListBullet"/>
      </w:pPr>
      <w:r/>
      <w:r>
        <w:rPr>
          <w:b/>
        </w:rPr>
        <w:t>Aprépitant + inducteurs puissants du CYP3A4</w:t>
      </w:r>
      <w:r>
        <w:t xml:space="preserve"> (rifampicine, phénytoïne, carbamazépine, phénobarbital, millepertuis) : diminution des concentrations d'aprépitant — déconseillé, perte d'efficacité.</w:t>
      </w:r>
    </w:p>
    <w:p>
      <w:pPr>
        <w:pStyle w:val="ListBullet"/>
      </w:pPr>
      <w:r/>
      <w:r>
        <w:rPr>
          <w:b/>
        </w:rPr>
        <w:t>Aprépitant + inhibiteurs puissants du CYP3A4</w:t>
      </w:r>
      <w:r>
        <w:t xml:space="preserve"> (kétoconazole, itraconazole, clarithromycine, ritonavir) : augmentation des concentrations d'aprépitant — surveillance, adaptation possible.</w:t>
      </w:r>
    </w:p>
    <w:p>
      <w:pPr>
        <w:pStyle w:val="ListBullet"/>
      </w:pPr>
      <w:r/>
      <w:r>
        <w:rPr>
          <w:b/>
        </w:rPr>
        <w:t>Aprépitant + warfarine</w:t>
      </w:r>
      <w:r>
        <w:t xml:space="preserve"> : augmentation de l'INR par inhibition CYP3A4 — surveiller INR pendant et après traitement (jusqu'à 28 jours).</w:t>
      </w:r>
    </w:p>
    <w:p>
      <w:pPr>
        <w:pStyle w:val="ListBullet"/>
      </w:pPr>
      <w:r/>
      <w:r>
        <w:rPr>
          <w:b/>
        </w:rPr>
        <w:t>Aprépitant + tamoxifène</w:t>
      </w:r>
      <w:r>
        <w:t xml:space="preserve"> : diminution possible de l'efficacité du tamoxifène (inhibition de la conversion en métabolite actif endoxifène par le CYP2D6 et CYP3A4) — surveillance clinique.</w:t>
      </w:r>
    </w:p>
    <w:p>
      <w:pPr>
        <w:pStyle w:val="ListBullet"/>
      </w:pPr>
      <w:r/>
      <w:r>
        <w:rPr>
          <w:b/>
        </w:rPr>
        <w:t>Aprépitant + contraceptifs oraux estroprogestatifs</w:t>
      </w:r>
      <w:r>
        <w:t xml:space="preserve"> : diminution de l'efficacité contraceptive (induction CYP3A4 en fin de traitement) — utiliser une méthode complémentaire pendant le traitement + 28 jours.</w:t>
      </w:r>
    </w:p>
    <w:p>
      <w:pPr>
        <w:pStyle w:val="ListBullet"/>
      </w:pPr>
      <w:r/>
      <w:r>
        <w:rPr>
          <w:b/>
        </w:rPr>
        <w:t>Aprépitant + digoxine</w:t>
      </w:r>
      <w:r>
        <w:t xml:space="preserve"> : augmentation possible de l'absorption (substrat P-gp) — surveiller digoxinémie.</w:t>
      </w:r>
    </w:p>
    <w:p>
      <w:pPr>
        <w:pStyle w:val="ListBullet"/>
      </w:pPr>
      <w:r/>
      <w:r>
        <w:rPr>
          <w:b/>
        </w:rPr>
        <w:t>Aprépitant + paroxétine, fluoxétine, duloxétine</w:t>
      </w:r>
      <w:r>
        <w:t xml:space="preserve"> (antidépresseurs sérotoninergiques) : surveillance clinique (risque théorique de syndrome sérotoninergique).</w:t>
      </w:r>
    </w:p>
    <w:p>
      <w:r/>
      <w:r>
        <w:rPr>
          <w:b/>
        </w:rPr>
        <w:t>Grossesse et Allaitement :</w:t>
      </w:r>
      <w:r/>
    </w:p>
    <w:p>
      <w:pPr>
        <w:pStyle w:val="ListBullet"/>
      </w:pPr>
      <w:r>
        <w:t xml:space="preserve">Grossesse : Selon le CRAT, l'aprépitant et le fosaprépitant sont </w:t>
      </w:r>
      <w:r>
        <w:rPr>
          <w:b/>
        </w:rPr>
        <w:t>à éviter pendant la grossesse</w:t>
      </w:r>
      <w:r>
        <w:t xml:space="preserve"> par mesure de prudence (données limitées chez la femme enceinte, effets toxiques sur la reproduction animale à doses suprathérapeutiques). L'induction du CYP3A4 en fin de traitement pourrait modifier l'exposition fœtale à d'autres médicaments. Le bénéfice doit toujours être évalué (chimiothérapie fortement émétisante chez une femme enceinte — situation rare mais possible en cas de cancer découvert pendant la grossesse).</w:t>
      </w:r>
    </w:p>
    <w:p>
      <w:pPr>
        <w:pStyle w:val="ListBullet"/>
      </w:pPr>
      <w:r>
        <w:t xml:space="preserve">Allaitement : Selon le CRAT, l'aprépitant et le fosaprépitant sont </w:t>
      </w:r>
      <w:r>
        <w:rPr>
          <w:b/>
        </w:rPr>
        <w:t>à éviter pendant l'allaitement</w:t>
      </w:r>
      <w:r>
        <w:t xml:space="preserve"> en raison du passage probable dans le lait maternel (molécule lipophile) et de la longue demi-vie. Le fosaprépitant IV contenant du polysorbate 80, prudence particulière en cas d'allaitement.</w:t>
      </w:r>
    </w:p>
    <w:p>
      <w:pPr>
        <w:pStyle w:val="ListBullet"/>
      </w:pPr>
      <w:r>
        <w:t>Précisions : Risque fœtal principal = données limitées, prudence absolue. Contraception non hormonale obligatoire pendant traitement + 28 jours en raison de l'interaction avec les contraceptifs oraux.</w:t>
      </w:r>
    </w:p>
    <w:p>
      <w:r/>
      <w:r>
        <w:rPr>
          <w:b/>
        </w:rPr>
        <w:t>Posologie et Mode d'administration (Standard) :</w:t>
      </w:r>
      <w:r/>
    </w:p>
    <w:p>
      <w:pPr>
        <w:pStyle w:val="ListBullet"/>
      </w:pPr>
      <w:r>
        <w:t>Adulte — Prévention NVCI chimio fortement émétisante (schéma oral 3 jours) : 125 mg per os J1 (1 h avant chimiothérapie) puis 80 mg per os J2 et J3 (à heure fixe matinale), en association avec un antagoniste 5-HT3 (ondansétron 8 mg IV ou palonosétron 0,25 mg IV) à J1 et la dexaméthasone 12 mg J1 puis 8 mg J2-J4 (dose réduite en raison de l'inhibition CYP3A4 par l'aprépitant).</w:t>
      </w:r>
    </w:p>
    <w:p>
      <w:pPr>
        <w:pStyle w:val="ListBullet"/>
      </w:pPr>
      <w:r>
        <w:t>Adulte — Schéma IV alternatif : 150 mg fosaprépitant IV (en perfusion de 30 min) J1 (30 min avant chimiothérapie), en alternative à 125 mg per os, en association avec un antagoniste 5-HT3 et la dexaméthasone selon le même protocole (12 mg J1 puis 8 mg J2-J4). Le schéma IV ne nécessite pas de doses J2-J3 d'aprépitant (concentration résiduelle suffisante grâce à la longue demi-vie).</w:t>
      </w:r>
    </w:p>
    <w:p>
      <w:pPr>
        <w:pStyle w:val="ListBullet"/>
      </w:pPr>
      <w:r>
        <w:t>Sujet âgé : pas d'adaptation posologique formelle.</w:t>
      </w:r>
    </w:p>
    <w:p>
      <w:pPr>
        <w:pStyle w:val="ListBullet"/>
      </w:pPr>
      <w:r>
        <w:t>Enfant &gt; 6 mois — NVCI : schéma pondéral (3 mg/kg J1 puis 2 mg/kg J2-J3 per os, max 125 mg J1 puis 80 mg J2-J3) pour l'aprépitant ; fosaprépitant non indiqué chez l'enfant &lt; 18 ans.</w:t>
      </w:r>
    </w:p>
    <w:p>
      <w:pPr>
        <w:pStyle w:val="ListBullet"/>
      </w:pPr>
      <w:r>
        <w:t>Insuffisance hépatique légère à modérée : pas d'adaptation. Insuffisance hépatique sévère (Child-Pugh C) : éviter (données limitées).</w:t>
      </w:r>
    </w:p>
    <w:p>
      <w:pPr>
        <w:pStyle w:val="ListBullet"/>
      </w:pPr>
      <w:r>
        <w:t>Insuffisance rénale : pas d'adaptation nécessaire, y compris dialyse.</w:t>
      </w:r>
    </w:p>
    <w:p>
      <w:pPr>
        <w:pStyle w:val="ListBullet"/>
      </w:pPr>
      <w:r>
        <w:t>Durée : 3 jours pour le schéma oral (125 mg J1 + 80 mg J2-J3) ; 1 jour pour le schéma IV (150 mg fosaprépitant J1, en raison de la longue demi-vie).</w:t>
      </w:r>
    </w:p>
    <w:p>
      <w:pPr>
        <w:pStyle w:val="ListBullet"/>
      </w:pPr>
      <w:r>
        <w:t>Moment de prise : J1 : 1 heure avant la chimiothérapie (per os) ou 30 min avant la chimiothérapie (IV en perfusion 30 min) ; J2 et J3 : à heure fixe matinale (per os).</w:t>
      </w:r>
    </w:p>
    <w:p>
      <w:r/>
      <w:r>
        <w:rPr>
          <w:b/>
        </w:rPr>
        <w:t>Arbitrage et Bénéfices des Formes Galéniques :</w:t>
      </w:r>
      <w:r/>
    </w:p>
    <w:p>
      <w:pPr>
        <w:pStyle w:val="ListBullet"/>
      </w:pPr>
      <w:r/>
      <w:r>
        <w:rPr>
          <w:b/>
        </w:rPr>
        <w:t>Gélules orales 125 mg + 80 mg (schéma 3 jours)</w:t>
      </w:r>
      <w:r>
        <w:t xml:space="preserve"> (EMADIS Biopharm, XETREME Beker) : administration orale ambulatoire, kit complet pour le schéma 3 jours (1 gélule 125 mg + 2 gélules 80 mg). Forme pratique pour le patient en ville ou en hôpital de jour. Nécessite une observance stricte sur 3 jours.</w:t>
      </w:r>
    </w:p>
    <w:p>
      <w:pPr>
        <w:pStyle w:val="ListBullet"/>
      </w:pPr>
      <w:r/>
      <w:r>
        <w:rPr>
          <w:b/>
        </w:rPr>
        <w:t>Poudre pour solution pour perfusion 150 mg</w:t>
      </w:r>
      <w:r>
        <w:t xml:space="preserve"> (FOSAPREPITANT-SAIDAL, FOSAPREPITAL, FOSEMRED Dr Reddy's) : usage hospitalier (oncologie, hôpital de jour), administration IV en perfusion de 30 min, alternative à 125 mg per os J1. Pratique en cas de vomissements empêchant la voie orale, ou en cas de chimiothérapie en hospitalisation. Le fosaprépitant ne nécessite pas de doses J2-J3 (schéma 1 jour).</w:t>
      </w:r>
    </w:p>
    <w:p>
      <w:pPr>
        <w:pStyle w:val="ListBullet"/>
      </w:pPr>
      <w:r/>
      <w:r>
        <w:rPr>
          <w:b/>
        </w:rPr>
        <w:t>Forme IM</w:t>
      </w:r>
      <w:r>
        <w:t xml:space="preserve"> : non disponible en Algérie.</w:t>
      </w:r>
    </w:p>
    <w:p>
      <w:pPr>
        <w:pStyle w:val="ListBullet"/>
      </w:pPr>
      <w:r/>
      <w:r>
        <w:rPr>
          <w:b/>
        </w:rPr>
        <w:t>Forme pédiatrique</w:t>
      </w:r>
      <w:r>
        <w:t xml:space="preserve"> : suspension buvable non disponible en Algérie (accessible en importation dans certains pays européens).</w:t>
      </w:r>
    </w:p>
    <w:p>
      <w:r/>
      <w:r>
        <w:rPr>
          <w:b/>
        </w:rPr>
        <w:t>Instructions et Conseils au Patient :</w:t>
      </w:r>
      <w:r/>
    </w:p>
    <w:p>
      <w:pPr>
        <w:pStyle w:val="ListBullet"/>
      </w:pPr>
      <w:r>
        <w:t xml:space="preserve">Communication au comptoir : « Ce médicament prévient les nausées et vomissements liés à votre chimiothérapie. Il est pris </w:t>
      </w:r>
      <w:r>
        <w:rPr>
          <w:b/>
        </w:rPr>
        <w:t>1 heure avant</w:t>
      </w:r>
      <w:r>
        <w:t xml:space="preserve"> le début de la chimiothérapie (J1), puis à heure fixe le matin à J2 et J3 (schéma oral 3 jours). Ou par voie intraveineuse à l'hôpital (J1 seulement, schéma IV 1 jour). </w:t>
      </w:r>
      <w:r>
        <w:rPr>
          <w:b/>
        </w:rPr>
        <w:t>Il est associé à d'autres médicaments (antagoniste 5-HT3 + dexaméthasone) selon le protocole prescrit</w:t>
      </w:r>
      <w:r>
        <w:t xml:space="preserve">. Si vous ressentez des </w:t>
      </w:r>
      <w:r>
        <w:rPr>
          <w:b/>
        </w:rPr>
        <w:t>maux de tête, fatigue, constipation</w:t>
      </w:r>
      <w:r>
        <w:t xml:space="preserve">, prévenez votre médecin. </w:t>
      </w:r>
      <w:r>
        <w:rPr>
          <w:b/>
        </w:rPr>
        <w:t>Si vous prenez une contraception orale, utilisez une méthode complémentaire (préservatif) pendant le traitement + 28 jours</w:t>
      </w:r>
      <w:r>
        <w:t xml:space="preserve">. </w:t>
      </w:r>
      <w:r>
        <w:rPr>
          <w:b/>
        </w:rPr>
        <w:t>Si vous prenez de la warfarine, simvastatine, ou d'autres médicaments, prévenez votre médecin</w:t>
      </w:r>
      <w:r>
        <w:t xml:space="preserve"> (interactions possibles). Prévenez votre médecin si vous êtes enceinte ou allaitez. »</w:t>
      </w:r>
    </w:p>
    <w:p>
      <w:pPr>
        <w:pStyle w:val="ListBullet"/>
      </w:pPr>
      <w:r>
        <w:t>Mode d'utilisation pratique : (a) Prendre la gélule entière avec un verre d'eau, à heure fixe (J1 1 h avant chimio, J2 et J3 matin) ; (b) Respecter le schéma 3 jours (oral) ou 1 jour (IV) ; (c) Avertir le patient des signes d'alerte (céphalées sévères, asthénie marquée, élévations des transaminases) ; (d) Boire suffisamment d'eau et avoir une alimentation riche en fibres ; (e) Signaler tout autre traitement en cours (surtout statines, warfarine, contraception orale, antidépresseurs) ; (f) En cas de vomissement dans l'heure suivant la prise per os, reprendre une dose (avis médical).</w:t>
      </w:r>
    </w:p>
    <w:p>
      <w:r/>
      <w:r>
        <w:rPr>
          <w:b/>
        </w:rPr>
        <w:t>Notes, Règles d'Or &amp; Pièges au Comptoir :</w:t>
      </w:r>
      <w:r/>
    </w:p>
    <w:p>
      <w:pPr>
        <w:pStyle w:val="ListBullet"/>
      </w:pPr>
      <w:r>
        <w:t xml:space="preserve">Piège classique : </w:t>
      </w:r>
      <w:r>
        <w:rPr>
          <w:b/>
        </w:rPr>
        <w:t>Aprépitant + pimozide, terfénadine, astémizole, cisapride = CI absolue</w:t>
      </w:r>
      <w:r>
        <w:t xml:space="preserve"> (risque majeur d'allongement QTc par inhibition CYP3A4). Vérifier systématiquement les traitements associés.</w:t>
      </w:r>
    </w:p>
    <w:p>
      <w:pPr>
        <w:pStyle w:val="ListBullet"/>
      </w:pPr>
      <w:r>
        <w:t xml:space="preserve">Piège contraception orale : l'aprépitant </w:t>
      </w:r>
      <w:r>
        <w:rPr>
          <w:b/>
        </w:rPr>
        <w:t>modifie l'efficacité des contraceptifs oraux estroprogestatifs</w:t>
      </w:r>
      <w:r>
        <w:t xml:space="preserve"> (induction CYP3A4 en fin de traitement). Utiliser une méthode complémentaire (préservatif) pendant le traitement + 28 jours. Information essentielle à délivrer.</w:t>
      </w:r>
    </w:p>
    <w:p>
      <w:pPr>
        <w:pStyle w:val="ListBullet"/>
      </w:pPr>
      <w:r>
        <w:t xml:space="preserve">Piège dexaméthasone : l'aprépitant </w:t>
      </w:r>
      <w:r>
        <w:rPr>
          <w:b/>
        </w:rPr>
        <w:t>inhibe le CYP3A4 et majore l'AUC de la dexaméthasone de 2,2 à 2,5 fois</w:t>
      </w:r>
      <w:r>
        <w:t>. Réduire la dose dexaméthasone à 12 mg J1 puis 8 mg J2-J4 (au lieu de 20 mg J1 puis 8 mg/J2-J4 dans le protocole sans aprépitant). Vérifier systématiquement la dose de dexaméthasone prescrite.</w:t>
      </w:r>
    </w:p>
    <w:p>
      <w:pPr>
        <w:pStyle w:val="ListBullet"/>
      </w:pPr>
      <w:r>
        <w:t>Piège statines : éviter la simvastatine pendant le traitement (risque de rhabdomyolyse par inhibition CYP3A4), surveiller atorvastatine et lovastatine.</w:t>
      </w:r>
    </w:p>
    <w:p>
      <w:pPr>
        <w:pStyle w:val="ListBullet"/>
      </w:pPr>
      <w:r>
        <w:t>Piège warfarine : surveiller l'INR pendant et après le traitement (jusqu'à 28 jours, en raison de la longue demi-vie de l'aprépitant).</w:t>
      </w:r>
    </w:p>
    <w:p>
      <w:pPr>
        <w:pStyle w:val="ListBullet"/>
      </w:pPr>
      <w:r>
        <w:t>Piège tamoxifène : surveillance clinique en cas d'association (diminution possible de l'efficacité par inhibition du CYP2D6 et CYP3A4).</w:t>
      </w:r>
    </w:p>
    <w:p>
      <w:pPr>
        <w:pStyle w:val="ListBullet"/>
      </w:pPr>
      <w:r>
        <w:t>Règle de prise : J1 1 heure avant chimiothérapie (per os) ou 30 min avant (IV perfusion 30 min) ; J2 et J3 à heure fixe matinale.</w:t>
      </w:r>
    </w:p>
    <w:p>
      <w:pPr>
        <w:pStyle w:val="ListBullet"/>
      </w:pPr>
      <w:r>
        <w:t>Préparation et Conservation : gélules à température ambiante &lt; 25°C, à l'abri de l'humidité ; poudre lyophilisée pour perfusion à conserver à température ambiante, à reconstituer extemporanément avec le solvant fourni (NaCl 0,9% ou D5%), à utiliser dans les 24 h après reconstitution (conservation au réfrigérateur).</w:t>
      </w:r>
    </w:p>
    <w:p>
      <w:pPr>
        <w:pStyle w:val="ListBullet"/>
      </w:pPr>
      <w:r>
        <w:t>Piège du surdosage / Substitution : ne pas substituer aprépitant per os par fosaprépitant IV sans adapter le schéma (fosaprépitant 150 mg IV J1 en monoprise, pas de doses J2-J3). En cas de non-disponibilité de l'aprépitant/fosaprépitant en Algérie, le protocole alternatif sans NK1 est : ondansétron 8 mg IV J1 + dexaméthasone 20 mg J1 puis 8 mg/J2-J4 (protocole MASCC/ESMO standard sans NK1, moins efficace sur la phase retardée). L'association AKYNZEO (netupitant 300 mg + palonosétron 0,5 mg per os J1) est une alternative orale combinant NK1 + 5-HT3 en une gélule unique.</w:t>
      </w:r>
    </w:p>
    <w:p>
      <w:pPr>
        <w:pStyle w:val="Heading2"/>
      </w:pPr>
      <w:r>
        <w:t>8. DCI : Prométhazine (seule)</w:t>
      </w:r>
    </w:p>
    <w:p>
      <w:r/>
      <w:r>
        <w:rPr>
          <w:b/>
        </w:rPr>
        <w:t>Liste des Catégories :</w:t>
      </w:r>
      <w:r>
        <w:t xml:space="preserve"> Liste I — antiémétique phénothiazine H1, antihistaminique H1 sédatif de première génération.</w:t>
      </w:r>
    </w:p>
    <w:p>
      <w:r>
        <w:t xml:space="preserve">La prométhazine est un dérivé phénothiazinique à chaîne latérale aliphatique qui se distingue des neuroleptiques classiques (chlorpromazine) par une affinité dominante pour les récepteurs histaminergiques H1 centraux. Sa signature pharmacologique est </w:t>
      </w:r>
      <w:r>
        <w:rPr>
          <w:b/>
        </w:rPr>
        <w:t>H1 ≫ D2 &gt; mACh &gt; 5-HT2A</w:t>
      </w:r>
      <w:r>
        <w:t xml:space="preserve">, ce qui en fait avant tout un antihistaminique H1 sédatif à activité antiémétique, plutôt qu'un antipsychotique. Sa pharmacocinétique est caractérisée par une biodisponibilité orale de 25% (effet de premier passage important), un pic plasmatique à 2-3 h, une </w:t>
      </w:r>
      <w:r>
        <w:rPr>
          <w:b/>
        </w:rPr>
        <w:t>demi-vie d'élimination prolongée de 10-14 h</w:t>
      </w:r>
      <w:r>
        <w:t>, un métabolisme hépatique principal (CYP2D6), et une élimination rénale et fécale. La liaison aux protéines plasmatiques est de 93%. La prométhazine traverse largement la BHE (à l'origine de ses effets centraux : sédation, antiémétique, anticholinergique) et la barrière placentaire.</w:t>
      </w:r>
    </w:p>
    <w:p>
      <w:r/>
      <w:r>
        <w:rPr>
          <w:b/>
        </w:rPr>
        <w:t>Médicaments disponibles en Algérie (Marques, Laboratoires, Formes et Dosages) :</w:t>
      </w:r>
      <w:r/>
    </w:p>
    <w:p>
      <w:pPr>
        <w:pStyle w:val="ListBullet"/>
      </w:pPr>
      <w:r/>
      <w:r>
        <w:rPr>
          <w:b/>
        </w:rPr>
        <w:t>PRANOK</w:t>
      </w:r>
      <w:r>
        <w:t xml:space="preserve"> (GLOBAL PHARMATECH PRIVATE LIMITED)</w:t>
      </w:r>
    </w:p>
    <w:p>
      <w:pPr>
        <w:pStyle w:val="ListBullet"/>
      </w:pPr>
      <w:r>
        <w:t>Formes et Dosages : Solution injectable 50 mg/2 mL (B/100 ampoules de 2 mL)</w:t>
      </w:r>
    </w:p>
    <w:p>
      <w:pPr>
        <w:pStyle w:val="ListBullet"/>
      </w:pPr>
      <w:r>
        <w:t>Statut : ACTIF (Liste I)</w:t>
      </w:r>
    </w:p>
    <w:p>
      <w:pPr>
        <w:pStyle w:val="ListBullet"/>
      </w:pPr>
      <w:r/>
      <w:r>
        <w:rPr>
          <w:b/>
        </w:rPr>
        <w:t>PHENERGAN</w:t>
      </w:r>
      <w:r>
        <w:t xml:space="preserve"> (FRILAB PHARMA)</w:t>
      </w:r>
    </w:p>
    <w:p>
      <w:pPr>
        <w:pStyle w:val="ListBullet"/>
      </w:pPr>
      <w:r>
        <w:t>Formes et Dosages : Solution injectable 50 mg (B/5 ampoules) ; Comprimé 25 mg (B/20)</w:t>
      </w:r>
    </w:p>
    <w:p>
      <w:pPr>
        <w:pStyle w:val="ListBullet"/>
      </w:pPr>
      <w:r>
        <w:t>Statut : RETRAIT (R)</w:t>
      </w:r>
    </w:p>
    <w:p>
      <w:pPr>
        <w:pStyle w:val="ListBullet"/>
      </w:pPr>
      <w:r/>
      <w:r>
        <w:rPr>
          <w:b/>
        </w:rPr>
        <w:t>PROMETHAZINE HCL</w:t>
      </w:r>
      <w:r>
        <w:t xml:space="preserve"> (CHINA MEHECO)</w:t>
      </w:r>
    </w:p>
    <w:p>
      <w:pPr>
        <w:pStyle w:val="ListBullet"/>
      </w:pPr>
      <w:r>
        <w:t>Formes et Dosages : Solution injectable 50 mg (B/100 ampoules de 2 mL)</w:t>
      </w:r>
    </w:p>
    <w:p>
      <w:pPr>
        <w:pStyle w:val="ListBullet"/>
      </w:pPr>
      <w:r>
        <w:t>Statut : RETRAIT (R)</w:t>
      </w:r>
    </w:p>
    <w:p>
      <w:pPr>
        <w:pStyle w:val="ListBullet"/>
      </w:pPr>
      <w:r/>
      <w:r>
        <w:rPr>
          <w:b/>
        </w:rPr>
        <w:t>HISTAZIN</w:t>
      </w:r>
      <w:r>
        <w:t xml:space="preserve"> (UNITED PHARMACEUTICAL MANUFACTURING — UPM)</w:t>
      </w:r>
    </w:p>
    <w:p>
      <w:pPr>
        <w:pStyle w:val="ListBullet"/>
      </w:pPr>
      <w:r>
        <w:t>Formes et Dosages : Sirop 5 mg/5 mL (flacon 125 mL) ; Comprimé 25 mg (B/20)</w:t>
      </w:r>
    </w:p>
    <w:p>
      <w:pPr>
        <w:pStyle w:val="ListBullet"/>
      </w:pPr>
      <w:r>
        <w:t>Statut : RETRAIT (R)</w:t>
      </w:r>
    </w:p>
    <w:p>
      <w:pPr>
        <w:pStyle w:val="ListBullet"/>
      </w:pPr>
      <w:r/>
      <w:r>
        <w:rPr>
          <w:b/>
        </w:rPr>
        <w:t>PHENAZINE</w:t>
      </w:r>
      <w:r>
        <w:t xml:space="preserve"> (SANAMED)</w:t>
      </w:r>
    </w:p>
    <w:p>
      <w:pPr>
        <w:pStyle w:val="ListBullet"/>
      </w:pPr>
      <w:r>
        <w:t>Formes et Dosages : Comprimé 25 mg (B/20)</w:t>
      </w:r>
    </w:p>
    <w:p>
      <w:pPr>
        <w:pStyle w:val="ListBullet"/>
      </w:pPr>
      <w:r>
        <w:t>Statut : RETRAIT (R)</w:t>
      </w:r>
    </w:p>
    <w:p>
      <w:r/>
      <w:r>
        <w:rPr>
          <w:b/>
        </w:rPr>
        <w:t>Sous-classe et Mécanisme d'action :</w:t>
      </w:r>
      <w:r/>
    </w:p>
    <w:p>
      <w:pPr>
        <w:pStyle w:val="ListBullet"/>
      </w:pPr>
      <w:r>
        <w:t>Sous-classe : Antiémétique de la famille des phénothiazines (neuroleptique classique), antihistaminique H1 de première génération sédatif, antiémétique à activité multi-récepteurs (H1 + D2 + mACh + 5-HT2A).</w:t>
      </w:r>
    </w:p>
    <w:p>
      <w:pPr>
        <w:pStyle w:val="ListBullet"/>
      </w:pPr>
      <w:r>
        <w:t xml:space="preserve">Mécanisme d'action : La prométhazine exerce son action antiémétique par quatre mécanismes complémentaires. (1) </w:t>
      </w:r>
      <w:r>
        <w:rPr>
          <w:b/>
        </w:rPr>
        <w:t>Blocage des récepteurs H1 centraux</w:t>
      </w:r>
      <w:r>
        <w:t xml:space="preserve"> (NTS, vestibule, CTZ) — inhibe la composante histaminergique du réflexe émétique et de la cinétose ; c'est le mécanisme dominant. (2) </w:t>
      </w:r>
      <w:r>
        <w:rPr>
          <w:b/>
        </w:rPr>
        <w:t>Blocage des récepteurs D2 du CTZ</w:t>
      </w:r>
      <w:r>
        <w:t xml:space="preserve"> (area postrema) — à l'instar de la métoclopramide mais avec moindre affinité, inhibe le réflexe émétique déclenché par les stimuli dopaminergiques. (3) </w:t>
      </w:r>
      <w:r>
        <w:rPr>
          <w:b/>
        </w:rPr>
        <w:t>Blocage des récepteurs muscariniques mACh centraux</w:t>
      </w:r>
      <w:r>
        <w:t xml:space="preserve"> — à l'origine de l'effet anticholinergique central (sécheresse buccale, mydriase, rétention urinaire, tachycardie) et de l'effet antivertigineux. (4) </w:t>
      </w:r>
      <w:r>
        <w:rPr>
          <w:b/>
        </w:rPr>
        <w:t>Blocage des récepteurs 5-HT2A centraux</w:t>
      </w:r>
      <w:r>
        <w:t xml:space="preserve"> — modeste, participe à l'effet antiémétique et sédatif. Cette signature multi-récepteurs confère à la prométhazine une efficacité particulière dans les nausées et vomissements d'origine vestibulaire (cinétoses, maladie de Ménière, vertiges), dans les vomissements postopératoires, et dans certaines nausées gravidiques sévères (en deuxième intention après échec des anti-H1 non phénothiaziniques comme la doxylamine). L'effet sédatif H1 central marqué en fait également un hypnotique et un anxiolytique d'action rapide.</w:t>
      </w:r>
    </w:p>
    <w:p>
      <w:r/>
      <w:r>
        <w:rPr>
          <w:b/>
        </w:rPr>
        <w:t>Profil Pharmacologique :</w:t>
      </w:r>
      <w:r/>
    </w:p>
    <w:p>
      <w:pPr>
        <w:pStyle w:val="ListBullet"/>
      </w:pPr>
      <w:r>
        <w:t xml:space="preserve">Indications : (a) </w:t>
      </w:r>
      <w:r>
        <w:rPr>
          <w:b/>
        </w:rPr>
        <w:t>Nausées et vomissements d'origine vestibulaire</w:t>
      </w:r>
      <w:r>
        <w:t xml:space="preserve"> (cinétoses, maladie de Ménière, vertiges) — traitement symptomatique ; (b) </w:t>
      </w:r>
      <w:r>
        <w:rPr>
          <w:b/>
        </w:rPr>
        <w:t>Vomissements post-opératoires</w:t>
      </w:r>
      <w:r>
        <w:t xml:space="preserve"> — prévention et traitement ; (c) </w:t>
      </w:r>
      <w:r>
        <w:rPr>
          <w:b/>
        </w:rPr>
        <w:t>Nausées gravidiques sévères</w:t>
      </w:r>
      <w:r>
        <w:t xml:space="preserve"> en deuxième intention après échec des anti-H1 non phénothiaziniques (doxylamine + pyridoxine) ; (d) </w:t>
      </w:r>
      <w:r>
        <w:rPr>
          <w:b/>
        </w:rPr>
        <w:t>Insomnie occasionnelle</w:t>
      </w:r>
      <w:r>
        <w:t xml:space="preserve"> (effet sédatif H1 central) — usage de courte durée ; (e) </w:t>
      </w:r>
      <w:r>
        <w:rPr>
          <w:b/>
        </w:rPr>
        <w:t>Prémédication anesthésique</w:t>
      </w:r>
      <w:r>
        <w:t xml:space="preserve"> (effet sédatif, antiémétique, antihistaminique) ; (f) </w:t>
      </w:r>
      <w:r>
        <w:rPr>
          <w:b/>
        </w:rPr>
        <w:t>Réactions allergiques</w:t>
      </w:r>
      <w:r>
        <w:t xml:space="preserve"> (urticaire, angio-oedème) en alternative aux anti-H1 de seconde génération ; (g) Hors AMM : sédation en réanimation pédiatrique.</w:t>
      </w:r>
    </w:p>
    <w:p>
      <w:pPr>
        <w:pStyle w:val="ListBullet"/>
      </w:pPr>
      <w:r>
        <w:t xml:space="preserve">Contre-indications : (a) Hypersensibilité à la prométhazine ou aux phénothiazines ; (b) </w:t>
      </w:r>
      <w:r>
        <w:rPr>
          <w:b/>
        </w:rPr>
        <w:t>Nourrisson &lt; 2 ans</w:t>
      </w:r>
      <w:r>
        <w:t xml:space="preserve"> — </w:t>
      </w:r>
      <w:r>
        <w:rPr>
          <w:b/>
        </w:rPr>
        <w:t>CI absolue</w:t>
      </w:r>
      <w:r>
        <w:t xml:space="preserve"> (risque de mort subite, dépression respiratoire) ; (c) Insuffisance respiratoire sévère, apnée du sommeil ; (d) Glaucome à angle fermé (effet anticholinergique) ; (e) Hypertrophie bénigne de la prostate avec rétention urinaire (effet anticholinergique) ; (f) Sténose pylorique ou duodénale (effet anticholinergique) ; (g) Épilepsie non contrôlée (abaissement du seuil épileptogène) ; (h) Myasthénie (effet anticholinergique) ; (i) Allaitement (à éviter) ; (j) Association avec l'alcool ou autres dépresseurs centraux ; (k) Association avec les IMAO (risque d'hyperthermie, hypertension, convulsions) ; (l) Sujet âgé fragile (altération marquée de la vigilance, risque de chute) — prudence extrême.</w:t>
      </w:r>
    </w:p>
    <w:p>
      <w:pPr>
        <w:pStyle w:val="ListBullet"/>
      </w:pPr>
      <w:r>
        <w:t xml:space="preserve">Effets Indésirables : (a) </w:t>
      </w:r>
      <w:r>
        <w:rPr>
          <w:b/>
        </w:rPr>
        <w:t>Somnolence marquée</w:t>
      </w:r>
      <w:r>
        <w:t xml:space="preserve"> (effet H1 central principal — altération de la vigilance, conduite et activités à risque) ; (b) </w:t>
      </w:r>
      <w:r>
        <w:rPr>
          <w:b/>
        </w:rPr>
        <w:t>Effets anticholinergiques</w:t>
      </w:r>
      <w:r>
        <w:t xml:space="preserve"> (sécheresse buccale, mydriase, trouble de l'accommodation, rétention urinaire, tachycardie, constipation) ; (c) </w:t>
      </w:r>
      <w:r>
        <w:rPr>
          <w:b/>
        </w:rPr>
        <w:t>Hypotension orthostatique</w:t>
      </w:r>
      <w:r>
        <w:t xml:space="preserve"> (effet alpha-1 adrénergique) ; (d) </w:t>
      </w:r>
      <w:r>
        <w:rPr>
          <w:b/>
        </w:rPr>
        <w:t>Allongement du QTc</w:t>
      </w:r>
      <w:r>
        <w:t xml:space="preserve"> (à surveiller ECG si terrain cardiaque) ; (e) </w:t>
      </w:r>
      <w:r>
        <w:rPr>
          <w:b/>
        </w:rPr>
        <w:t>Réactions paradoxales d'agitation</w:t>
      </w:r>
      <w:r>
        <w:t xml:space="preserve"> chez le sujet âgé (confusion, désorientation, agitation) ; (f) </w:t>
      </w:r>
      <w:r>
        <w:rPr>
          <w:b/>
        </w:rPr>
        <w:t>Effets extrapyramidaux</w:t>
      </w:r>
      <w:r>
        <w:t xml:space="preserve"> (rares, à forte dose ou terrain vulnérable — dystonie aiguë, akathisie) ; (g) Photosensibilité cutanée (protection solaire recommandée) ; (h) Syndrome malin des neuroleptiques (très rare) ; (i) Hyperprolactinémie (rare, faible affinité D2) ; (j) Réactions allergiques (rash, urticaire, exceptionnellement anaphylaxie, photosensibilité) ; (k) Chez l'enfant : risque de dépression respiratoire, mort subite du nourrisson (&lt; 2 ans).</w:t>
      </w:r>
    </w:p>
    <w:p>
      <w:r/>
      <w:r>
        <w:rPr>
          <w:b/>
        </w:rPr>
        <w:t>Prévention et Gestion des Effets Indésirables :</w:t>
      </w:r>
      <w:r/>
    </w:p>
    <w:p>
      <w:pPr>
        <w:pStyle w:val="ListBullet"/>
      </w:pPr>
      <w:r>
        <w:t xml:space="preserve">Mesures Préventives : (a) Posologie minimale efficace, particulièrement chez le sujet âgé (réduction à 25% de la dose adulte) ; (b) </w:t>
      </w:r>
      <w:r>
        <w:rPr>
          <w:b/>
        </w:rPr>
        <w:t>CI absolue chez le nourrisson &lt; 2 ans</w:t>
      </w:r>
      <w:r>
        <w:t xml:space="preserve"> — ne jamais délivrer ; (c) Prudence chez le sujet âgé (risque de chute, confusion) — préférer les anti-H1 de seconde génération ; (d) Éviter la prise pendant la conduite ou les activités à risque (altération marquée de la vigilance) ; (e) Éviter l'association avec l'alcool et les dépresseurs centraux (benzodiazépines, opioïdes, antihistaminiques H1 de 1re génération) ; (f) Vérifier l'absence de glaucome, d'hypertrophie prostatique, d'insuffisance respiratoire ; (g) Surveillance ECG si terrain cardiaque ; (h) Protection solaire en cas d'exposition ; (i) Hydratation et alimentation riche en fibres (prévenir la constipation et la sécheresse buccale).</w:t>
      </w:r>
    </w:p>
    <w:p>
      <w:pPr>
        <w:pStyle w:val="ListBullet"/>
      </w:pPr>
      <w:r>
        <w:t>Conduite à Tenir : (a) En cas de somnolence excessive : arrêt ou réduction de dose, préférer un anti-H1 de seconde génération ; (b) En cas de rétention urinaire : arrêt, sondage vésical temporaire si nécessaire ; (c) En cas d'hypotension orthostatique : arrêt, réhydratation, lever progressif ; (d) En cas de réaction paradoxale d'agitation : arrêt, alternative par anti-H1 de seconde génération ; (e) En cas d'allongement du QTc : arrêt, ECG, correction électrolytique ; (f) En cas d'effets extrapyramidaux : arrêt, anticholinergique (trihexyphénidyle) ; (g) En cas de convulsions : arrêt, traitement antiépileptique.</w:t>
      </w:r>
    </w:p>
    <w:p>
      <w:r/>
      <w:r>
        <w:rPr>
          <w:b/>
        </w:rPr>
        <w:t>Interactions Importantes :</w:t>
      </w:r>
      <w:r/>
    </w:p>
    <w:p>
      <w:pPr>
        <w:pStyle w:val="ListBullet"/>
      </w:pPr>
      <w:r/>
      <w:r>
        <w:rPr>
          <w:b/>
        </w:rPr>
        <w:t>Prométhazine + alcool</w:t>
      </w:r>
      <w:r>
        <w:t xml:space="preserve"> : potentialisation majeure de la sédation et de l'altération de la vigilance — </w:t>
      </w:r>
      <w:r>
        <w:rPr>
          <w:b/>
        </w:rPr>
        <w:t>à éviter absolument</w:t>
      </w:r>
      <w:r>
        <w:t>.</w:t>
      </w:r>
    </w:p>
    <w:p>
      <w:pPr>
        <w:pStyle w:val="ListBullet"/>
      </w:pPr>
      <w:r/>
      <w:r>
        <w:rPr>
          <w:b/>
        </w:rPr>
        <w:t>Prométhazine + dépresseurs centraux</w:t>
      </w:r>
      <w:r>
        <w:t xml:space="preserve"> (benzodiazépines, opioïdes, antihistaminiques H1 de 1re génération, barbituriques, gabapentinoïdes) : potentialisation de la sédation — surveillance, déconseillée.</w:t>
      </w:r>
    </w:p>
    <w:p>
      <w:pPr>
        <w:pStyle w:val="ListBullet"/>
      </w:pPr>
      <w:r/>
      <w:r>
        <w:rPr>
          <w:b/>
        </w:rPr>
        <w:t>Prométhazine + IMAO</w:t>
      </w:r>
      <w:r>
        <w:t xml:space="preserve"> (phénelzine, tranylcypromine, moclobémide) : risque d'hyperthermie, hypertension, convulsions — </w:t>
      </w:r>
      <w:r>
        <w:rPr>
          <w:b/>
        </w:rPr>
        <w:t>CI absolue</w:t>
      </w:r>
      <w:r>
        <w:t xml:space="preserve"> (en raison de l'activité anticholinergique).</w:t>
      </w:r>
    </w:p>
    <w:p>
      <w:pPr>
        <w:pStyle w:val="ListBullet"/>
      </w:pPr>
      <w:r/>
      <w:r>
        <w:rPr>
          <w:b/>
        </w:rPr>
        <w:t>Prométhazine + anticholinergiques</w:t>
      </w:r>
      <w:r>
        <w:t xml:space="preserve"> (atropine, trihexyphénidyle, tropatépine, antidépresseurs tricycliques, IMAO-A) : addition des effets anticholinergiques — déconseillée.</w:t>
      </w:r>
    </w:p>
    <w:p>
      <w:pPr>
        <w:pStyle w:val="ListBullet"/>
      </w:pPr>
      <w:r/>
      <w:r>
        <w:rPr>
          <w:b/>
        </w:rPr>
        <w:t>Prométhazine + allongeurs QT</w:t>
      </w:r>
      <w:r>
        <w:t xml:space="preserve"> (amiodarone, sotalol, halopéridol, dropéridol, méthadone, antidépresseurs tricycliques) : addition des effets sur le QTc — surveillance ECG.</w:t>
      </w:r>
    </w:p>
    <w:p>
      <w:pPr>
        <w:pStyle w:val="ListBullet"/>
      </w:pPr>
      <w:r/>
      <w:r>
        <w:rPr>
          <w:b/>
        </w:rPr>
        <w:t>Prométhazine + inhibiteurs CYP2D6</w:t>
      </w:r>
      <w:r>
        <w:t xml:space="preserve"> (paroxétine, fluoxétine, bupropion, quinidine) : augmentation possible des concentrations de prométhazine — surveillance.</w:t>
      </w:r>
    </w:p>
    <w:p>
      <w:pPr>
        <w:pStyle w:val="ListBullet"/>
      </w:pPr>
      <w:r/>
      <w:r>
        <w:rPr>
          <w:b/>
        </w:rPr>
        <w:t>Prométhazine + épinéphrine/norépinéphrine</w:t>
      </w:r>
      <w:r>
        <w:t xml:space="preserve"> : inversion de l'effet vasopresseur (la prométhazine a un effet alpha-bloquant qui peut inverser l'effet de l'épinéphrine en vasodilatation — utiliser la norépinéphrine ou la phényléphrine en cas de choc).</w:t>
      </w:r>
    </w:p>
    <w:p>
      <w:pPr>
        <w:pStyle w:val="ListBullet"/>
      </w:pPr>
      <w:r/>
      <w:r>
        <w:rPr>
          <w:b/>
        </w:rPr>
        <w:t>Prométhazine + lithium</w:t>
      </w:r>
      <w:r>
        <w:t xml:space="preserve"> : risque de syndrome neuroleptique malin et de confusion.</w:t>
      </w:r>
    </w:p>
    <w:p>
      <w:pPr>
        <w:pStyle w:val="ListBullet"/>
      </w:pPr>
      <w:r/>
      <w:r>
        <w:rPr>
          <w:b/>
        </w:rPr>
        <w:t>Prométhazine + antabuse (disulfirame)</w:t>
      </w:r>
      <w:r>
        <w:t xml:space="preserve"> : risque d'effets antabuse majoré.</w:t>
      </w:r>
    </w:p>
    <w:p>
      <w:r/>
      <w:r>
        <w:rPr>
          <w:b/>
        </w:rPr>
        <w:t>Grossesse et Allaitement :</w:t>
      </w:r>
      <w:r/>
    </w:p>
    <w:p>
      <w:pPr>
        <w:pStyle w:val="ListBullet"/>
      </w:pPr>
      <w:r>
        <w:t xml:space="preserve">Grossesse : Selon le CRAT, la prométhazine est </w:t>
      </w:r>
      <w:r>
        <w:rPr>
          <w:b/>
        </w:rPr>
        <w:t>compatible pendant la grossesse</w:t>
      </w:r>
      <w:r>
        <w:t xml:space="preserve"> en cas de nécessité, mais à éviter au 1er trimestre par mesure de prudence (données limitées, possible association modeste avec des malformations). Aux 2e et 3e trimestres, l'usage ponctuel est possible. À la fin du 3e trimestre, surveillance du nouveau-né en cas d'usage prolongé ou dose élevée (risque théorique de sédation, hypotension, détresse respiratoire). Préférer les anti-H1 non phénothiaziniques (doxylamine + pyridoxine) en 1re intention pour les nausées gravidiques. Le bénéfice doit toujours être évalué.</w:t>
      </w:r>
    </w:p>
    <w:p>
      <w:pPr>
        <w:pStyle w:val="ListBullet"/>
      </w:pPr>
      <w:r>
        <w:t xml:space="preserve">Allaitement : Selon le CRAT, la prométhazine est </w:t>
      </w:r>
      <w:r>
        <w:rPr>
          <w:b/>
        </w:rPr>
        <w:t>à éviter pendant l'allaitement</w:t>
      </w:r>
      <w:r>
        <w:t xml:space="preserve"> en raison du passage dans le lait maternel (rapport lait/plasma ≈ 2-3) et du risque de sédation excessive chez le nouveau-né. Préférer les anti-H1 de seconde génération compatibles avec l'allaitement (loratadine, cétirizine) si antihistaminique nécessaire, ou la dompéridone si antiémétique nécessaire.</w:t>
      </w:r>
    </w:p>
    <w:p>
      <w:pPr>
        <w:pStyle w:val="ListBullet"/>
      </w:pPr>
      <w:r>
        <w:t>Précisions : Risque fœtal principal = sédation, hypotension, détresse respiratoire en cas d'usage prolongé en fin de grossesse. CI absolue chez le nourrisson &lt; 2 ans (mort subite).</w:t>
      </w:r>
    </w:p>
    <w:p>
      <w:r/>
      <w:r>
        <w:rPr>
          <w:b/>
        </w:rPr>
        <w:t>Posologie et Mode d'administration (Standard) :</w:t>
      </w:r>
      <w:r/>
    </w:p>
    <w:p>
      <w:pPr>
        <w:pStyle w:val="ListBullet"/>
      </w:pPr>
      <w:r>
        <w:t>Adulte — Antiémétique / antivertigineux : 25 mg per os x 2-3/jour, ou 50 mg IM/IV en injection unique (à renouveler si nécessaire à 4-6 h d'intervalle, max 100 mg/24 h en injection).</w:t>
      </w:r>
    </w:p>
    <w:p>
      <w:pPr>
        <w:pStyle w:val="ListBullet"/>
      </w:pPr>
      <w:r>
        <w:t>Adulte — Insomnie occasionnelle : 25 mg per os au coucher (effet sédatif).</w:t>
      </w:r>
    </w:p>
    <w:p>
      <w:pPr>
        <w:pStyle w:val="ListBullet"/>
      </w:pPr>
      <w:r>
        <w:t>Adulte — Prémédication anesthésique : 25-50 mg IM 1-2 h avant l'intervention.</w:t>
      </w:r>
    </w:p>
    <w:p>
      <w:pPr>
        <w:pStyle w:val="ListBullet"/>
      </w:pPr>
      <w:r>
        <w:t>Sujet âgé : réduction à 25-50% de la dose adulte (12,5-25 mg per os x 2/jour), surveillance neurologique accrue (risque de chute, confusion).</w:t>
      </w:r>
    </w:p>
    <w:p>
      <w:pPr>
        <w:pStyle w:val="ListBullet"/>
      </w:pPr>
      <w:r>
        <w:t>Enfant &gt; 2 ans et &lt; 10 ans : 0,25-0,5 mg/kg x 2-3/jour per os (antiémétique) ; 0,5 mg/kg IM (antiémétique). CI &lt; 2 ans.</w:t>
      </w:r>
    </w:p>
    <w:p>
      <w:pPr>
        <w:pStyle w:val="ListBullet"/>
      </w:pPr>
      <w:r>
        <w:t>Insuffisance rénale : pas d'adaptation formelle, prudence.</w:t>
      </w:r>
    </w:p>
    <w:p>
      <w:pPr>
        <w:pStyle w:val="ListBullet"/>
      </w:pPr>
      <w:r>
        <w:t>Insuffisance hépatique : pas d'adaptation formelle, prudence (métabolisme hépatique).</w:t>
      </w:r>
    </w:p>
    <w:p>
      <w:pPr>
        <w:pStyle w:val="ListBullet"/>
      </w:pPr>
      <w:r>
        <w:t>Durée : courte durée recommandée (quelques jours pour l'antiémétique, &lt; 2 semaines pour l'insomnie). À éviter en traitement prolongé.</w:t>
      </w:r>
    </w:p>
    <w:p>
      <w:pPr>
        <w:pStyle w:val="ListBullet"/>
      </w:pPr>
      <w:r>
        <w:t>Moment de prise : pour l'antiémétique : pendant ou après les repas ; pour l'insomnie : au coucher ; pour la prémédication : 1-2 h avant l'intervention.</w:t>
      </w:r>
    </w:p>
    <w:p>
      <w:r/>
      <w:r>
        <w:rPr>
          <w:b/>
        </w:rPr>
        <w:t>Arbitrage et Bénéfices des Formes Galéniques :</w:t>
      </w:r>
      <w:r/>
    </w:p>
    <w:p>
      <w:pPr>
        <w:pStyle w:val="ListBullet"/>
      </w:pPr>
      <w:r/>
      <w:r>
        <w:rPr>
          <w:b/>
        </w:rPr>
        <w:t>Solution injectable 50 mg/2 mL</w:t>
      </w:r>
      <w:r>
        <w:t xml:space="preserve"> (PRANOK actif ; PHENERGAN, PROMETHAZINE HCL retirés) : usage hospitalier (urgences, post-opératoire, anesthésie), action rapide (15-30 min IM, 5-10 min IV), durée d'action 4-6 h. Voie IM privilégiée (voie IV risque d'irritation veineuse et de nécrose tissulaire en cas d'extravasation). Voie IV directe possible mais à diluer et injecter lentement.</w:t>
      </w:r>
    </w:p>
    <w:p>
      <w:pPr>
        <w:pStyle w:val="ListBullet"/>
      </w:pPr>
      <w:r/>
      <w:r>
        <w:rPr>
          <w:b/>
        </w:rPr>
        <w:t>Comprimés 25 mg</w:t>
      </w:r>
      <w:r>
        <w:t xml:space="preserve"> (PHENERGAN, HISTAZIN, PHENAZINE — tous retirés en Algérie) : forme orale ambulatoire pour l'antiémétique, l'insomnie et l'allergie — actuellement non disponible en Algérie, ce qui pose un problème d'accès thérapeutique.</w:t>
      </w:r>
    </w:p>
    <w:p>
      <w:pPr>
        <w:pStyle w:val="ListBullet"/>
      </w:pPr>
      <w:r/>
      <w:r>
        <w:rPr>
          <w:b/>
        </w:rPr>
        <w:t>Sirop 5 mg/5 mL</w:t>
      </w:r>
      <w:r>
        <w:t xml:space="preserve"> (HISTAZIN — retiré) : usage pédiatrique (au-dessus de 2 ans), adaptation posologique fine — non disponible en Algérie.</w:t>
      </w:r>
    </w:p>
    <w:p>
      <w:pPr>
        <w:pStyle w:val="ListBullet"/>
      </w:pPr>
      <w:r/>
      <w:r>
        <w:rPr>
          <w:b/>
        </w:rPr>
        <w:t>Forme orodispersible, suppositoire</w:t>
      </w:r>
      <w:r>
        <w:t xml:space="preserve"> : non disponibles en Algérie.</w:t>
      </w:r>
    </w:p>
    <w:p>
      <w:r/>
      <w:r>
        <w:rPr>
          <w:b/>
        </w:rPr>
        <w:t>Instructions et Conseils au Patient :</w:t>
      </w:r>
      <w:r/>
    </w:p>
    <w:p>
      <w:pPr>
        <w:pStyle w:val="ListBullet"/>
      </w:pPr>
      <w:r>
        <w:t xml:space="preserve">Communication au comptoir : « Ce médicament combat les nausées, vomissements, vertiges et traitements contre l'allergie. Il provoque une </w:t>
      </w:r>
      <w:r>
        <w:rPr>
          <w:b/>
        </w:rPr>
        <w:t>somnolence marquée</w:t>
      </w:r>
      <w:r>
        <w:t xml:space="preserve"> — ne pas conduire ou utiliser de machines pendant le traitement et 8 h après. </w:t>
      </w:r>
      <w:r>
        <w:rPr>
          <w:b/>
        </w:rPr>
        <w:t>Ne jamais l'associer à l'alcool</w:t>
      </w:r>
      <w:r>
        <w:t xml:space="preserve"> ou à d'autres médicaments sédatifs. </w:t>
      </w:r>
      <w:r>
        <w:rPr>
          <w:b/>
        </w:rPr>
        <w:t>Ne jamais l'utiliser chez un nourrisson de moins de 2 ans</w:t>
      </w:r>
      <w:r>
        <w:t xml:space="preserve"> (risque de mort subite). En cas de </w:t>
      </w:r>
      <w:r>
        <w:rPr>
          <w:b/>
        </w:rPr>
        <w:t>sécheresse buccale, difficulté à uriner, palpitations</w:t>
      </w:r>
      <w:r>
        <w:t>, prévenez votre médecin. Prévenez votre médecin si vous êtes enceinte, si vous allaitez, ou si vous avez un glaucome, une hypertrophie de la prostate, ou une insuffisance respiratoire. »</w:t>
      </w:r>
    </w:p>
    <w:p>
      <w:pPr>
        <w:pStyle w:val="ListBullet"/>
      </w:pPr>
      <w:r>
        <w:t>Mode d'utilisation pratique : (a) Prendre pendant ou après les repas pour l'antiémétique ; au coucher pour l'insomnie ; (b) Respecter la posologie prescrite ; (c) En cas d'oubli, ne pas doubler la dose suivante ; (d) Avertir le patient des signes d'alerte (somnolence excessive, confusion, rétention urinaire, palpitations) ; (e) Éviter la conduite et les activités à risque pendant le traitement et 8 h après ; (f) Éviter l'alcool ; (g) Se lever progressivement (risque d'hypotension orthostatique).</w:t>
      </w:r>
    </w:p>
    <w:p>
      <w:r/>
      <w:r>
        <w:rPr>
          <w:b/>
        </w:rPr>
        <w:t>Notes, Règles d'Or &amp; Pièges au Comptoir :</w:t>
      </w:r>
      <w:r/>
    </w:p>
    <w:p>
      <w:pPr>
        <w:pStyle w:val="ListBullet"/>
      </w:pPr>
      <w:r>
        <w:t xml:space="preserve">Piège classique : </w:t>
      </w:r>
      <w:r>
        <w:rPr>
          <w:b/>
        </w:rPr>
        <w:t>Prométhazine chez le nourrisson &lt; 2 ans = CI absolue (risque de mort subite)</w:t>
      </w:r>
      <w:r>
        <w:t>. Ne jamais délivrer sans vérifier l'âge. Règle absolue ANSM/EMA.</w:t>
      </w:r>
    </w:p>
    <w:p>
      <w:pPr>
        <w:pStyle w:val="ListBullet"/>
      </w:pPr>
      <w:r>
        <w:t>Piège alcool : potentialisation majeure de la sédation — information essentielle au comptoir.</w:t>
      </w:r>
    </w:p>
    <w:p>
      <w:pPr>
        <w:pStyle w:val="ListBullet"/>
      </w:pPr>
      <w:r>
        <w:t>Piège sujet âgé : risque de chute, confusion, réactions paradoxales d'agitation — préférer les anti-H1 de seconde génération (cétirizine, loratadine) chez le sujet âgé.</w:t>
      </w:r>
    </w:p>
    <w:p>
      <w:pPr>
        <w:pStyle w:val="ListBullet"/>
      </w:pPr>
      <w:r>
        <w:t xml:space="preserve">Piège épinéphrine : la prométhazine a un effet alpha-bloquant qui peut </w:t>
      </w:r>
      <w:r>
        <w:rPr>
          <w:b/>
        </w:rPr>
        <w:t>inverser l'effet de l'épinéphrine en vasodilatation</w:t>
      </w:r>
      <w:r>
        <w:t xml:space="preserve"> (choc). En cas de choc chez un patient sous prométhazine, utiliser la norépinéphrine ou la phényléphrine (et non l'épinéphrine).</w:t>
      </w:r>
    </w:p>
    <w:p>
      <w:pPr>
        <w:pStyle w:val="ListBullet"/>
      </w:pPr>
      <w:r>
        <w:t>Règle de prise : pendant ou après les repas pour l'antiémétique, au coucher pour l'insomnie.</w:t>
      </w:r>
    </w:p>
    <w:p>
      <w:pPr>
        <w:pStyle w:val="ListBullet"/>
      </w:pPr>
      <w:r>
        <w:t>Préparation et Conservation : comprimés et sirop à température ambiante &lt; 25°C, à l'abri de l'humidité ; solution injectable à conserver à température ambiante, à l'abri de la lumière.</w:t>
      </w:r>
    </w:p>
    <w:p>
      <w:pPr>
        <w:pStyle w:val="ListBullet"/>
      </w:pPr>
      <w:r>
        <w:t>Piège du surdosage / Substitution : la prométhazine ne doit pas être substituée par les anti-H1 de seconde génération (cétirizine, loratadine) pour les indications antiémétiques ou antivertigineuses (ces derniers ne traversent pas la BHE et sont inefficaces sur le vertige et le vomissement central). En cas de non-disponibilité de la prométhazine en Algérie (forme orale retirée), orienter le patient vers le médecin pour prescription alternative (méclozine non disponible, dimenhydrinate non disponible — orientation vers les 5-HT3 si chimio-induit, ou métoclopramide/dompéridone si autre cause).</w:t>
      </w:r>
    </w:p>
    <w:p>
      <w:pPr>
        <w:pStyle w:val="Heading2"/>
      </w:pPr>
      <w:r>
        <w:t>9. DCI : Halopéridol (antiémétique) (seule)</w:t>
      </w:r>
    </w:p>
    <w:p>
      <w:r/>
      <w:r>
        <w:rPr>
          <w:b/>
        </w:rPr>
        <w:t>Liste des Catégories :</w:t>
      </w:r>
      <w:r>
        <w:t xml:space="preserve"> Liste I — antiémétique butyrophénone neuroleptique, neuroleptique classique.</w:t>
      </w:r>
    </w:p>
    <w:p>
      <w:r>
        <w:t xml:space="preserve">L'halopéridol est une butyrophénone, neuroleptique classique antidopaminergique D2 puissant utilisé en psychiatrie (schizophrénie, agitation, manie) mais également en indication antiémétique, particulièrement dans les nausées et vomissements réfractaires en soins palliatifs et oncologie. Sa pharmacocinétique est caractérisée par une biodisponibilité orale de 60-70%, un pic plasmatique à 2-6 h (per os) ou 20 min (IM), une </w:t>
      </w:r>
      <w:r>
        <w:rPr>
          <w:b/>
        </w:rPr>
        <w:t>demi-vie d'élimination prolongée de 14-36 h</w:t>
      </w:r>
      <w:r>
        <w:t xml:space="preserve"> (avec un métabolite actif réduit de demi-vie similaire), un métabolisme hépatique principal par le CYP3A4 et le CYP2D6, et une élimination rénale (~40%) et fécale (~60%). La liaison aux protéines plasmatiques est de 89-93%. L'halopéridol traverse la BHE (effets centraux : neuroleptique, antiémétique, extrapyramidal) et la barrière placentaire. Son métabolite réduit (rédurohalopéridol) a une activité neuroleptique propre, similaire à la molécule mère, ce qui explique la longue durée d'action.</w:t>
      </w:r>
    </w:p>
    <w:p>
      <w:r/>
      <w:r>
        <w:rPr>
          <w:b/>
        </w:rPr>
        <w:t>Médicaments disponibles en Algérie (Marques, Laboratoires, Formes et Dosages) :</w:t>
      </w:r>
      <w:r/>
    </w:p>
    <w:p>
      <w:pPr>
        <w:pStyle w:val="ListBullet"/>
      </w:pPr>
      <w:r/>
      <w:r>
        <w:rPr>
          <w:b/>
        </w:rPr>
        <w:t>DEPRIDOL</w:t>
      </w:r>
      <w:r>
        <w:t xml:space="preserve"> (LES LABORATOIRES FRATER RAZES)</w:t>
      </w:r>
    </w:p>
    <w:p>
      <w:pPr>
        <w:pStyle w:val="ListBullet"/>
      </w:pPr>
      <w:r>
        <w:t>Formes et Dosages : Solution injectable 5 mg/mL (B/5 et B/50 ampoules)</w:t>
      </w:r>
    </w:p>
    <w:p>
      <w:pPr>
        <w:pStyle w:val="ListBullet"/>
      </w:pPr>
      <w:r>
        <w:t>Statut : ACTIF</w:t>
      </w:r>
    </w:p>
    <w:p>
      <w:pPr>
        <w:pStyle w:val="ListBullet"/>
      </w:pPr>
      <w:r/>
      <w:r>
        <w:rPr>
          <w:b/>
        </w:rPr>
        <w:t>HALDOL</w:t>
      </w:r>
      <w:r>
        <w:t xml:space="preserve"> (JANSSEN CILAG) — princeps</w:t>
      </w:r>
    </w:p>
    <w:p>
      <w:pPr>
        <w:pStyle w:val="ListBullet"/>
      </w:pPr>
      <w:r>
        <w:t>Formes et Dosages : Solution injectable 5 mg/mL (B/5 ampoules de 1 mL) ; Solution buvable en gouttes 2 mg/mL (flacon 15 mL)</w:t>
      </w:r>
    </w:p>
    <w:p>
      <w:pPr>
        <w:pStyle w:val="ListBullet"/>
      </w:pPr>
      <w:r>
        <w:t>Statut : ACTIF (injectable) / RETRAIT (R) (forme buvable)</w:t>
      </w:r>
    </w:p>
    <w:p>
      <w:pPr>
        <w:pStyle w:val="ListBullet"/>
      </w:pPr>
      <w:r/>
      <w:r>
        <w:rPr>
          <w:b/>
        </w:rPr>
        <w:t>HALLUDOL</w:t>
      </w:r>
      <w:r>
        <w:t xml:space="preserve"> (GROUPE SAIDAL)</w:t>
      </w:r>
    </w:p>
    <w:p>
      <w:pPr>
        <w:pStyle w:val="ListBullet"/>
      </w:pPr>
      <w:r>
        <w:t>Formes et Dosages : Solution injectable 5 mg/mL (B/50 ampoules) ; Solution buvable en gouttes 2 mg/mL (flacon 15 mL)</w:t>
      </w:r>
    </w:p>
    <w:p>
      <w:pPr>
        <w:pStyle w:val="ListBullet"/>
      </w:pPr>
      <w:r>
        <w:t>Statut : ACTIF / NON_RENOUVELABLE (selon formes)</w:t>
      </w:r>
    </w:p>
    <w:p>
      <w:pPr>
        <w:pStyle w:val="ListBullet"/>
      </w:pPr>
      <w:r/>
      <w:r>
        <w:rPr>
          <w:b/>
        </w:rPr>
        <w:t>SENORM 5</w:t>
      </w:r>
      <w:r>
        <w:t xml:space="preserve"> (SUN PHARMACEUTICALS INDUSTRIES LTD)</w:t>
      </w:r>
    </w:p>
    <w:p>
      <w:pPr>
        <w:pStyle w:val="ListBullet"/>
      </w:pPr>
      <w:r>
        <w:t>Formes et Dosages : Solution injectable 5 mg/mL (B/5 ampoules de 1 mL)</w:t>
      </w:r>
    </w:p>
    <w:p>
      <w:pPr>
        <w:pStyle w:val="ListBullet"/>
      </w:pPr>
      <w:r>
        <w:t>Statut : ACTIF</w:t>
      </w:r>
    </w:p>
    <w:p>
      <w:pPr>
        <w:pStyle w:val="ListBullet"/>
      </w:pPr>
      <w:r/>
      <w:r>
        <w:rPr>
          <w:b/>
        </w:rPr>
        <w:t>HADOL</w:t>
      </w:r>
      <w:r>
        <w:t xml:space="preserve"> (LABORATOIRE ARAB PHARM)</w:t>
      </w:r>
    </w:p>
    <w:p>
      <w:pPr>
        <w:pStyle w:val="ListBullet"/>
      </w:pPr>
      <w:r>
        <w:t>Formes et Dosages : Solution buvable en gouttes 2 mg/mL (B/01 flacon de 20 mL)</w:t>
      </w:r>
    </w:p>
    <w:p>
      <w:pPr>
        <w:pStyle w:val="ListBullet"/>
      </w:pPr>
      <w:r>
        <w:t>Statut : ACTIF</w:t>
      </w:r>
    </w:p>
    <w:p>
      <w:pPr>
        <w:pStyle w:val="ListBullet"/>
      </w:pPr>
      <w:r/>
      <w:r>
        <w:rPr>
          <w:b/>
        </w:rPr>
        <w:t>HALDOMEX</w:t>
      </w:r>
      <w:r>
        <w:t xml:space="preserve"> (KPMA BIOTIC)</w:t>
      </w:r>
    </w:p>
    <w:p>
      <w:pPr>
        <w:pStyle w:val="ListBullet"/>
      </w:pPr>
      <w:r>
        <w:t>Formes et Dosages : Solution buvable en gouttes 2 mg/mL (B/01 flacon de 20 mL et B/01 flacon de 50 mL)</w:t>
      </w:r>
    </w:p>
    <w:p>
      <w:pPr>
        <w:pStyle w:val="ListBullet"/>
      </w:pPr>
      <w:r>
        <w:t>Statut : ACTIF</w:t>
      </w:r>
    </w:p>
    <w:p>
      <w:pPr>
        <w:pStyle w:val="ListBullet"/>
      </w:pPr>
      <w:r/>
      <w:r>
        <w:rPr>
          <w:b/>
        </w:rPr>
        <w:t>HALOL</w:t>
      </w:r>
      <w:r>
        <w:t xml:space="preserve"> (LAD PHARMA)</w:t>
      </w:r>
    </w:p>
    <w:p>
      <w:pPr>
        <w:pStyle w:val="ListBullet"/>
      </w:pPr>
      <w:r>
        <w:t>Formes et Dosages : Solution buvable en gouttes 2 mg/mL (B/01 flacon de 15 mL, B/01 flacon de 30 mL, B/01 flacon de 50 mL)</w:t>
      </w:r>
    </w:p>
    <w:p>
      <w:pPr>
        <w:pStyle w:val="ListBullet"/>
      </w:pPr>
      <w:r>
        <w:t>Statut : ACTIF</w:t>
      </w:r>
    </w:p>
    <w:p>
      <w:pPr>
        <w:pStyle w:val="ListBullet"/>
      </w:pPr>
      <w:r/>
      <w:r>
        <w:rPr>
          <w:b/>
        </w:rPr>
        <w:t>HALOPERIDOL</w:t>
      </w:r>
      <w:r>
        <w:t xml:space="preserve"> (LABORATOIRES PHARMAGHREB / PHARMA 5)</w:t>
      </w:r>
    </w:p>
    <w:p>
      <w:pPr>
        <w:pStyle w:val="ListBullet"/>
      </w:pPr>
      <w:r>
        <w:t>Formes et Dosages : Solution buvable en gouttes 2 mg/mL (B/01 flacon de 20 mL) ; Solution buvable en gouttes 2 mg/mL (flacon 15 mL)</w:t>
      </w:r>
    </w:p>
    <w:p>
      <w:pPr>
        <w:pStyle w:val="ListBullet"/>
      </w:pPr>
      <w:r>
        <w:t>Statut : ACTIF / RETRAIT (R) (selon formes)</w:t>
      </w:r>
    </w:p>
    <w:p>
      <w:pPr>
        <w:pStyle w:val="ListBullet"/>
      </w:pPr>
      <w:r/>
      <w:r>
        <w:rPr>
          <w:b/>
        </w:rPr>
        <w:t>HALOPERIDOL BGL</w:t>
      </w:r>
      <w:r>
        <w:t xml:space="preserve"> (BIOGALENIC)</w:t>
      </w:r>
    </w:p>
    <w:p>
      <w:pPr>
        <w:pStyle w:val="ListBullet"/>
      </w:pPr>
      <w:r>
        <w:t>Formes et Dosages : Solution buvable en gouttes 2 mg/mL (B/01 flacon de 20 mL)</w:t>
      </w:r>
    </w:p>
    <w:p>
      <w:pPr>
        <w:pStyle w:val="ListBullet"/>
      </w:pPr>
      <w:r>
        <w:t>Statut : ACTIF</w:t>
      </w:r>
    </w:p>
    <w:p>
      <w:pPr>
        <w:pStyle w:val="ListBullet"/>
      </w:pPr>
      <w:r/>
      <w:r>
        <w:rPr>
          <w:b/>
        </w:rPr>
        <w:t>HALOPERIDOL GL</w:t>
      </w:r>
      <w:r>
        <w:t xml:space="preserve"> (GENERIC LAB)</w:t>
      </w:r>
    </w:p>
    <w:p>
      <w:pPr>
        <w:pStyle w:val="ListBullet"/>
      </w:pPr>
      <w:r>
        <w:t>Formes et Dosages : Solution buvable en gouttes 2 mg/mL (B/01 flacon de 15 mL, B/01 flacon de 30 mL, B/01 flacon de 50 mL)</w:t>
      </w:r>
    </w:p>
    <w:p>
      <w:pPr>
        <w:pStyle w:val="ListBullet"/>
      </w:pPr>
      <w:r>
        <w:t>Statut : ACTIF</w:t>
      </w:r>
    </w:p>
    <w:p>
      <w:pPr>
        <w:pStyle w:val="ListBullet"/>
      </w:pPr>
      <w:r/>
      <w:r>
        <w:rPr>
          <w:b/>
        </w:rPr>
        <w:t>HALOPERIDOL PHYSIOPHARM</w:t>
      </w:r>
      <w:r>
        <w:t xml:space="preserve"> (PHYSIOPHARM LABORATOIRES)</w:t>
      </w:r>
    </w:p>
    <w:p>
      <w:pPr>
        <w:pStyle w:val="ListBullet"/>
      </w:pPr>
      <w:r>
        <w:t>Formes et Dosages : Solution buvable en gouttes 2 mg/mL (B/01 flacon de 30 mL + pipette graduée)</w:t>
      </w:r>
    </w:p>
    <w:p>
      <w:pPr>
        <w:pStyle w:val="ListBullet"/>
      </w:pPr>
      <w:r>
        <w:t>Statut : ACTIF</w:t>
      </w:r>
    </w:p>
    <w:p>
      <w:pPr>
        <w:pStyle w:val="ListBullet"/>
      </w:pPr>
      <w:r/>
      <w:r>
        <w:rPr>
          <w:b/>
        </w:rPr>
        <w:t>HOLIT FORT</w:t>
      </w:r>
      <w:r>
        <w:t xml:space="preserve"> (SARL GROUPE SANTE)</w:t>
      </w:r>
    </w:p>
    <w:p>
      <w:pPr>
        <w:pStyle w:val="ListBullet"/>
      </w:pPr>
      <w:r>
        <w:t>Formes et Dosages : Solution buvable en gouttes 2 mg/mL (B/01 flacon de 15 mL)</w:t>
      </w:r>
    </w:p>
    <w:p>
      <w:pPr>
        <w:pStyle w:val="ListBullet"/>
      </w:pPr>
      <w:r>
        <w:t>Statut : ACTIF</w:t>
      </w:r>
    </w:p>
    <w:p>
      <w:pPr>
        <w:pStyle w:val="ListBullet"/>
      </w:pPr>
      <w:r/>
      <w:r>
        <w:rPr>
          <w:b/>
        </w:rPr>
        <w:t>ISOPERIDOL</w:t>
      </w:r>
      <w:r>
        <w:t xml:space="preserve"> (ISOPHARM ALGERIE)</w:t>
      </w:r>
    </w:p>
    <w:p>
      <w:pPr>
        <w:pStyle w:val="ListBullet"/>
      </w:pPr>
      <w:r>
        <w:t>Formes et Dosages : Solution buvable en gouttes 2 mg/mL (B/01 flacon de 20 mL et B/01 flacon de 50 mL)</w:t>
      </w:r>
    </w:p>
    <w:p>
      <w:pPr>
        <w:pStyle w:val="ListBullet"/>
      </w:pPr>
      <w:r>
        <w:t>Statut : ACTIF</w:t>
      </w:r>
    </w:p>
    <w:p>
      <w:pPr>
        <w:pStyle w:val="ListBullet"/>
      </w:pPr>
      <w:r/>
      <w:r>
        <w:rPr>
          <w:b/>
        </w:rPr>
        <w:t>NEURALDOL</w:t>
      </w:r>
      <w:r>
        <w:t xml:space="preserve"> (SOMEDIAL)</w:t>
      </w:r>
    </w:p>
    <w:p>
      <w:pPr>
        <w:pStyle w:val="ListBullet"/>
      </w:pPr>
      <w:r>
        <w:t>Formes et Dosages : Solution buvable en gouttes 2 mg/mL (B/01 flacon de 30 mL)</w:t>
      </w:r>
    </w:p>
    <w:p>
      <w:pPr>
        <w:pStyle w:val="ListBullet"/>
      </w:pPr>
      <w:r>
        <w:t>Statut : ACTIF</w:t>
      </w:r>
    </w:p>
    <w:p>
      <w:pPr>
        <w:pStyle w:val="ListBullet"/>
      </w:pPr>
      <w:r/>
      <w:r>
        <w:rPr>
          <w:b/>
        </w:rPr>
        <w:t>VILBAR</w:t>
      </w:r>
      <w:r>
        <w:t xml:space="preserve"> (BIOPHARM)</w:t>
      </w:r>
    </w:p>
    <w:p>
      <w:pPr>
        <w:pStyle w:val="ListBullet"/>
      </w:pPr>
      <w:r>
        <w:t>Formes et Dosages : Solution buvable en gouttes 2 mg/mL (B/01 flacon de 30 mL)</w:t>
      </w:r>
    </w:p>
    <w:p>
      <w:pPr>
        <w:pStyle w:val="ListBullet"/>
      </w:pPr>
      <w:r>
        <w:t>Statut : ACTIF</w:t>
      </w:r>
    </w:p>
    <w:p>
      <w:pPr>
        <w:pStyle w:val="ListBullet"/>
      </w:pPr>
      <w:r/>
      <w:r>
        <w:rPr>
          <w:b/>
        </w:rPr>
        <w:t>HALDOL DECANOAS</w:t>
      </w:r>
      <w:r>
        <w:t xml:space="preserve"> (JANSSEN CILAG) — forme retard</w:t>
      </w:r>
    </w:p>
    <w:p>
      <w:pPr>
        <w:pStyle w:val="ListBullet"/>
      </w:pPr>
      <w:r>
        <w:t>Formes et Dosages : Solution injectable IM 50 mg/mL (B/5 ampoules de 1 mL)</w:t>
      </w:r>
    </w:p>
    <w:p>
      <w:pPr>
        <w:pStyle w:val="ListBullet"/>
      </w:pPr>
      <w:r>
        <w:t>Statut : ACTIF (indication psychiatrique uniquement, décanoate d'halopéridol à libération prolongée — 1 injection IM mensuelle)</w:t>
      </w:r>
    </w:p>
    <w:p>
      <w:pPr>
        <w:pStyle w:val="ListBullet"/>
      </w:pPr>
      <w:r/>
      <w:r>
        <w:rPr>
          <w:b/>
        </w:rPr>
        <w:t>DISTENSOL</w:t>
      </w:r>
      <w:r>
        <w:t xml:space="preserve"> (LIFEPHARMA)</w:t>
      </w:r>
    </w:p>
    <w:p>
      <w:pPr>
        <w:pStyle w:val="ListBullet"/>
      </w:pPr>
      <w:r>
        <w:t>Formes et Dosages : Comprimé 5 mg (B/30) ; Solution buvable en gouttes 2 mg/mL (flacon 15 mL) ; Comprimé 1 mg (B/40)</w:t>
      </w:r>
    </w:p>
    <w:p>
      <w:pPr>
        <w:pStyle w:val="ListBullet"/>
      </w:pPr>
      <w:r>
        <w:t>Statut : NON_RENOUVELABLE / RETRAIT (R)</w:t>
      </w:r>
    </w:p>
    <w:p>
      <w:pPr>
        <w:pStyle w:val="ListBullet"/>
      </w:pPr>
      <w:r/>
      <w:r>
        <w:rPr>
          <w:b/>
        </w:rPr>
        <w:t>WERAPIDOL 5</w:t>
      </w:r>
      <w:r>
        <w:t xml:space="preserve"> (WEIMER PHARMA)</w:t>
      </w:r>
    </w:p>
    <w:p>
      <w:pPr>
        <w:pStyle w:val="ListBullet"/>
      </w:pPr>
      <w:r>
        <w:t>Formes et Dosages : Solution injectable 5 mg/mL (B/10)</w:t>
      </w:r>
    </w:p>
    <w:p>
      <w:pPr>
        <w:pStyle w:val="ListBullet"/>
      </w:pPr>
      <w:r>
        <w:t>Statut : RETRAIT (R)</w:t>
      </w:r>
    </w:p>
    <w:p>
      <w:pPr>
        <w:pStyle w:val="ListBullet"/>
      </w:pPr>
      <w:r/>
      <w:r>
        <w:rPr>
          <w:b/>
        </w:rPr>
        <w:t>WERAPIDOL 2</w:t>
      </w:r>
      <w:r>
        <w:t xml:space="preserve"> (WEIMER PHARMA)</w:t>
      </w:r>
    </w:p>
    <w:p>
      <w:pPr>
        <w:pStyle w:val="ListBullet"/>
      </w:pPr>
      <w:r>
        <w:t>Formes et Dosages : Solution buvable en gouttes 2 mg/mL (flacon 30 mL)</w:t>
      </w:r>
    </w:p>
    <w:p>
      <w:pPr>
        <w:pStyle w:val="ListBullet"/>
      </w:pPr>
      <w:r>
        <w:t>Statut : RETRAIT (R)</w:t>
      </w:r>
    </w:p>
    <w:p>
      <w:r/>
      <w:r>
        <w:rPr>
          <w:b/>
        </w:rPr>
        <w:t>Sous-classe et Mécanisme d'action :</w:t>
      </w:r>
      <w:r/>
    </w:p>
    <w:p>
      <w:pPr>
        <w:pStyle w:val="ListBullet"/>
      </w:pPr>
      <w:r>
        <w:t>Sous-classe : Butyrophénone neuroleptique classique, antagoniste compétitif des récepteurs dopaminergiques D2 centraux (et accessoires : D1, D3, D4, α1-adrénergique, H1, 5-HT2A, sigma), utilisé en indication antiémétique en soins palliatifs et oncologie.</w:t>
      </w:r>
    </w:p>
    <w:p>
      <w:pPr>
        <w:pStyle w:val="ListBullet"/>
      </w:pPr>
      <w:r>
        <w:t>Mécanisme d'action : L'halopéridol exerce son action antiémétique par blocage compétitif des récepteurs dopaminergiques D2 centraux au niveau du CTZ (area postrema) et du NTS, inhibant ainsi le réflexe émétique déclenché par les stimuli dopaminergiques (médicaments émétisants, métabolites opioïdes, toxines urémiques, hypercalcémie). L'affinité de l'halopéridol pour le récepteur D2 est très élevée (Ki ≈ 1-2 nM), bien supérieure à celle de la métoclopramide (Ki ≈ 60 nM), ce qui explique son efficacité antiémétique à très faible dose (0,5-2 mg) comparée à la métoclopramide (10 mg). Le blocage D2 central explique également les effets indésirables extrapyramidaux et l'hyperprolactinémie. Le blocage D2 périphérique (entérique) est faible, ce qui fait que l'halopéridol n'a pas d'effet prokinétique significatif (contrairement à la métoclopramide). Le métabolite réduit (rédurohalopéridol) a une activité neuroleptique propre, similaire à la molécule mère, ce qui explique la longue durée d'action (jusqu'à 36 h). L'halopéridol traverse la BHE (effets centraux) et la barrière placentaire.</w:t>
      </w:r>
    </w:p>
    <w:p>
      <w:r/>
      <w:r>
        <w:rPr>
          <w:b/>
        </w:rPr>
        <w:t>Profil Pharmacologique :</w:t>
      </w:r>
      <w:r/>
    </w:p>
    <w:p>
      <w:pPr>
        <w:pStyle w:val="ListBullet"/>
      </w:pPr>
      <w:r>
        <w:t xml:space="preserve">Indications : (a) </w:t>
      </w:r>
      <w:r>
        <w:rPr>
          <w:b/>
        </w:rPr>
        <w:t>Nausées et vomissements réfractaires</w:t>
      </w:r>
      <w:r>
        <w:t xml:space="preserve"> en soins palliatifs et oncologie (en particulier liés aux opioïdes, à l'hypercalcémie, à l'insuffisance rénale, à l'occlusion intestinale partielle), en cas d'échec ou de CI des antiémétiques de première intention (5-HT3, métoclopramide, dompéridone) ; (b) Hors AMM : </w:t>
      </w:r>
      <w:r>
        <w:rPr>
          <w:b/>
        </w:rPr>
        <w:t>délirium</w:t>
      </w:r>
      <w:r>
        <w:t xml:space="preserve"> en soins palliatifs et en réanimation (à faible dose 0,5-2 mg), agitation en gériatrie ; (c) Indication psychiatrique (hors périmètre de ce chapitre) : schizophrénie, trouble bipolaire (manie), agitation psychotique — formes orales et IM, et forme retard IM mensuelle (HALDOL DECANOAS). Pour l'indication antiémétique en soins palliatifs, la voie SC en perfusion continue est la voie privilégiée (1-5 mg/24 h).</w:t>
      </w:r>
    </w:p>
    <w:p>
      <w:pPr>
        <w:pStyle w:val="ListBullet"/>
      </w:pPr>
      <w:r>
        <w:t xml:space="preserve">Contre-indications : (a) Hypersensibilité à l'halopéridol ou aux butyrophénones ; (b) </w:t>
      </w:r>
      <w:r>
        <w:rPr>
          <w:b/>
        </w:rPr>
        <w:t>Maladie de Parkinson</w:t>
      </w:r>
      <w:r>
        <w:t xml:space="preserve"> et autres syndromes parkinsoniens (lévodopa, agonistes dopaminergiques — antagonisme pharmacologique) ; (c) </w:t>
      </w:r>
      <w:r>
        <w:rPr>
          <w:b/>
        </w:rPr>
        <w:t>Démence à corps de Lewy</w:t>
      </w:r>
      <w:r>
        <w:t xml:space="preserve"> (risque majeur de syndrome malin) ; (d) Allongement du QTc congénital ou acquis (risque majeur de torsades de pointe) ; (e) Troubles électrolytiques non corrigés (hypokaliémie, hypomagnésémie, hypocalcémie) ; (f) Bradycardie sinusale cliniquement significative ; (g) Insuffisance cardiaque décompensée ; (h) Phéochromocytome (risque de crise hypertensive) ; (i) Antécédent de dyskinésie tardive médicamenteuse ; (j) Épilepsie non contrôlée (abaissement du seuil épileptogène) ; (k) Myasthénie ; (l) Association avec les allongeurs QT (amiodarone, sotalol, méthadone, dropéridol, sultopride, dompéridone, antidépresseurs tricycliques, certains macrolides — érythromycine, clarithromycine ; certains fluoroquinolones — moxifloxacine) ; (m) Association avec la lévodopa et les agonistes dopaminergiques ; (n) Grossesse (à éviter au 1er trimestre par mesure de prudence) ; (o) Allaitement (à éviter).</w:t>
      </w:r>
    </w:p>
    <w:p>
      <w:pPr>
        <w:pStyle w:val="ListBullet"/>
      </w:pPr>
      <w:r>
        <w:t xml:space="preserve">Effets Indésirables : (a) </w:t>
      </w:r>
      <w:r>
        <w:rPr>
          <w:b/>
        </w:rPr>
        <w:t>Effets extrapyramidaux</w:t>
      </w:r>
      <w:r>
        <w:t xml:space="preserve"> (très fréquents, dose-dépendants) : parkinsonisme bradykinétique (hypokinésie, rigidité, tremblement de repos), akathisie (sensation d'agitation motrice, incapacité à rester immobile), dystonie aiguë (trismus, torticolis, crise oculogyre, opisthotonos — surtout sujet jeune), dyskinésie tardive (mouvements involontaires anormaux bucco-faciaux et tronculaires — prolongée, parfois irréversible, surtout femme âgée et traitement prolongé &gt; 3 mois) ; (b) </w:t>
      </w:r>
      <w:r>
        <w:rPr>
          <w:b/>
        </w:rPr>
        <w:t>Syndrome malin des neuroleptiques</w:t>
      </w:r>
      <w:r>
        <w:t xml:space="preserve"> (rare, 0,02% — hyperthermie &gt; 40°C, rigidité musculaire, altération de la conscience, rhabdomyolyse, insuffisance rénale aiguë, mortalité 10-20%) ; (c) </w:t>
      </w:r>
      <w:r>
        <w:rPr>
          <w:b/>
        </w:rPr>
        <w:t>Allongement du QTc et risque de torsades de pointe</w:t>
      </w:r>
      <w:r>
        <w:t xml:space="preserve"> (à surveiller ECG, surtout à dose élevée ou voie IV) ; (d) </w:t>
      </w:r>
      <w:r>
        <w:rPr>
          <w:b/>
        </w:rPr>
        <w:t>Hyperprolactinémie</w:t>
      </w:r>
      <w:r>
        <w:t xml:space="preserve"> (effet direct de blocage D2 tubéro-infundibulaire) : galactorrhée, aménorrhée, gynécomastie, troubles de la libido, impuissance ; (e) Hypotension orthostatique (effet α1-bloquant) ; (f) Sédation, somnolence, asthénie (effet H1) ; (g) Effets anticholinergiques modérés (sécheresse buccale, constipation, rétention urinaire) ; (h) Crises convulsives (abaissement du seuil épileptogène) ; (i) Photosensibilité cutanée ; (j) Réactions allergiques (rash, urticaire, exceptionnellement anaphylaxie) ; (k) Hépatotoxicité (augmentation modeste des transaminases, rare hépatite) ; (l) Agranulocytose, leucopénie (très rares).</w:t>
      </w:r>
    </w:p>
    <w:p>
      <w:r/>
      <w:r>
        <w:rPr>
          <w:b/>
        </w:rPr>
        <w:t>Prévention et Gestion des Effets Indésirables :</w:t>
      </w:r>
      <w:r/>
    </w:p>
    <w:p>
      <w:pPr>
        <w:pStyle w:val="ListBullet"/>
      </w:pPr>
      <w:r>
        <w:t xml:space="preserve">Mesures Préventives : (a) Posologie minimale efficace, particulièrement chez le sujet âgé (réduction à 0,5-1 mg x 2/jour) et en soins palliatifs ; (b) </w:t>
      </w:r>
      <w:r>
        <w:rPr>
          <w:b/>
        </w:rPr>
        <w:t>ECG préalable systématique</w:t>
      </w:r>
      <w:r>
        <w:t xml:space="preserve"> avant initiation, à dose élevée, et surveillance régulière pendant le traitement (QTc doit être &lt; 440 ms chez l'homme, &lt; 460 ms chez la femme) ; (c) Correction des troubles électrolytiques (K+, Mg2+, Ca2+) avant administration ; (d) Vérifier l'absence de maladie de Parkinson, de démence à corps de Lewy, d'épilepsie non contrôlée ; (e) Éviter l'association avec tous les allongeurs QT et les substrats du CYP3A4/CYP2D6 à marge thérapeutique étroite ; (f) Surveillance de la prolactinémie si traitement prolongé (mais indication antiémétique = durée courte) ; (g) Surveillance neurologique régulière (signes extrapyramidaux, akathisie, dystonie) ; (h) Prudence chez l'enfant et l'adolescent (CI &lt; 3 ans, prudence extrême &lt; 18 ans).</w:t>
      </w:r>
    </w:p>
    <w:p>
      <w:pPr>
        <w:pStyle w:val="ListBullet"/>
      </w:pPr>
      <w:r>
        <w:t xml:space="preserve">Conduite à Tenir : (a) </w:t>
      </w:r>
      <w:r>
        <w:rPr>
          <w:b/>
        </w:rPr>
        <w:t>Arrêt immédiat</w:t>
      </w:r>
      <w:r>
        <w:t xml:space="preserve"> en cas de signes extrapyramidaux (dystonie, akathisie, parkinsonisme, dyskinésie) — traitement par anticholinergique (trihexyphénidyle, tropatépine) ou benzodiazépine (diazépam) pour dystonie aiguë ; signaler en pharmacovigilance ; (b) En cas de syndrome malin des neuroleptiques : arrêt urgent, réhydratation IV, refroidissement physique, dantrolène IV (1-2,5 mg/kg), bromocriptine per os, hospitalisation en réanimation, surveillance rhabdomyolyse et IRA ; (c) En cas d'allongement du QTc (&gt; 500 ms ou augmentation &gt; 60 ms par rapport à la baseline) : arrêt, ECG, correction des troubles électrolytiques, surveillance continue ; (d) En cas de torsades de pointe : arrêt, sulfate de magnésium IV, pacing temporaire si nécessaire ; (e) En cas d'hypotension orthostatique : réhydratation, lever progressif, bas de contention ; (f) En cas d'hyperprolactinémie symptomatique : arrêt, discussion alternative.</w:t>
      </w:r>
    </w:p>
    <w:p>
      <w:r/>
      <w:r>
        <w:rPr>
          <w:b/>
        </w:rPr>
        <w:t>Interactions Importantes :</w:t>
      </w:r>
      <w:r/>
    </w:p>
    <w:p>
      <w:pPr>
        <w:pStyle w:val="ListBullet"/>
      </w:pPr>
      <w:r/>
      <w:r>
        <w:rPr>
          <w:b/>
        </w:rPr>
        <w:t>Halopéridol + allongeurs QT</w:t>
      </w:r>
      <w:r>
        <w:t xml:space="preserve"> (amiodarone, sotalol, quinidine, disopyramide, dofétilide, ibutilide, méthadone, dropéridol, sultopride, dompéridone, antidépresseurs tricycliques, certains macrolides — érythromycine, clarithromycine ; certains fluoroquinolones — moxifloxacine ; antihistaminiques H1 de 1re génération ; antipsychotiques atypiques — ziprasidone ; certains antifongiques azolés — fluconazole, voriconazole) : addition des effets sur le QTc — </w:t>
      </w:r>
      <w:r>
        <w:rPr>
          <w:b/>
        </w:rPr>
        <w:t>CI absolue ou déconseillée selon molécule</w:t>
      </w:r>
      <w:r>
        <w:t>.</w:t>
      </w:r>
    </w:p>
    <w:p>
      <w:pPr>
        <w:pStyle w:val="ListBullet"/>
      </w:pPr>
      <w:r/>
      <w:r>
        <w:rPr>
          <w:b/>
        </w:rPr>
        <w:t>Halopéridol + lévodopa / agonistes dopaminergiques</w:t>
      </w:r>
      <w:r>
        <w:t xml:space="preserve"> (bromocriptine, pramipexole, ropinirole, rotigotine, apomorphine) : antagonisme pharmacologique réciproque — CI absolue.</w:t>
      </w:r>
    </w:p>
    <w:p>
      <w:pPr>
        <w:pStyle w:val="ListBullet"/>
      </w:pPr>
      <w:r/>
      <w:r>
        <w:rPr>
          <w:b/>
        </w:rPr>
        <w:t>Halopéridol + inhibiteurs puissants du CYP3A4</w:t>
      </w:r>
      <w:r>
        <w:t xml:space="preserve"> (kétoconazole, itraconazole, clarithromycine, ritonavir, saquinavir, indinavir, nelfinavir, grapefruit juice) : augmentation des concentrations d'halopéridol, risque majoré d'allongement QTc et d'effets extrapyramidaux — surveillance, adaptation posologique.</w:t>
      </w:r>
    </w:p>
    <w:p>
      <w:pPr>
        <w:pStyle w:val="ListBullet"/>
      </w:pPr>
      <w:r/>
      <w:r>
        <w:rPr>
          <w:b/>
        </w:rPr>
        <w:t>Halopéridol + inhibiteurs du CYP2D6</w:t>
      </w:r>
      <w:r>
        <w:t xml:space="preserve"> (paroxétine, fluoxétine, bupropion, quinidine, duloxétine) : augmentation des concentrations d'halopéridol — surveillance, adaptation.</w:t>
      </w:r>
    </w:p>
    <w:p>
      <w:pPr>
        <w:pStyle w:val="ListBullet"/>
      </w:pPr>
      <w:r/>
      <w:r>
        <w:rPr>
          <w:b/>
        </w:rPr>
        <w:t>Halopéridol + inducteurs du CYP3A4</w:t>
      </w:r>
      <w:r>
        <w:t xml:space="preserve"> (rifampicine, phénytoïne, carbamazépine, phénobarbital, millepertuis) : diminution des concentrations d'halopéridol, perte d'efficacité — surveillance.</w:t>
      </w:r>
    </w:p>
    <w:p>
      <w:pPr>
        <w:pStyle w:val="ListBullet"/>
      </w:pPr>
      <w:r/>
      <w:r>
        <w:rPr>
          <w:b/>
        </w:rPr>
        <w:t>Halopéridol + alcohol / dépresseurs centraux</w:t>
      </w:r>
      <w:r>
        <w:t xml:space="preserve"> (benzodiazépines, opioïdes, antihistaminiques H1 de 1re génération) : potentialisation de la sédation.</w:t>
      </w:r>
    </w:p>
    <w:p>
      <w:pPr>
        <w:pStyle w:val="ListBullet"/>
      </w:pPr>
      <w:r/>
      <w:r>
        <w:rPr>
          <w:b/>
        </w:rPr>
        <w:t>Halopéridol + antihypertenseurs</w:t>
      </w:r>
      <w:r>
        <w:t xml:space="preserve"> : majoration de l'hypotension orthostatique.</w:t>
      </w:r>
    </w:p>
    <w:p>
      <w:pPr>
        <w:pStyle w:val="ListBullet"/>
      </w:pPr>
      <w:r/>
      <w:r>
        <w:rPr>
          <w:b/>
        </w:rPr>
        <w:t>Halopéridol + lithium</w:t>
      </w:r>
      <w:r>
        <w:t xml:space="preserve"> : risque de syndrome neuroleptique malin, de confusion, et de déséquilibre sodium (lithium).</w:t>
      </w:r>
    </w:p>
    <w:p>
      <w:pPr>
        <w:pStyle w:val="ListBullet"/>
      </w:pPr>
      <w:r/>
      <w:r>
        <w:rPr>
          <w:b/>
        </w:rPr>
        <w:t>Halopéridol + carbamazépine, phénytoïne</w:t>
      </w:r>
      <w:r>
        <w:t xml:space="preserve"> : augmentation du métabolisme de l'halopéridol (perte d'efficacité), et addition de la toxicité neurologique.</w:t>
      </w:r>
    </w:p>
    <w:p>
      <w:pPr>
        <w:pStyle w:val="ListBullet"/>
      </w:pPr>
      <w:r/>
      <w:r>
        <w:rPr>
          <w:b/>
        </w:rPr>
        <w:t>Halopéridol + anticholinergiques</w:t>
      </w:r>
      <w:r>
        <w:t xml:space="preserve"> (atropine, trihexyphénidyle, tropatépine) : potentialisation des effets anticholinergiques (rétention urinaire, constipation, glaucome).</w:t>
      </w:r>
    </w:p>
    <w:p>
      <w:pPr>
        <w:pStyle w:val="ListBullet"/>
      </w:pPr>
      <w:r/>
      <w:r>
        <w:rPr>
          <w:b/>
        </w:rPr>
        <w:t>Halopéridol + IMAO</w:t>
      </w:r>
      <w:r>
        <w:t xml:space="preserve"> : risque d'hypertension paradoxicale.</w:t>
      </w:r>
    </w:p>
    <w:p>
      <w:r/>
      <w:r>
        <w:rPr>
          <w:b/>
        </w:rPr>
        <w:t>Grossesse et Allaitement :</w:t>
      </w:r>
      <w:r/>
    </w:p>
    <w:p>
      <w:pPr>
        <w:pStyle w:val="ListBullet"/>
      </w:pPr>
      <w:r>
        <w:t xml:space="preserve">Grossesse : Selon le CRAT, l'halopéridol est </w:t>
      </w:r>
      <w:r>
        <w:rPr>
          <w:b/>
        </w:rPr>
        <w:t>compatible pendant la grossesse</w:t>
      </w:r>
      <w:r>
        <w:t xml:space="preserve"> en cas de nécessité (indication psychiatrique, ou antiémétique en soins palliatifs chez une femme enceinte cancéreuse), mais à éviter au 1er trimestre par mesure de prudence (données limitées sur d'éventuels effets tératogènes, possible association modeste avec des malformations cardiovasculaires). Aux 2e et 3e trimestres, l'usage ponctuel est possible. À la fin du 3e trimestre, surveillance du nouveau-né en cas d'usage prolongé (risque théorique d'effets extrapyramidaux, hypotension, détresse respiratoire, hypothermie, hypoglycémie — "neuroleptic withdrawal syndrome" ou syndrome de sevrage néonatal). Le bénéfice doit toujours être évalué. Pour les nausées gravidiques simples, l'halopéridol n'est PAS un traitement de première intention — préférer les anti-H1 (doxylamine + pyridoxine) ou l'ondansétron.</w:t>
      </w:r>
    </w:p>
    <w:p>
      <w:pPr>
        <w:pStyle w:val="ListBullet"/>
      </w:pPr>
      <w:r>
        <w:t xml:space="preserve">Allaitement : Selon le CRAT, l'halopéridol est </w:t>
      </w:r>
      <w:r>
        <w:rPr>
          <w:b/>
        </w:rPr>
        <w:t>compatible avec l'allaitement</w:t>
      </w:r>
      <w:r>
        <w:t xml:space="preserve"> en usage ponctuel et à faible dose (indication psychiatrique), mais </w:t>
      </w:r>
      <w:r>
        <w:rPr>
          <w:b/>
        </w:rPr>
        <w:t>à éviter en usage prolongé et à forte dose</w:t>
      </w:r>
      <w:r>
        <w:t>. Elle passe faiblement dans le lait maternel (rapport lait/plasma ≈ 0,5-1). Surveillance de l'enfant allaité (somnolence, troubles moteurs, prise de poids). À éviter en indication antiémétique chez la femme allaitante — préférer l'ondansétron.</w:t>
      </w:r>
    </w:p>
    <w:p>
      <w:pPr>
        <w:pStyle w:val="ListBullet"/>
      </w:pPr>
      <w:r>
        <w:t>Précisions : Risque fœtal principal = effets extrapyramidaux et syndrome de sevrage néonatal en cas d'usage prolongé en fin de grossesse. Pour l'indication antiémétique en soins palliatifs chez une femme enceinte, le rapport bénéfice/risque doit être évalué au cas par cas.</w:t>
      </w:r>
    </w:p>
    <w:p>
      <w:r/>
      <w:r>
        <w:rPr>
          <w:b/>
        </w:rPr>
        <w:t>Posologie et Mode d'administration (Standard) :</w:t>
      </w:r>
      <w:r/>
    </w:p>
    <w:p>
      <w:pPr>
        <w:pStyle w:val="ListBullet"/>
      </w:pPr>
      <w:r>
        <w:t>Adulte — Indication antiémétique (soins palliatifs / oncologie) : 0,5-2 mg per os x 2-3/jour, OU 0,5-2 mg IM/SC/IV x 2-4/jour (en cas de vomissements empêchant la voie orale), OU perfusion continue SC 1-5 mg/24 h (en soins palliatifs avancés). Dose maximale antiémétique : 5-10 mg/24 h.</w:t>
      </w:r>
    </w:p>
    <w:p>
      <w:pPr>
        <w:pStyle w:val="ListBullet"/>
      </w:pPr>
      <w:r>
        <w:t>Adulte — Délirium en soins palliatifs / réanimation : 0,5-2 mg per os ou IM/SC/IV x 2-3/jour, en association avec une benzodiazépine (lorazépam) en cas d'agitation sévère.</w:t>
      </w:r>
    </w:p>
    <w:p>
      <w:pPr>
        <w:pStyle w:val="ListBullet"/>
      </w:pPr>
      <w:r>
        <w:t>Adulte — Indication psychiatrique (schizophrénie, manie) : 1-5 mg per os x 2-3/jour (dose d'attaque), puis dose d'entretien 1-5 mg/jour. Forme retard IM (HALDOL DECANOAS 50 mg/mL) : 50-200 mg IM toutes les 4 semaines.</w:t>
      </w:r>
    </w:p>
    <w:p>
      <w:pPr>
        <w:pStyle w:val="ListBullet"/>
      </w:pPr>
      <w:r>
        <w:t>Sujet âgé : réduction à 0,5-1 mg x 2/jour, surveillance neurologique et ECG accrue. Forme gouttes buvables (2 mg/mL = 0,1 mg/goutte) utile pour adaptation posologique fine.</w:t>
      </w:r>
    </w:p>
    <w:p>
      <w:pPr>
        <w:pStyle w:val="ListBullet"/>
      </w:pPr>
      <w:r>
        <w:t>Enfant &lt; 3 ans : CI absolue. Enfant 3-15 ans, indication psychiatrique : 0,025-0,05 mg/kg x 2-3/jour (initiation très progressive).</w:t>
      </w:r>
    </w:p>
    <w:p>
      <w:pPr>
        <w:pStyle w:val="ListBullet"/>
      </w:pPr>
      <w:r>
        <w:t>Insuffisance rénale : pas d'adaptation formelle, prudence.</w:t>
      </w:r>
    </w:p>
    <w:p>
      <w:pPr>
        <w:pStyle w:val="ListBullet"/>
      </w:pPr>
      <w:r>
        <w:t>Insuffisance hépatique : prudence (métabolisme hépatique), surveillance transaminases.</w:t>
      </w:r>
    </w:p>
    <w:p>
      <w:pPr>
        <w:pStyle w:val="ListBullet"/>
      </w:pPr>
      <w:r>
        <w:t>Durée : courte durée pour l'indication antiémétique (quelques jours à quelques semaines en soins palliatifs). Pour l'indication psychiatrique, traitement prolongé sous surveillance régulière.</w:t>
      </w:r>
    </w:p>
    <w:p>
      <w:pPr>
        <w:pStyle w:val="ListBullet"/>
      </w:pPr>
      <w:r>
        <w:t>Moment de prise : pendant ou après les repas pour la voie orale ; injections à heures fixes.</w:t>
      </w:r>
    </w:p>
    <w:p>
      <w:r/>
      <w:r>
        <w:rPr>
          <w:b/>
        </w:rPr>
        <w:t>Arbitrage et Bénéfices des Formes Galéniques :</w:t>
      </w:r>
      <w:r/>
    </w:p>
    <w:p>
      <w:pPr>
        <w:pStyle w:val="ListBullet"/>
      </w:pPr>
      <w:r/>
      <w:r>
        <w:rPr>
          <w:b/>
        </w:rPr>
        <w:t>Solution injectable 5 mg/mL</w:t>
      </w:r>
      <w:r>
        <w:t xml:space="preserve"> (DEPRIDOL Frater Razes, HALDOL Janssen princeps, HALLUDOL Saidal, SENORM 5 Sun, WERAPIDOL 5 Weimer Pharma) : usage hospitalier (urgences, soins palliatifs, psychiatrie, réanimation), action rapide (15-30 min IM, 5-10 min IV), durée d'action 12-24 h. Voie IM privilégiée (voie IV risque d'hypotension sévère et d'allongement QTc aigu, à réserver à l'urgence et à la perfusion lente). Voie SC possible en perfusion continue en soins palliatifs.</w:t>
      </w:r>
    </w:p>
    <w:p>
      <w:pPr>
        <w:pStyle w:val="ListBullet"/>
      </w:pPr>
      <w:r/>
      <w:r>
        <w:rPr>
          <w:b/>
        </w:rPr>
        <w:t>Solution buvable en gouttes 2 mg/mL (1 goutte ≈ 0,1 mg)</w:t>
      </w:r>
      <w:r>
        <w:t xml:space="preserve"> (HALDOL princeps, HALLUDOL, HADOL, HALDOMEX, HALOL, HALOPERIDOL BGL/PHYSIOPHARM/PHARMAGHREB/GL, HOLIT FORT, ISOPERIDOL, NEURALDOL, VILBAR Biopharm, WERAPIDOL 2) : voie orale ambulatoire, adaptation posologique fine (gouttes pour sujet âgé, enfant, insuffisance rénale), alternative à la forme comprimé (indisponible en Algérie). Concentration 2 mg/mL permet administration précise (1 goutte = 0,1 mg, soit 10 gouttes = 1 mg).</w:t>
      </w:r>
    </w:p>
    <w:p>
      <w:pPr>
        <w:pStyle w:val="ListBullet"/>
      </w:pPr>
      <w:r/>
      <w:r>
        <w:rPr>
          <w:b/>
        </w:rPr>
        <w:t>Comprimés 1 mg et 5 mg</w:t>
      </w:r>
      <w:r>
        <w:t xml:space="preserve"> (DISTENSOL Lifepharma — retiré) : forme orale ambulatoire classique pour l'indication psychiatrique — actuellement non disponible en Algérie (remplacée par les gouttes buvables).</w:t>
      </w:r>
    </w:p>
    <w:p>
      <w:pPr>
        <w:pStyle w:val="ListBullet"/>
      </w:pPr>
      <w:r/>
      <w:r>
        <w:rPr>
          <w:b/>
        </w:rPr>
        <w:t>Forme retard IM 50 mg/mL (décanoate d'halopéridol)</w:t>
      </w:r>
      <w:r>
        <w:t xml:space="preserve"> (HALDOL DECANOAS Janssen) : indication psychiatrique uniquement, 1 injection IM toutes les 4 semaines, observance facilitée (patients psychiatriques ambulatoires). Non utilisée en indication antiémétique.</w:t>
      </w:r>
    </w:p>
    <w:p>
      <w:r/>
      <w:r>
        <w:rPr>
          <w:b/>
        </w:rPr>
        <w:t>Instructions et Conseils au Patient :</w:t>
      </w:r>
      <w:r/>
    </w:p>
    <w:p>
      <w:pPr>
        <w:pStyle w:val="ListBullet"/>
      </w:pPr>
      <w:r>
        <w:t xml:space="preserve">Communication au comptoir : « Ce médicament combat les nausées et vomissements sévères (en particulier en soins palliatifs ou liés aux opioïdes). Il est également utilisé en psychiatrie (schizophrénie, agitation). Il provoque une </w:t>
      </w:r>
      <w:r>
        <w:rPr>
          <w:b/>
        </w:rPr>
        <w:t>somnolence</w:t>
      </w:r>
      <w:r>
        <w:t xml:space="preserve"> et peut entraîner des </w:t>
      </w:r>
      <w:r>
        <w:rPr>
          <w:b/>
        </w:rPr>
        <w:t>tremblements, mouvements involontaires, agitation motrice, difficulté à rester immobile</w:t>
      </w:r>
      <w:r>
        <w:t xml:space="preserve"> — prévenez immédiatement votre médecin si vous ressentez ces symptômes. </w:t>
      </w:r>
      <w:r>
        <w:rPr>
          <w:b/>
        </w:rPr>
        <w:t>Ne pas conduire pendant le traitement et 24 h après</w:t>
      </w:r>
      <w:r>
        <w:t xml:space="preserve">. </w:t>
      </w:r>
      <w:r>
        <w:rPr>
          <w:b/>
        </w:rPr>
        <w:t>Ne pas associer à l'alcool ou aux médicaments sédatifs sans avis médical</w:t>
      </w:r>
      <w:r>
        <w:t xml:space="preserve">. </w:t>
      </w:r>
      <w:r>
        <w:rPr>
          <w:b/>
        </w:rPr>
        <w:t>Un ECG est nécessaire avant et pendant le traitement</w:t>
      </w:r>
      <w:r>
        <w:t xml:space="preserve"> (surveillance du rythme cardiaque). Prévenez votre médecin si vous avez une maladie cardiaque, une maladie de Parkinson, de l'épilepsie, ou si vous êtes enceinte ou allaitez. »</w:t>
      </w:r>
    </w:p>
    <w:p>
      <w:pPr>
        <w:pStyle w:val="ListBullet"/>
      </w:pPr>
      <w:r>
        <w:t>Mode d'utilisation pratique : (a) Prendre à heure fixe selon la prescription ; (b) Respecter la posologie prescrite (ne pas augmenter sans avis médical) ; (c) En cas d'oubli, prendre dès que possible dans les 6 h, ne pas doubler la dose suivante ; (d) Avertir le patient des signes d'alerte (tremblements, mouvements anormaux, agitation, somnolence excessive, palpitations, syncope, fièvre inexpliquée) ; (e) Éviter la conduite et les activités à risque pendant le traitement et 24 h après ; (f) Éviter l'alcool ; (g) Se lever progressivement (risque d'hypotension orthostatique) ; (h) Boire suffisamment d'eau (prévenir la sécheresse buccale et la constipation) ; (i) Surveiller la température corporelle (risque de syndrome malin des neuroleptiques).</w:t>
      </w:r>
    </w:p>
    <w:p>
      <w:r/>
      <w:r>
        <w:rPr>
          <w:b/>
        </w:rPr>
        <w:t>Notes, Règles d'Or &amp; Pièges au Comptoir :</w:t>
      </w:r>
      <w:r/>
    </w:p>
    <w:p>
      <w:pPr>
        <w:pStyle w:val="ListBullet"/>
      </w:pPr>
      <w:r>
        <w:t xml:space="preserve">Piège classique : </w:t>
      </w:r>
      <w:r>
        <w:rPr>
          <w:b/>
        </w:rPr>
        <w:t>Halopéridol = neuroleptique classique puissant, à manier avec précaution</w:t>
      </w:r>
      <w:r>
        <w:t>. Pour l'indication antiémétique, l'halopéridol est une option de 2e/3e intention en soins palliatifs, à réserver aux cas d'échec ou de CI des antiémétiques de première intention (5-HT3, métoclopramide, dompéridone).</w:t>
      </w:r>
    </w:p>
    <w:p>
      <w:pPr>
        <w:pStyle w:val="ListBullet"/>
      </w:pPr>
      <w:r>
        <w:t>Piège QTc : surveillance ECG systématique (QTc &lt; 440 ms chez l'homme, &lt; 460 ms chez la femme). CI absolue en cas d'allongement QTc préexistant, d'hypokaliémie, d'insuffisance cardiaque décompensée, ou d'association avec d'autres allongeurs QT.</w:t>
      </w:r>
    </w:p>
    <w:p>
      <w:pPr>
        <w:pStyle w:val="ListBullet"/>
      </w:pPr>
      <w:r>
        <w:t>Piège Parkinson : CI absolue en cas de maladie de Parkinson ou de démence à corps de Lewy (risque de décompensation majeure, syndrome malin). Demander systématiquement si le patient prend du Modopar, Sinemet, Parlodel, Requip, Sifrol, etc.</w:t>
      </w:r>
    </w:p>
    <w:p>
      <w:pPr>
        <w:pStyle w:val="ListBullet"/>
      </w:pPr>
      <w:r>
        <w:t>Piège syndrome malin des neuroleptiques : hyperthermie &gt; 40°C, rigidité musculaire, altération de la conscience — urgence vitale, arrêt immédiat, hospitalisation en réanimation, dantrolène IV. Mortalité 10-20%.</w:t>
      </w:r>
    </w:p>
    <w:p>
      <w:pPr>
        <w:pStyle w:val="ListBullet"/>
      </w:pPr>
      <w:r>
        <w:t>Piège dyskinésie tardive : risque majoré chez la femme âgée et en cas de traitement prolongé &gt; 3 mois. Surveillance neurologique régulière, arrêt dès les premiers signes.</w:t>
      </w:r>
    </w:p>
    <w:p>
      <w:pPr>
        <w:pStyle w:val="ListBullet"/>
      </w:pPr>
      <w:r>
        <w:t>Règle de prise : pendant ou après les repas pour la voie orale ; injections à heures fixes ; voie SC en perfusion continue en soins palliatifs.</w:t>
      </w:r>
    </w:p>
    <w:p>
      <w:pPr>
        <w:pStyle w:val="ListBullet"/>
      </w:pPr>
      <w:r>
        <w:t>Préparation et Conservation : comprimés et solution buvable à température ambiante &lt; 25°C, à l'abri de l'humidité ; solution injectable à conserver à température ambiante, à l'abri de la lumière ; forme retard IM (décanoate) à conserver à température ambiante, à l'abri de la lumière, à ne pas congeler.</w:t>
      </w:r>
    </w:p>
    <w:p>
      <w:pPr>
        <w:pStyle w:val="ListBullet"/>
      </w:pPr>
      <w:r>
        <w:t>Piège du surdosage / Substitution : ne pas substituer l'halopéridol par la métoclopramide ou la dompéridone sans prescription médicale (différentes classes, différentes indications). En cas de non-disponibilité de l'halopéridol injectable, alternative en soins palliatifs : métoclopramide 10 mg SC x 3/jour ou perfusion continue 30-60 mg/24 h (si pas d'occlusion intestinale complète), ou 5-HT3 (ondansétron 4-8 mg SC/IV x 2-3/jour).</w:t>
      </w:r>
    </w:p>
    <w:p>
      <w:pPr>
        <w:pStyle w:val="Heading2"/>
      </w:pPr>
      <w:r>
        <w:t>10. DCI : Méclozine (seule)</w:t>
      </w:r>
    </w:p>
    <w:p>
      <w:r/>
      <w:r>
        <w:rPr>
          <w:b/>
        </w:rPr>
        <w:t>Liste des Catégories :</w:t>
      </w:r>
      <w:r>
        <w:t xml:space="preserve"> Antivertigineux anti-H1 central — actuellement RETIRÉ du marché en Algérie.</w:t>
      </w:r>
    </w:p>
    <w:p>
      <w:r>
        <w:t xml:space="preserve">La méclozine (aussi connue sous le nom de méclizine) est un antihistaminique H1 de première génération de la famille des pipérazines, utilisé spécifiquement comme antivertigineux et antiémétique dans les troubles vestibulaires et les cinétoses. Sa pharmacocinétique est caractérisée par une biodisponibilité orale modeste, un pic plasmatique à 2-3 h, une </w:t>
      </w:r>
      <w:r>
        <w:rPr>
          <w:b/>
        </w:rPr>
        <w:t>demi-vie d'élimination prolongée de ~6 h (allant jusqu'à 12 h)</w:t>
      </w:r>
      <w:r>
        <w:t xml:space="preserve"> permettant une monoprise quotidienne, un métabolisme hépatique (CYP2D6, CYP3A4 mineurs), et une élimination rénale et fécale. La liaison aux protéines plasmatiques est modeste. La méclozine traverse largement la BHE (à l'origine de ses effets centraux : antivertigineux, sédatif, anticholinergique) et la barrière placentaire. En Algérie, la méclozine n'est plus disponible : la seule spécialité historique (AGYRAX 25 mg UCB Pharma) est retirée du marché.</w:t>
      </w:r>
    </w:p>
    <w:p>
      <w:r/>
      <w:r>
        <w:rPr>
          <w:b/>
        </w:rPr>
        <w:t>Médicaments disponibles en Algérie (Marques, Laboratoires, Formes et Dosages) :</w:t>
      </w:r>
      <w:r/>
    </w:p>
    <w:p>
      <w:pPr>
        <w:pStyle w:val="ListBullet"/>
      </w:pPr>
      <w:r/>
      <w:r>
        <w:rPr>
          <w:b/>
        </w:rPr>
        <w:t>AGYRAX</w:t>
      </w:r>
      <w:r>
        <w:t xml:space="preserve"> (UCB PHARMA) — princeps</w:t>
      </w:r>
    </w:p>
    <w:p>
      <w:pPr>
        <w:pStyle w:val="ListBullet"/>
      </w:pPr>
      <w:r>
        <w:t>Formes et Dosages : Comprimé sécable 25 mg (B/15)</w:t>
      </w:r>
    </w:p>
    <w:p>
      <w:pPr>
        <w:pStyle w:val="ListBullet"/>
      </w:pPr>
      <w:r>
        <w:t>Statut : RETRAIT (R)</w:t>
      </w:r>
    </w:p>
    <w:p>
      <w:r/>
      <w:r>
        <w:rPr>
          <w:b/>
        </w:rPr>
        <w:t>Sous-classe et Mécanisme d'action :</w:t>
      </w:r>
      <w:r/>
    </w:p>
    <w:p>
      <w:pPr>
        <w:pStyle w:val="ListBullet"/>
      </w:pPr>
      <w:r>
        <w:t>Sous-classe : Antivertigineux de la famille des antihistaminiques H1 de première génération (pipérazine), à activité antiémétique et anticholinergique centrale. RETIRÉ DU MARCHÉ en Algérie.</w:t>
      </w:r>
    </w:p>
    <w:p>
      <w:pPr>
        <w:pStyle w:val="ListBullet"/>
      </w:pPr>
      <w:r>
        <w:t xml:space="preserve">Mécanisme d'action : La méclozine exerce son action antivertigineuse par trois mécanismes complémentaires. (1) </w:t>
      </w:r>
      <w:r>
        <w:rPr>
          <w:b/>
        </w:rPr>
        <w:t>Blocage des récepteurs H1 centraux</w:t>
      </w:r>
      <w:r>
        <w:t xml:space="preserve"> au niveau des noyaux vestibulaires (noyaux de Deiters, noyaux vestibulaires médial et supérieur) et du CTZ, où l'histamine joue un rôle de neurotransmetteur activateur de la voie vestibulaire — c'est le mécanisme dominant. (2) </w:t>
      </w:r>
      <w:r>
        <w:rPr>
          <w:b/>
        </w:rPr>
        <w:t>Blocage des récepteurs muscariniques mACh centraux</w:t>
      </w:r>
      <w:r>
        <w:t xml:space="preserve"> — réduit la transmission cholinergique des afférences vestibulaires, participe à l'effet antivertigineux et à l'effet antiémétique, à l'origine des effets anticholinergiques (sécheresse buccale, mydriase, rétention urinaire, tachycardie). (3) </w:t>
      </w:r>
      <w:r>
        <w:rPr>
          <w:b/>
        </w:rPr>
        <w:t>Modeste blocage des récepteurs D2 du CTZ</w:t>
      </w:r>
      <w:r>
        <w:t xml:space="preserve"> — effet antiémétique additionnel. Cette signature multi-récepteurs confère à la méclozine une efficacité particulière dans la prévention et le traitement des vertiges d'origine vestibulaire (maladie de Ménière, vertige paroxystique bénin BPPV, neurite vestibulaire), des cinétoses (mal des transports, mal de mer), et accessoirement des nausées gravidiques (en seconde intention). Sa caractéristique pharmacocinétique est une longue demi-vie (~6 h, allant jusqu'à 12 h) permettant une monoprise quotidienne, ce qui la distingue des autres anti-H1 de 1re génération à demi-vie courte (dimenhydrinate, prométhazine).</w:t>
      </w:r>
    </w:p>
    <w:p>
      <w:r/>
      <w:r>
        <w:rPr>
          <w:b/>
        </w:rPr>
        <w:t>Profil Pharmacologique :</w:t>
      </w:r>
      <w:r/>
    </w:p>
    <w:p>
      <w:pPr>
        <w:pStyle w:val="ListBullet"/>
      </w:pPr>
      <w:r>
        <w:t xml:space="preserve">Indications : (a) </w:t>
      </w:r>
      <w:r>
        <w:rPr>
          <w:b/>
        </w:rPr>
        <w:t>Prévention et traitement des vertiges d'origine vestibulaire</w:t>
      </w:r>
      <w:r>
        <w:t xml:space="preserve"> (maladie de Ménière, vertige paroxystique bénin BPPV, neurite vestibulaire) — traitement symptomatique prolongé possible ; (b) </w:t>
      </w:r>
      <w:r>
        <w:rPr>
          <w:b/>
        </w:rPr>
        <w:t>Cinétoses</w:t>
      </w:r>
      <w:r>
        <w:t xml:space="preserve"> (mal des transports, mal de mer, mal de l'air) — prévention et traitement ; (c) </w:t>
      </w:r>
      <w:r>
        <w:rPr>
          <w:b/>
        </w:rPr>
        <w:t>Nausées gravidiques</w:t>
      </w:r>
      <w:r>
        <w:t xml:space="preserve"> en deuxième intention après échec des anti-H1 non phénothiaziniques (doxylamine + pyridoxine) — usage ponctuel. Aujourd'hui NON INDICITÉ en Algérie en raison du retrait du marché.</w:t>
      </w:r>
    </w:p>
    <w:p>
      <w:pPr>
        <w:pStyle w:val="ListBullet"/>
      </w:pPr>
      <w:r>
        <w:t xml:space="preserve">Contre-indications (historiques) : (a) Hypersensibilité à la méclozine ou aux anti-H1 de 1re génération ; (b) </w:t>
      </w:r>
      <w:r>
        <w:rPr>
          <w:b/>
        </w:rPr>
        <w:t>Nourrisson &lt; 2 ans</w:t>
      </w:r>
      <w:r>
        <w:t xml:space="preserve"> — CI absolue (risque de mort subite, dépression respiratoire) ; (c) Insuffisance respiratoire sévère ; (d) Glaucome à angle fermé (effet anticholinergique) ; (e) Hypertrophie bénigne de la prostate avec rétention urinaire (effet anticholinergique) ; (f) Sténose pylorique ou duodénale (effet anticholinergique) ; (g) Épilepsie non contrôlée ; (h) Myasthénie ; (i) Allaitement (à éviter) ; (j) Association avec l'alcool ou autres dépresseurs centraux ; (k) Association avec les IMAO.</w:t>
      </w:r>
    </w:p>
    <w:p>
      <w:pPr>
        <w:pStyle w:val="ListBullet"/>
      </w:pPr>
      <w:r>
        <w:t xml:space="preserve">Effets Indésirables (historiques) : (a) </w:t>
      </w:r>
      <w:r>
        <w:rPr>
          <w:b/>
        </w:rPr>
        <w:t>Somnolence marquée</w:t>
      </w:r>
      <w:r>
        <w:t xml:space="preserve"> (effet H1 central principal — altération de la vigilance, conduite et activités à risque) — généralement moindre qu'avec la prométhazine ; (b) </w:t>
      </w:r>
      <w:r>
        <w:rPr>
          <w:b/>
        </w:rPr>
        <w:t>Effets anticholinergiques</w:t>
      </w:r>
      <w:r>
        <w:t xml:space="preserve"> (sécheresse buccale, mydriase, trouble de l'accommodation, rétention urinaire, tachycardie, constipation) ; (c) </w:t>
      </w:r>
      <w:r>
        <w:rPr>
          <w:b/>
        </w:rPr>
        <w:t>Hypotension orthostatique</w:t>
      </w:r>
      <w:r>
        <w:t xml:space="preserve"> (effet α1-adrénergique modéré) ; (d) </w:t>
      </w:r>
      <w:r>
        <w:rPr>
          <w:b/>
        </w:rPr>
        <w:t>Allongement du QTc</w:t>
      </w:r>
      <w:r>
        <w:t xml:space="preserve"> (à surveiller ECG si terrain cardiaque) ; (e) </w:t>
      </w:r>
      <w:r>
        <w:rPr>
          <w:b/>
        </w:rPr>
        <w:t>Réactions paradoxales d'agitation</w:t>
      </w:r>
      <w:r>
        <w:t xml:space="preserve"> chez le sujet âgé ; (f) Fatigue, asthénie, céphalées ; (g) Réactions allergiques (rash, urticaire) ; (h) Photosensibilité cutanée ; (i) Troubles de l'accommodation et de la vision.</w:t>
      </w:r>
    </w:p>
    <w:p>
      <w:r/>
      <w:r>
        <w:rPr>
          <w:b/>
        </w:rPr>
        <w:t>Prévention et Gestion des Effets Indésirables :</w:t>
      </w:r>
      <w:r/>
    </w:p>
    <w:p>
      <w:pPr>
        <w:pStyle w:val="ListBullet"/>
      </w:pPr>
      <w:r>
        <w:t xml:space="preserve">Mesures Préventives : La méclozine étant retirée du marché algérien, elle ne doit </w:t>
      </w:r>
      <w:r>
        <w:rPr>
          <w:b/>
        </w:rPr>
        <w:t>plus être prescrite ni délivrée</w:t>
      </w:r>
      <w:r>
        <w:t>. Les patients ayant pu en conserver doivent être informés du retrait et orientés vers le médecin pour prescription alternative. Le pharmacien doit connaître cette classe pour répondre aux patients et proposer des alternatives.</w:t>
      </w:r>
    </w:p>
    <w:p>
      <w:pPr>
        <w:pStyle w:val="ListBullet"/>
      </w:pPr>
      <w:r>
        <w:t>Conduite à Tenir : Tout patient sous méclozine (usage ancien ou importation) doit arrêter le traitement et consulter un médecin ORL ou neurologue pour réévaluation du vertige et proposition d'alternative thérapeutique.</w:t>
      </w:r>
    </w:p>
    <w:p>
      <w:r/>
      <w:r>
        <w:rPr>
          <w:b/>
        </w:rPr>
        <w:t>Interactions Importantes :</w:t>
      </w:r>
      <w:r/>
    </w:p>
    <w:p>
      <w:pPr>
        <w:pStyle w:val="ListBullet"/>
      </w:pPr>
      <w:r/>
      <w:r>
        <w:rPr>
          <w:b/>
        </w:rPr>
        <w:t>Méclozine + alcool</w:t>
      </w:r>
      <w:r>
        <w:t xml:space="preserve"> : potentialisation majeure de la sédation et de l'altération de la vigilance — </w:t>
      </w:r>
      <w:r>
        <w:rPr>
          <w:b/>
        </w:rPr>
        <w:t>à éviter absolument</w:t>
      </w:r>
      <w:r>
        <w:t>.</w:t>
      </w:r>
    </w:p>
    <w:p>
      <w:pPr>
        <w:pStyle w:val="ListBullet"/>
      </w:pPr>
      <w:r/>
      <w:r>
        <w:rPr>
          <w:b/>
        </w:rPr>
        <w:t>Méclozine + dépresseurs centraux</w:t>
      </w:r>
      <w:r>
        <w:t xml:space="preserve"> (benzodiazépines, opioïdes, antihistaminiques H1 de 1re génération, barbituriques) : potentialisation de la sédation.</w:t>
      </w:r>
    </w:p>
    <w:p>
      <w:pPr>
        <w:pStyle w:val="ListBullet"/>
      </w:pPr>
      <w:r/>
      <w:r>
        <w:rPr>
          <w:b/>
        </w:rPr>
        <w:t>Méclozine + IMAO</w:t>
      </w:r>
      <w:r>
        <w:t xml:space="preserve"> : risque d'hyperthermie, hypertension, convulsions — </w:t>
      </w:r>
      <w:r>
        <w:rPr>
          <w:b/>
        </w:rPr>
        <w:t>CI absolue</w:t>
      </w:r>
      <w:r>
        <w:t>.</w:t>
      </w:r>
    </w:p>
    <w:p>
      <w:pPr>
        <w:pStyle w:val="ListBullet"/>
      </w:pPr>
      <w:r/>
      <w:r>
        <w:rPr>
          <w:b/>
        </w:rPr>
        <w:t>Méclozine + anticholinergiques</w:t>
      </w:r>
      <w:r>
        <w:t xml:space="preserve"> (atropine, trihexyphénidyle, tropatépine, antidépresseurs tricycliques) : addition des effets anticholinergiques.</w:t>
      </w:r>
    </w:p>
    <w:p>
      <w:pPr>
        <w:pStyle w:val="ListBullet"/>
      </w:pPr>
      <w:r/>
      <w:r>
        <w:rPr>
          <w:b/>
        </w:rPr>
        <w:t>Méclozine + allongeurs QT</w:t>
      </w:r>
      <w:r>
        <w:t xml:space="preserve"> : addition des effets sur le QTc.</w:t>
      </w:r>
    </w:p>
    <w:p>
      <w:pPr>
        <w:pStyle w:val="ListBullet"/>
      </w:pPr>
      <w:r/>
      <w:r>
        <w:rPr>
          <w:b/>
        </w:rPr>
        <w:t>Méclozine + inhibiteurs CYP2D6</w:t>
      </w:r>
      <w:r>
        <w:t xml:space="preserve"> (paroxétine, fluoxétine, bupropion) : augmentation possible des concentrations de méclozine.</w:t>
      </w:r>
    </w:p>
    <w:p>
      <w:r/>
      <w:r>
        <w:rPr>
          <w:b/>
        </w:rPr>
        <w:t>Grossesse et Allaitement :</w:t>
      </w:r>
      <w:r/>
    </w:p>
    <w:p>
      <w:pPr>
        <w:pStyle w:val="ListBullet"/>
      </w:pPr>
      <w:r>
        <w:t xml:space="preserve">Grossesse : Selon le CRAT, la méclozine est </w:t>
      </w:r>
      <w:r>
        <w:rPr>
          <w:b/>
        </w:rPr>
        <w:t>compatible pendant la grossesse</w:t>
      </w:r>
      <w:r>
        <w:t xml:space="preserve"> en cas de nécessité (données anciennes de l'FDA classe B, utilisée historiquement pour les nausées gravidiques). Aux 2e et 3e trimestres, l'usage ponctuel est possible. À la fin du 3e trimestre, surveillance du nouveau-né en cas d'usage prolongé (risque théorique de sédation). Préférer les anti-H1 non phénothiaziniques (doxylamine + pyridoxine) en 1re intention pour les nausées gravidiques.</w:t>
      </w:r>
    </w:p>
    <w:p>
      <w:pPr>
        <w:pStyle w:val="ListBullet"/>
      </w:pPr>
      <w:r>
        <w:t xml:space="preserve">Allaitement : Selon le CRAT, la méclozine est </w:t>
      </w:r>
      <w:r>
        <w:rPr>
          <w:b/>
        </w:rPr>
        <w:t>à éviter pendant l'allaitement</w:t>
      </w:r>
      <w:r>
        <w:t xml:space="preserve"> en raison du passage dans le lait maternel et du risque de sédation chez le nouveau-né. Préférer les anti-H1 de seconde génération (loratadine, cétirizine) si antihistaminique nécessaire pendant l'allaitement.</w:t>
      </w:r>
    </w:p>
    <w:p>
      <w:pPr>
        <w:pStyle w:val="ListBullet"/>
      </w:pPr>
      <w:r>
        <w:t>Précisions : Risque fœtal principal = sédation en cas d'usage prolongé en fin de grossesse. CI absolue chez le nourrisson &lt; 2 ans (mort subite).</w:t>
      </w:r>
    </w:p>
    <w:p>
      <w:r/>
      <w:r>
        <w:rPr>
          <w:b/>
        </w:rPr>
        <w:t>Posologie et Mode d'administration (Standard historique) :</w:t>
      </w:r>
      <w:r/>
    </w:p>
    <w:p>
      <w:pPr>
        <w:pStyle w:val="ListBullet"/>
      </w:pPr>
      <w:r>
        <w:t>Adulte — Vertiges : 25 mg per os x 1-2/jour (monoprise quotidienne possible grâce à la longue demi-vie). Adaptation selon réponse clinique.</w:t>
      </w:r>
    </w:p>
    <w:p>
      <w:pPr>
        <w:pStyle w:val="ListBullet"/>
      </w:pPr>
      <w:r>
        <w:t>Adulte — Cinétoses : 25-50 mg per os 1 heure avant le départ, à renouveler toutes les 12-24 h si nécessaire.</w:t>
      </w:r>
    </w:p>
    <w:p>
      <w:pPr>
        <w:pStyle w:val="ListBullet"/>
      </w:pPr>
      <w:r>
        <w:t>Sujet âgé : réduction à 12,5-25 mg/jour, surveillance neurologique accrue.</w:t>
      </w:r>
    </w:p>
    <w:p>
      <w:pPr>
        <w:pStyle w:val="ListBullet"/>
      </w:pPr>
      <w:r>
        <w:t>Enfant &gt; 12 ans : 12,5-25 mg/jour.</w:t>
      </w:r>
    </w:p>
    <w:p>
      <w:pPr>
        <w:pStyle w:val="ListBullet"/>
      </w:pPr>
      <w:r>
        <w:t>Enfant &lt; 12 ans : CI par mesure de prudence.</w:t>
      </w:r>
    </w:p>
    <w:p>
      <w:pPr>
        <w:pStyle w:val="ListBullet"/>
      </w:pPr>
      <w:r>
        <w:t>Insuffisance rénale et hépatique : pas d'adaptation formelle, prudence.</w:t>
      </w:r>
    </w:p>
    <w:p>
      <w:pPr>
        <w:pStyle w:val="ListBullet"/>
      </w:pPr>
      <w:r>
        <w:t>Durée : selon indication (traitement prolongé possible pour la maladie de Ménière).</w:t>
      </w:r>
    </w:p>
    <w:p>
      <w:pPr>
        <w:pStyle w:val="ListBullet"/>
      </w:pPr>
      <w:r>
        <w:t>Moment de prise : pour les cinétoses : 1 heure avant le départ ; pour les vertiges : à heure fixe, de préférence le soir pour limiter la somnolence.</w:t>
      </w:r>
    </w:p>
    <w:p>
      <w:pPr>
        <w:pStyle w:val="ListBullet"/>
      </w:pPr>
      <w:r>
        <w:t>Aujourd'hui : aucune posologie applicable — médicament retiré.</w:t>
      </w:r>
    </w:p>
    <w:p>
      <w:r/>
      <w:r>
        <w:rPr>
          <w:b/>
        </w:rPr>
        <w:t>Arbitrage et Bénéfices des Formes Galéniques :</w:t>
      </w:r>
      <w:r/>
    </w:p>
    <w:p>
      <w:pPr>
        <w:pStyle w:val="ListBullet"/>
      </w:pPr>
      <w:r>
        <w:t>Les formes historiques (comprimés 25 mg) ne sont plus disponibles en Algérie. Le retrait de l'AGYRAX princeps UCB Pharma a privé le marché algérien d'une molécule de référence pour les vertiges vestibulaires et les cinétoses.</w:t>
      </w:r>
    </w:p>
    <w:p>
      <w:pPr>
        <w:pStyle w:val="ListBullet"/>
      </w:pPr>
      <w:r>
        <w:t>Les alternatives possibles en Algérie sont limitées : (a) pour les vertiges vestibulaires aigus : bétahistine (non disponible en Algérie), prométhazine injectable (PRANOK — pour les formes sévères), benzodiazépines à demi-vie courte (clonazépam) en traitement de courte durée ; (b) pour les cinétoses : dimenhydrinate (non disponible), anti-H1 de 1re génération disponibles (prométhazine injectable) — utilisation limitée en raison de la sédation marquée ; (c) pour les nausées gravidiques : doxylamine + pyridoxine (non disponible en association en Algérie, mais la doxylamine seule est disponible), ou ondansétron en 2e intention.</w:t>
      </w:r>
    </w:p>
    <w:p>
      <w:r/>
      <w:r>
        <w:rPr>
          <w:b/>
        </w:rPr>
        <w:t>Instructions et Conseils au Patient :</w:t>
      </w:r>
      <w:r/>
    </w:p>
    <w:p>
      <w:pPr>
        <w:pStyle w:val="ListBullet"/>
      </w:pPr>
      <w:r>
        <w:t>Communication au comptoir : « Ce médicament a été retiré du marché il y a plusieurs années. Il n'est plus disponible. Pour vos vertiges, consultez votre médecin ORL ou neurologue qui vous proposera un traitement alternatif adapté. »</w:t>
      </w:r>
    </w:p>
    <w:p>
      <w:pPr>
        <w:pStyle w:val="ListBullet"/>
      </w:pPr>
      <w:r>
        <w:t>Mode d'utilisation pratique : aucune — médicament retiré.</w:t>
      </w:r>
    </w:p>
    <w:p>
      <w:r/>
      <w:r>
        <w:rPr>
          <w:b/>
        </w:rPr>
        <w:t>Notes, Règles d'Or &amp; Pièges au Comptoir :</w:t>
      </w:r>
      <w:r/>
    </w:p>
    <w:p>
      <w:pPr>
        <w:pStyle w:val="ListBullet"/>
      </w:pPr>
      <w:r>
        <w:t xml:space="preserve">Piège classique : </w:t>
      </w:r>
      <w:r>
        <w:rPr>
          <w:b/>
        </w:rPr>
        <w:t>Méclozine = médicament retiré du marché en Algérie</w:t>
      </w:r>
      <w:r>
        <w:t>. Le pharmacien ne doit jamais délivrer, même sur ancienne prescription. Tout patient en ayant conservé doit être informé du retrait et orienté vers le médecin.</w:t>
      </w:r>
    </w:p>
    <w:p>
      <w:pPr>
        <w:pStyle w:val="ListBullet"/>
      </w:pPr>
      <w:r>
        <w:t>Règle de prise : aucune — médicament retiré.</w:t>
      </w:r>
    </w:p>
    <w:p>
      <w:pPr>
        <w:pStyle w:val="ListBullet"/>
      </w:pPr>
      <w:r>
        <w:t>Préparation et Conservation : à rapporter à la pharmacie pour destruction (filière médicaments usagés).</w:t>
      </w:r>
    </w:p>
    <w:p>
      <w:pPr>
        <w:pStyle w:val="ListBullet"/>
      </w:pPr>
      <w:r>
        <w:t>Piège du surdosage / Substitution : la substitution pour indication antivertigineuse doit se faire sur prescription médicale actualisée. Les alternatives algériennes sont limitées (prométhazine injectable PRANOK, benzodiazépines à demi-vie courte, ondansétron si nausées associées). L'orientation vers un médecin ORL est indispensable pour explorer l'étiologie du vertige (BPPV, maladie de Ménière, neurite vestibulaire) et proposer une prise en charge adaptée (manœuvres d'Epley pour le BPPV, régime hyposodé + bétahistine pour la maladie de Ménière — bétahistine non disponible en Algérie).</w:t>
      </w:r>
    </w:p>
    <w:p>
      <w:pPr>
        <w:pStyle w:val="ListBullet"/>
      </w:pPr>
      <w:r>
        <w:t>Rôle pédagogique : la méclozine reste un cas de pénurie thérapeutique marquée en Algérie, illustrant les conséquences des retraits de molécules de référence sur la prise en charge des pathologies vestibulaires.</w:t>
      </w:r>
    </w:p>
    <w:p>
      <w:pPr>
        <w:pStyle w:val="Heading2"/>
      </w:pPr>
      <w:r>
        <w:t>Tableau comparatif synthétique des Prokinétiques, Antiémétiques et Antivertigineux</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w:t>
            </w:r>
          </w:p>
        </w:tc>
        <w:tc>
          <w:tcPr>
            <w:tcW w:type="dxa" w:w="1336"/>
          </w:tcPr>
          <w:p>
            <w:r>
              <w:rPr>
                <w:b/>
                <w:sz w:val="20"/>
              </w:rPr>
              <w:t>Posologie standard</w:t>
            </w:r>
          </w:p>
        </w:tc>
        <w:tc>
          <w:tcPr>
            <w:tcW w:type="dxa" w:w="1336"/>
          </w:tcPr>
          <w:p>
            <w:r>
              <w:rPr>
                <w:b/>
                <w:sz w:val="20"/>
              </w:rPr>
              <w:t>EI majeur</w:t>
            </w:r>
          </w:p>
        </w:tc>
        <w:tc>
          <w:tcPr>
            <w:tcW w:type="dxa" w:w="1336"/>
          </w:tcPr>
          <w:p>
            <w:r>
              <w:rPr>
                <w:b/>
                <w:sz w:val="20"/>
              </w:rPr>
              <w:t>CI majeure</w:t>
            </w:r>
          </w:p>
        </w:tc>
        <w:tc>
          <w:tcPr>
            <w:tcW w:type="dxa" w:w="1336"/>
          </w:tcPr>
          <w:p>
            <w:r>
              <w:rPr>
                <w:b/>
                <w:sz w:val="20"/>
              </w:rPr>
              <w:t>Grossesse</w:t>
            </w:r>
          </w:p>
        </w:tc>
      </w:tr>
      <w:tr>
        <w:tc>
          <w:tcPr>
            <w:tcW w:type="dxa" w:w="1336"/>
          </w:tcPr>
          <w:p>
            <w:r>
              <w:rPr>
                <w:sz w:val="20"/>
              </w:rPr>
              <w:t>**Métoclopramide**</w:t>
            </w:r>
          </w:p>
        </w:tc>
        <w:tc>
          <w:tcPr>
            <w:tcW w:type="dxa" w:w="1336"/>
          </w:tcPr>
          <w:p>
            <w:r>
              <w:rPr>
                <w:sz w:val="20"/>
              </w:rPr>
              <w:t>D2 central (orthopramide)</w:t>
            </w:r>
          </w:p>
        </w:tc>
        <w:tc>
          <w:tcPr>
            <w:tcW w:type="dxa" w:w="1336"/>
          </w:tcPr>
          <w:p>
            <w:r>
              <w:rPr>
                <w:sz w:val="20"/>
              </w:rPr>
              <w:t>Antagoniste D2 central (CTZ) + périphérique + agoniste 5-HT4 partiel</w:t>
            </w:r>
          </w:p>
        </w:tc>
        <w:tc>
          <w:tcPr>
            <w:tcW w:type="dxa" w:w="1336"/>
          </w:tcPr>
          <w:p>
            <w:r>
              <w:rPr>
                <w:sz w:val="20"/>
              </w:rPr>
              <w:t>10 mg x 3/j per os ou IM/IV, **durée max 5 jours**</w:t>
            </w:r>
          </w:p>
        </w:tc>
        <w:tc>
          <w:tcPr>
            <w:tcW w:type="dxa" w:w="1336"/>
          </w:tcPr>
          <w:p>
            <w:r>
              <w:rPr>
                <w:sz w:val="20"/>
              </w:rPr>
              <w:t>Effets extrapyramidaux, dyskinésie tardive, hyperprolactinémie</w:t>
            </w:r>
          </w:p>
        </w:tc>
        <w:tc>
          <w:tcPr>
            <w:tcW w:type="dxa" w:w="1336"/>
          </w:tcPr>
          <w:p>
            <w:r>
              <w:rPr>
                <w:sz w:val="20"/>
              </w:rPr>
              <w:t>Parkinson, tumeur prolactine, enfant &lt; 1 an, allongement QT</w:t>
            </w:r>
          </w:p>
        </w:tc>
        <w:tc>
          <w:tcPr>
            <w:tcW w:type="dxa" w:w="1336"/>
          </w:tcPr>
          <w:p>
            <w:r>
              <w:rPr>
                <w:sz w:val="20"/>
              </w:rPr>
              <w:t>Compatible (éviter 1er T)</w:t>
            </w:r>
          </w:p>
        </w:tc>
      </w:tr>
      <w:tr>
        <w:tc>
          <w:tcPr>
            <w:tcW w:type="dxa" w:w="1336"/>
          </w:tcPr>
          <w:p>
            <w:r>
              <w:rPr>
                <w:sz w:val="20"/>
              </w:rPr>
              <w:t>**Dompéridone**</w:t>
            </w:r>
          </w:p>
        </w:tc>
        <w:tc>
          <w:tcPr>
            <w:tcW w:type="dxa" w:w="1336"/>
          </w:tcPr>
          <w:p>
            <w:r>
              <w:rPr>
                <w:sz w:val="20"/>
              </w:rPr>
              <w:t>D2 périphérique (benzimidazolone)</w:t>
            </w:r>
          </w:p>
        </w:tc>
        <w:tc>
          <w:tcPr>
            <w:tcW w:type="dxa" w:w="1336"/>
          </w:tcPr>
          <w:p>
            <w:r>
              <w:rPr>
                <w:sz w:val="20"/>
              </w:rPr>
              <w:t>Antagoniste D2 périphérique (CTZ hors BHE) + entérique, pas d'activité 5-HT4</w:t>
            </w:r>
          </w:p>
        </w:tc>
        <w:tc>
          <w:tcPr>
            <w:tcW w:type="dxa" w:w="1336"/>
          </w:tcPr>
          <w:p>
            <w:r>
              <w:rPr>
                <w:sz w:val="20"/>
              </w:rPr>
              <w:t>10 mg x 3/j per os, **durée max 7 jours**</w:t>
            </w:r>
          </w:p>
        </w:tc>
        <w:tc>
          <w:tcPr>
            <w:tcW w:type="dxa" w:w="1336"/>
          </w:tcPr>
          <w:p>
            <w:r>
              <w:rPr>
                <w:sz w:val="20"/>
              </w:rPr>
              <w:t>Allongement QTc, torsades, hyperprolactinémie</w:t>
            </w:r>
          </w:p>
        </w:tc>
        <w:tc>
          <w:tcPr>
            <w:tcW w:type="dxa" w:w="1336"/>
          </w:tcPr>
          <w:p>
            <w:r>
              <w:rPr>
                <w:sz w:val="20"/>
              </w:rPr>
              <w:t>Allongement QT, inhibiteurs CYP3A4, allongeurs QT, ins. hépatique sévère</w:t>
            </w:r>
          </w:p>
        </w:tc>
        <w:tc>
          <w:tcPr>
            <w:tcW w:type="dxa" w:w="1336"/>
          </w:tcPr>
          <w:p>
            <w:r>
              <w:rPr>
                <w:sz w:val="20"/>
              </w:rPr>
              <w:t>À éviter 1er T, compatible 2e/3e T</w:t>
            </w:r>
          </w:p>
        </w:tc>
      </w:tr>
      <w:tr>
        <w:tc>
          <w:tcPr>
            <w:tcW w:type="dxa" w:w="1336"/>
          </w:tcPr>
          <w:p>
            <w:r>
              <w:rPr>
                <w:sz w:val="20"/>
              </w:rPr>
              <w:t>**Cisapride** (R)</w:t>
            </w:r>
          </w:p>
        </w:tc>
        <w:tc>
          <w:tcPr>
            <w:tcW w:type="dxa" w:w="1336"/>
          </w:tcPr>
          <w:p>
            <w:r>
              <w:rPr>
                <w:sz w:val="20"/>
              </w:rPr>
              <w:t>5-HT4 agoniste (retiré)</w:t>
            </w:r>
          </w:p>
        </w:tc>
        <w:tc>
          <w:tcPr>
            <w:tcW w:type="dxa" w:w="1336"/>
          </w:tcPr>
          <w:p>
            <w:r>
              <w:rPr>
                <w:sz w:val="20"/>
              </w:rPr>
              <w:t>Agoniste 5-HT4 entérique, sans D2</w:t>
            </w:r>
          </w:p>
        </w:tc>
        <w:tc>
          <w:tcPr>
            <w:tcW w:type="dxa" w:w="1336"/>
          </w:tcPr>
          <w:p>
            <w:r>
              <w:rPr>
                <w:sz w:val="20"/>
              </w:rPr>
              <w:t>Historique : 10 mg x 3-4/j</w:t>
            </w:r>
          </w:p>
        </w:tc>
        <w:tc>
          <w:tcPr>
            <w:tcW w:type="dxa" w:w="1336"/>
          </w:tcPr>
          <w:p>
            <w:r>
              <w:rPr>
                <w:sz w:val="20"/>
              </w:rPr>
              <w:t>Allongement QTc, torsades de pointe (par blocage hERG)</w:t>
            </w:r>
          </w:p>
        </w:tc>
        <w:tc>
          <w:tcPr>
            <w:tcW w:type="dxa" w:w="1336"/>
          </w:tcPr>
          <w:p>
            <w:r>
              <w:rPr>
                <w:sz w:val="20"/>
              </w:rPr>
              <w:t>Allongement QT, inhibiteurs CYP3A4, allongeurs QT</w:t>
            </w:r>
          </w:p>
        </w:tc>
        <w:tc>
          <w:tcPr>
            <w:tcW w:type="dxa" w:w="1336"/>
          </w:tcPr>
          <w:p>
            <w:r>
              <w:rPr>
                <w:sz w:val="20"/>
              </w:rPr>
              <w:t>CI (retrait)</w:t>
            </w:r>
          </w:p>
        </w:tc>
      </w:tr>
      <w:tr>
        <w:tc>
          <w:tcPr>
            <w:tcW w:type="dxa" w:w="1336"/>
          </w:tcPr>
          <w:p>
            <w:r>
              <w:rPr>
                <w:sz w:val="20"/>
              </w:rPr>
              <w:t>**Prucalopride** (non disponible Algérie)</w:t>
            </w:r>
          </w:p>
        </w:tc>
        <w:tc>
          <w:tcPr>
            <w:tcW w:type="dxa" w:w="1336"/>
          </w:tcPr>
          <w:p>
            <w:r>
              <w:rPr>
                <w:sz w:val="20"/>
              </w:rPr>
              <w:t>5-HT4 agoniste sélectif</w:t>
            </w:r>
          </w:p>
        </w:tc>
        <w:tc>
          <w:tcPr>
            <w:tcW w:type="dxa" w:w="1336"/>
          </w:tcPr>
          <w:p>
            <w:r>
              <w:rPr>
                <w:sz w:val="20"/>
              </w:rPr>
              <w:t>Agoniste 5-HT4 entérique hautement sélectif, pas d'effet hERG</w:t>
            </w:r>
          </w:p>
        </w:tc>
        <w:tc>
          <w:tcPr>
            <w:tcW w:type="dxa" w:w="1336"/>
          </w:tcPr>
          <w:p>
            <w:r>
              <w:rPr>
                <w:sz w:val="20"/>
              </w:rPr>
              <w:t>2 mg/j per os</w:t>
            </w:r>
          </w:p>
        </w:tc>
        <w:tc>
          <w:tcPr>
            <w:tcW w:type="dxa" w:w="1336"/>
          </w:tcPr>
          <w:p>
            <w:r>
              <w:rPr>
                <w:sz w:val="20"/>
              </w:rPr>
              <w:t>Céphalées, nausées, diarrhée</w:t>
            </w:r>
          </w:p>
        </w:tc>
        <w:tc>
          <w:tcPr>
            <w:tcW w:type="dxa" w:w="1336"/>
          </w:tcPr>
          <w:p>
            <w:r>
              <w:rPr>
                <w:sz w:val="20"/>
              </w:rPr>
              <w:t>Insuffisance rénale sévère, perforation digestive</w:t>
            </w:r>
          </w:p>
        </w:tc>
        <w:tc>
          <w:tcPr>
            <w:tcW w:type="dxa" w:w="1336"/>
          </w:tcPr>
          <w:p>
            <w:r>
              <w:rPr>
                <w:sz w:val="20"/>
              </w:rPr>
              <w:t>Données limitées, à éviter</w:t>
            </w:r>
          </w:p>
        </w:tc>
      </w:tr>
      <w:tr>
        <w:tc>
          <w:tcPr>
            <w:tcW w:type="dxa" w:w="1336"/>
          </w:tcPr>
          <w:p>
            <w:r>
              <w:rPr>
                <w:sz w:val="20"/>
              </w:rPr>
              <w:t>**Ondansétron**</w:t>
            </w:r>
          </w:p>
        </w:tc>
        <w:tc>
          <w:tcPr>
            <w:tcW w:type="dxa" w:w="1336"/>
          </w:tcPr>
          <w:p>
            <w:r>
              <w:rPr>
                <w:sz w:val="20"/>
              </w:rPr>
              <w:t>5-HT3 antagoniste 1re génération</w:t>
            </w:r>
          </w:p>
        </w:tc>
        <w:tc>
          <w:tcPr>
            <w:tcW w:type="dxa" w:w="1336"/>
          </w:tcPr>
          <w:p>
            <w:r>
              <w:rPr>
                <w:sz w:val="20"/>
              </w:rPr>
              <w:t>Antagoniste 5-HT3 central (CTZ) + périphérique (vague)</w:t>
            </w:r>
          </w:p>
        </w:tc>
        <w:tc>
          <w:tcPr>
            <w:tcW w:type="dxa" w:w="1336"/>
          </w:tcPr>
          <w:p>
            <w:r>
              <w:rPr>
                <w:sz w:val="20"/>
              </w:rPr>
              <w:t>8 mg IV J1 + 8 mg x 2-3/j per os pendant 3-5 jours</w:t>
            </w:r>
          </w:p>
        </w:tc>
        <w:tc>
          <w:tcPr>
            <w:tcW w:type="dxa" w:w="1336"/>
          </w:tcPr>
          <w:p>
            <w:r>
              <w:rPr>
                <w:sz w:val="20"/>
              </w:rPr>
              <w:t>Céphalées, constipation, allongement QTc, syndrome sérotoninergique</w:t>
            </w:r>
          </w:p>
        </w:tc>
        <w:tc>
          <w:tcPr>
            <w:tcW w:type="dxa" w:w="1336"/>
          </w:tcPr>
          <w:p>
            <w:r>
              <w:rPr>
                <w:sz w:val="20"/>
              </w:rPr>
              <w:t>Apomorphine, allongement QT non corrigé</w:t>
            </w:r>
          </w:p>
        </w:tc>
        <w:tc>
          <w:tcPr>
            <w:tcW w:type="dxa" w:w="1336"/>
          </w:tcPr>
          <w:p>
            <w:r>
              <w:rPr>
                <w:sz w:val="20"/>
              </w:rPr>
              <w:t>Compatible (prudence 1er T, possible fente palatine)</w:t>
            </w:r>
          </w:p>
        </w:tc>
      </w:tr>
      <w:tr>
        <w:tc>
          <w:tcPr>
            <w:tcW w:type="dxa" w:w="1336"/>
          </w:tcPr>
          <w:p>
            <w:r>
              <w:rPr>
                <w:sz w:val="20"/>
              </w:rPr>
              <w:t>**Granisétron**</w:t>
            </w:r>
          </w:p>
        </w:tc>
        <w:tc>
          <w:tcPr>
            <w:tcW w:type="dxa" w:w="1336"/>
          </w:tcPr>
          <w:p>
            <w:r>
              <w:rPr>
                <w:sz w:val="20"/>
              </w:rPr>
              <w:t>5-HT3 antagoniste 1re génération</w:t>
            </w:r>
          </w:p>
        </w:tc>
        <w:tc>
          <w:tcPr>
            <w:tcW w:type="dxa" w:w="1336"/>
          </w:tcPr>
          <w:p>
            <w:r>
              <w:rPr>
                <w:sz w:val="20"/>
              </w:rPr>
              <w:t>Antagoniste 5-HT3 central + périphérique</w:t>
            </w:r>
          </w:p>
        </w:tc>
        <w:tc>
          <w:tcPr>
            <w:tcW w:type="dxa" w:w="1336"/>
          </w:tcPr>
          <w:p>
            <w:r>
              <w:rPr>
                <w:sz w:val="20"/>
              </w:rPr>
              <w:t>3 mg IV J1 (ou 1-2 mg x 2/j per os 3-5 jours)</w:t>
            </w:r>
          </w:p>
        </w:tc>
        <w:tc>
          <w:tcPr>
            <w:tcW w:type="dxa" w:w="1336"/>
          </w:tcPr>
          <w:p>
            <w:r>
              <w:rPr>
                <w:sz w:val="20"/>
              </w:rPr>
              <w:t>Céphalées, constipation, allongement QTc</w:t>
            </w:r>
          </w:p>
        </w:tc>
        <w:tc>
          <w:tcPr>
            <w:tcW w:type="dxa" w:w="1336"/>
          </w:tcPr>
          <w:p>
            <w:r>
              <w:rPr>
                <w:sz w:val="20"/>
              </w:rPr>
              <w:t>Apomorphine, allongement QT</w:t>
            </w:r>
          </w:p>
        </w:tc>
        <w:tc>
          <w:tcPr>
            <w:tcW w:type="dxa" w:w="1336"/>
          </w:tcPr>
          <w:p>
            <w:r>
              <w:rPr>
                <w:sz w:val="20"/>
              </w:rPr>
              <w:t>À éviter 1er T</w:t>
            </w:r>
          </w:p>
        </w:tc>
      </w:tr>
      <w:tr>
        <w:tc>
          <w:tcPr>
            <w:tcW w:type="dxa" w:w="1336"/>
          </w:tcPr>
          <w:p>
            <w:r>
              <w:rPr>
                <w:sz w:val="20"/>
              </w:rPr>
              <w:t>**Palonosétron** (en AKYNZEO avec netupitant)</w:t>
            </w:r>
          </w:p>
        </w:tc>
        <w:tc>
          <w:tcPr>
            <w:tcW w:type="dxa" w:w="1336"/>
          </w:tcPr>
          <w:p>
            <w:r>
              <w:rPr>
                <w:sz w:val="20"/>
              </w:rPr>
              <w:t>5-HT3 antagoniste 2e génération</w:t>
            </w:r>
          </w:p>
        </w:tc>
        <w:tc>
          <w:tcPr>
            <w:tcW w:type="dxa" w:w="1336"/>
          </w:tcPr>
          <w:p>
            <w:r>
              <w:rPr>
                <w:sz w:val="20"/>
              </w:rPr>
              <w:t>Antagoniste 5-HT3 haute affinité + allosteric</w:t>
            </w:r>
          </w:p>
        </w:tc>
        <w:tc>
          <w:tcPr>
            <w:tcW w:type="dxa" w:w="1336"/>
          </w:tcPr>
          <w:p>
            <w:r>
              <w:rPr>
                <w:sz w:val="20"/>
              </w:rPr>
              <w:t>1 gélule (300 mg netupitant + 0,5 mg palonosétron) J1 per os 1 h avant chimio</w:t>
            </w:r>
          </w:p>
        </w:tc>
        <w:tc>
          <w:tcPr>
            <w:tcW w:type="dxa" w:w="1336"/>
          </w:tcPr>
          <w:p>
            <w:r>
              <w:rPr>
                <w:sz w:val="20"/>
              </w:rPr>
              <w:t>Céphalées, constipation, allongement QTc</w:t>
            </w:r>
          </w:p>
        </w:tc>
        <w:tc>
          <w:tcPr>
            <w:tcW w:type="dxa" w:w="1336"/>
          </w:tcPr>
          <w:p>
            <w:r>
              <w:rPr>
                <w:sz w:val="20"/>
              </w:rPr>
              <w:t>Apomorphine, allongement QT, inducteurs CYP3A4</w:t>
            </w:r>
          </w:p>
        </w:tc>
        <w:tc>
          <w:tcPr>
            <w:tcW w:type="dxa" w:w="1336"/>
          </w:tcPr>
          <w:p>
            <w:r>
              <w:rPr>
                <w:sz w:val="20"/>
              </w:rPr>
              <w:t>À éviter (données limitées)</w:t>
            </w:r>
          </w:p>
        </w:tc>
      </w:tr>
      <w:tr>
        <w:tc>
          <w:tcPr>
            <w:tcW w:type="dxa" w:w="1336"/>
          </w:tcPr>
          <w:p>
            <w:r>
              <w:rPr>
                <w:sz w:val="20"/>
              </w:rPr>
              <w:t>**Aprépitant / Fosaprépitant**</w:t>
            </w:r>
          </w:p>
        </w:tc>
        <w:tc>
          <w:tcPr>
            <w:tcW w:type="dxa" w:w="1336"/>
          </w:tcPr>
          <w:p>
            <w:r>
              <w:rPr>
                <w:sz w:val="20"/>
              </w:rPr>
              <w:t>NK1 antagoniste</w:t>
            </w:r>
          </w:p>
        </w:tc>
        <w:tc>
          <w:tcPr>
            <w:tcW w:type="dxa" w:w="1336"/>
          </w:tcPr>
          <w:p>
            <w:r>
              <w:rPr>
                <w:sz w:val="20"/>
              </w:rPr>
              <w:t>Antagoniste NK1 (substance P) central</w:t>
            </w:r>
          </w:p>
        </w:tc>
        <w:tc>
          <w:tcPr>
            <w:tcW w:type="dxa" w:w="1336"/>
          </w:tcPr>
          <w:p>
            <w:r>
              <w:rPr>
                <w:sz w:val="20"/>
              </w:rPr>
              <w:t>125 mg J1 + 80 mg J2-J3 per os, ou 150 mg fosaprépitant IV J1</w:t>
            </w:r>
          </w:p>
        </w:tc>
        <w:tc>
          <w:tcPr>
            <w:tcW w:type="dxa" w:w="1336"/>
          </w:tcPr>
          <w:p>
            <w:r>
              <w:rPr>
                <w:sz w:val="20"/>
              </w:rPr>
              <w:t>Asthénie, céphalées, élévation transaminases, interactions CYP3A4</w:t>
            </w:r>
          </w:p>
        </w:tc>
        <w:tc>
          <w:tcPr>
            <w:tcW w:type="dxa" w:w="1336"/>
          </w:tcPr>
          <w:p>
            <w:r>
              <w:rPr>
                <w:sz w:val="20"/>
              </w:rPr>
              <w:t>Pimozide, terfénadine, astémizole, cisapride, inducteurs CYP3A4</w:t>
            </w:r>
          </w:p>
        </w:tc>
        <w:tc>
          <w:tcPr>
            <w:tcW w:type="dxa" w:w="1336"/>
          </w:tcPr>
          <w:p>
            <w:r>
              <w:rPr>
                <w:sz w:val="20"/>
              </w:rPr>
              <w:t>À éviter (données limitées)</w:t>
            </w:r>
          </w:p>
        </w:tc>
      </w:tr>
      <w:tr>
        <w:tc>
          <w:tcPr>
            <w:tcW w:type="dxa" w:w="1336"/>
          </w:tcPr>
          <w:p>
            <w:r>
              <w:rPr>
                <w:sz w:val="20"/>
              </w:rPr>
              <w:t>**Prométhazine**</w:t>
            </w:r>
          </w:p>
        </w:tc>
        <w:tc>
          <w:tcPr>
            <w:tcW w:type="dxa" w:w="1336"/>
          </w:tcPr>
          <w:p>
            <w:r>
              <w:rPr>
                <w:sz w:val="20"/>
              </w:rPr>
              <w:t>Phénothiazine H1 (multi-récepteurs)</w:t>
            </w:r>
          </w:p>
        </w:tc>
        <w:tc>
          <w:tcPr>
            <w:tcW w:type="dxa" w:w="1336"/>
          </w:tcPr>
          <w:p>
            <w:r>
              <w:rPr>
                <w:sz w:val="20"/>
              </w:rPr>
              <w:t>Antagoniste H1 central + D2 + mACh + 5-HT2A</w:t>
            </w:r>
          </w:p>
        </w:tc>
        <w:tc>
          <w:tcPr>
            <w:tcW w:type="dxa" w:w="1336"/>
          </w:tcPr>
          <w:p>
            <w:r>
              <w:rPr>
                <w:sz w:val="20"/>
              </w:rPr>
              <w:t>25 mg x 2-3/j per os ou 50 mg IM</w:t>
            </w:r>
          </w:p>
        </w:tc>
        <w:tc>
          <w:tcPr>
            <w:tcW w:type="dxa" w:w="1336"/>
          </w:tcPr>
          <w:p>
            <w:r>
              <w:rPr>
                <w:sz w:val="20"/>
              </w:rPr>
              <w:t>Somnolence marquée, effets anticholinergiques, allongement QTc</w:t>
            </w:r>
          </w:p>
        </w:tc>
        <w:tc>
          <w:tcPr>
            <w:tcW w:type="dxa" w:w="1336"/>
          </w:tcPr>
          <w:p>
            <w:r>
              <w:rPr>
                <w:sz w:val="20"/>
              </w:rPr>
              <w:t>Nourrisson &lt; 2 ans, glaucome, IMAO, insuffisance respiratoire</w:t>
            </w:r>
          </w:p>
        </w:tc>
        <w:tc>
          <w:tcPr>
            <w:tcW w:type="dxa" w:w="1336"/>
          </w:tcPr>
          <w:p>
            <w:r>
              <w:rPr>
                <w:sz w:val="20"/>
              </w:rPr>
              <w:t>Compatible (prudence 1er T)</w:t>
            </w:r>
          </w:p>
        </w:tc>
      </w:tr>
      <w:tr>
        <w:tc>
          <w:tcPr>
            <w:tcW w:type="dxa" w:w="1336"/>
          </w:tcPr>
          <w:p>
            <w:r>
              <w:rPr>
                <w:sz w:val="20"/>
              </w:rPr>
              <w:t>**Halopéridol** (antiémétique)</w:t>
            </w:r>
          </w:p>
        </w:tc>
        <w:tc>
          <w:tcPr>
            <w:tcW w:type="dxa" w:w="1336"/>
          </w:tcPr>
          <w:p>
            <w:r>
              <w:rPr>
                <w:sz w:val="20"/>
              </w:rPr>
              <w:t>Butyrophénone neuroleptique D2</w:t>
            </w:r>
          </w:p>
        </w:tc>
        <w:tc>
          <w:tcPr>
            <w:tcW w:type="dxa" w:w="1336"/>
          </w:tcPr>
          <w:p>
            <w:r>
              <w:rPr>
                <w:sz w:val="20"/>
              </w:rPr>
              <w:t>Antagoniste D2 central puissant (CTZ)</w:t>
            </w:r>
          </w:p>
        </w:tc>
        <w:tc>
          <w:tcPr>
            <w:tcW w:type="dxa" w:w="1336"/>
          </w:tcPr>
          <w:p>
            <w:r>
              <w:rPr>
                <w:sz w:val="20"/>
              </w:rPr>
              <w:t>0,5-2 mg x 2-3/j per os ou IM/SC/IV</w:t>
            </w:r>
          </w:p>
        </w:tc>
        <w:tc>
          <w:tcPr>
            <w:tcW w:type="dxa" w:w="1336"/>
          </w:tcPr>
          <w:p>
            <w:r>
              <w:rPr>
                <w:sz w:val="20"/>
              </w:rPr>
              <w:t>Effets extrapyramidaux, syndrome malin, allongement QTc, hyperprolactinémie</w:t>
            </w:r>
          </w:p>
        </w:tc>
        <w:tc>
          <w:tcPr>
            <w:tcW w:type="dxa" w:w="1336"/>
          </w:tcPr>
          <w:p>
            <w:r>
              <w:rPr>
                <w:sz w:val="20"/>
              </w:rPr>
              <w:t>Parkinson, démence à corps de Lewy, allongement QT</w:t>
            </w:r>
          </w:p>
        </w:tc>
        <w:tc>
          <w:tcPr>
            <w:tcW w:type="dxa" w:w="1336"/>
          </w:tcPr>
          <w:p>
            <w:r>
              <w:rPr>
                <w:sz w:val="20"/>
              </w:rPr>
              <w:t>Compatible (prudence 1er T, surveillance NN fin 3e T)</w:t>
            </w:r>
          </w:p>
        </w:tc>
      </w:tr>
      <w:tr>
        <w:tc>
          <w:tcPr>
            <w:tcW w:type="dxa" w:w="1336"/>
          </w:tcPr>
          <w:p>
            <w:r>
              <w:rPr>
                <w:sz w:val="20"/>
              </w:rPr>
              <w:t>**Méclozine** (R)</w:t>
            </w:r>
          </w:p>
        </w:tc>
        <w:tc>
          <w:tcPr>
            <w:tcW w:type="dxa" w:w="1336"/>
          </w:tcPr>
          <w:p>
            <w:r>
              <w:rPr>
                <w:sz w:val="20"/>
              </w:rPr>
              <w:t>Anti-H1 central (antivertigineux)</w:t>
            </w:r>
          </w:p>
        </w:tc>
        <w:tc>
          <w:tcPr>
            <w:tcW w:type="dxa" w:w="1336"/>
          </w:tcPr>
          <w:p>
            <w:r>
              <w:rPr>
                <w:sz w:val="20"/>
              </w:rPr>
              <w:t>Antagoniste H1 vestibulaire + mACh + D2 modeste</w:t>
            </w:r>
          </w:p>
        </w:tc>
        <w:tc>
          <w:tcPr>
            <w:tcW w:type="dxa" w:w="1336"/>
          </w:tcPr>
          <w:p>
            <w:r>
              <w:rPr>
                <w:sz w:val="20"/>
              </w:rPr>
              <w:t>Historique : 25 mg x 1-2/j per os</w:t>
            </w:r>
          </w:p>
        </w:tc>
        <w:tc>
          <w:tcPr>
            <w:tcW w:type="dxa" w:w="1336"/>
          </w:tcPr>
          <w:p>
            <w:r>
              <w:rPr>
                <w:sz w:val="20"/>
              </w:rPr>
              <w:t>Somnolence, effets anticholinergiques</w:t>
            </w:r>
          </w:p>
        </w:tc>
        <w:tc>
          <w:tcPr>
            <w:tcW w:type="dxa" w:w="1336"/>
          </w:tcPr>
          <w:p>
            <w:r>
              <w:rPr>
                <w:sz w:val="20"/>
              </w:rPr>
              <w:t>Nourrisson &lt; 2 ans, glaucome, IMAO</w:t>
            </w:r>
          </w:p>
        </w:tc>
        <w:tc>
          <w:tcPr>
            <w:tcW w:type="dxa" w:w="1336"/>
          </w:tcPr>
          <w:p>
            <w:r>
              <w:rPr>
                <w:sz w:val="20"/>
              </w:rPr>
              <w:t>Compatible (prudence 1er T)</w:t>
            </w:r>
          </w:p>
        </w:tc>
      </w:tr>
    </w:tbl>
    <w:p/>
    <w:p>
      <w:pPr>
        <w:pStyle w:val="Heading2"/>
      </w:pPr>
      <w:r>
        <w:t>Synthèse transversale et règles d'or pour le pharmacien d'officine algérien</w:t>
      </w:r>
    </w:p>
    <w:p>
      <w:pPr>
        <w:pStyle w:val="ListNumber"/>
      </w:pPr>
      <w:r/>
      <w:r>
        <w:rPr>
          <w:b/>
        </w:rPr>
        <w:t>Règle de durée stricte pour métoclopramide</w:t>
      </w:r>
      <w:r>
        <w:t xml:space="preserve"> : ne jamais délivrer plus de 5 jours de traitement continu sans prescription médicale actualisée. Le pharmacien doit refuser le renouvellement au-delà de cette durée. Risque majeur : dyskinésie tardive (parfois irréversible).</w:t>
      </w:r>
    </w:p>
    <w:p>
      <w:pPr>
        <w:pStyle w:val="ListNumber"/>
      </w:pPr>
      <w:r/>
      <w:r>
        <w:rPr>
          <w:b/>
        </w:rPr>
        <w:t>Règle de durée stricte pour dompéridone</w:t>
      </w:r>
      <w:r>
        <w:t xml:space="preserve"> : ne jamais délivrer plus de 7 jours de traitement continu sans prescription médicale actualisée, et à une dose maximale de 30 mg/jour chez l'adulte. Risque majeur : allongement du QTc et torsades de pointe.</w:t>
      </w:r>
    </w:p>
    <w:p>
      <w:pPr>
        <w:pStyle w:val="ListNumber"/>
      </w:pPr>
      <w:r/>
      <w:r>
        <w:rPr>
          <w:b/>
        </w:rPr>
        <w:t>Vérification systématique des interactions cardiaques</w:t>
      </w:r>
      <w:r>
        <w:t xml:space="preserve"> : avant toute délivrance de dompéridone, ondansétron, granisétron, palonosétron, halopéridol ou prométhazine, interroger le patient sur ses traitements associés (macrolides, azolés antifongiques, antipsychotiques, méthadone, amiodarone, sotalol, fluoroquinolones — surtout moxifloxacine, antidépresseurs tricycliques, antihistaminiques H1 de 1re génération). Vérifier également la kaliémie et la magnésémie en cas de prise de diurétiques. En cas de doute, demander un ECG préalable et un avis médical.</w:t>
      </w:r>
    </w:p>
    <w:p>
      <w:pPr>
        <w:pStyle w:val="ListNumber"/>
      </w:pPr>
      <w:r/>
      <w:r>
        <w:rPr>
          <w:b/>
        </w:rPr>
        <w:t>CI absolue de l'apomorphine avec les 5-HT3</w:t>
      </w:r>
      <w:r>
        <w:t xml:space="preserve"> : la prescription d'ondansétron, granisétron ou palonosétron chez un patient parkinsonien sous apomorphine est une CI absolue (risque d'hypotension sévère et de perte de conscience, parfois mortelle). Vérifier systématiquement le statut apomorphine chez le patient parkinsonien avant délivrance d'un 5-HT3.</w:t>
      </w:r>
    </w:p>
    <w:p>
      <w:pPr>
        <w:pStyle w:val="ListNumber"/>
      </w:pPr>
      <w:r/>
      <w:r>
        <w:rPr>
          <w:b/>
        </w:rPr>
        <w:t>Vérification Parkinson et tumeur prolactine</w:t>
      </w:r>
      <w:r>
        <w:t xml:space="preserve"> : la métoclopramide et l'halopéridol sont CI absolus chez le patient parkinsonien (antagonisme pharmacologique de la lévodopa et des agonistes dopaminergiques). Ils sont également CI en cas de tumeur prolactino-sécrétante (adénome à prolactine, cancer du sein hormono-sensible) en raison de l'hyperprolactinémie induite. Demander systématiquement si le patient prend du Modopar, Sinemet, Parlodel, Requip, Sifrol, etc.</w:t>
      </w:r>
    </w:p>
    <w:p>
      <w:pPr>
        <w:pStyle w:val="ListNumber"/>
      </w:pPr>
      <w:r/>
      <w:r>
        <w:rPr>
          <w:b/>
        </w:rPr>
        <w:t>CI absolue chez le nourrisson &lt; 2 ans</w:t>
      </w:r>
      <w:r>
        <w:t xml:space="preserve"> : la prométhazine et la méclozine sont CI absolues chez le nourrisson &lt; 2 ans (risque de mort subite, dépression respiratoire). Ne jamais délivrer sans vérifier l'âge. La métoclopramide est CI absolue chez le nourrisson &lt; 1 an, et la dompéridone est CI chez l'enfant &lt; 12 ans et &lt; 35 kg sauf usage suspension buvable à dose poids-ajustée.</w:t>
      </w:r>
    </w:p>
    <w:p>
      <w:pPr>
        <w:pStyle w:val="ListNumber"/>
      </w:pPr>
      <w:r/>
      <w:r>
        <w:rPr>
          <w:b/>
        </w:rPr>
        <w:t>Protocole MASCC/ESMO pour NVCI</w:t>
      </w:r>
      <w:r>
        <w:t xml:space="preserve"> : pour les chimiothérapies fortement émétisantes (cisplatine, AC, carboplatine AUC ≥ 4), le protocole triple associe : (a) antagoniste 5-HT3 (ondansétron 8 mg IV ou palonosétron 0,5 mg per os ou 0,25 mg IV) à J1 ; (b) antagoniste NK1 (aprépitant 125 mg J1 + 80 mg J2-J3 per os, ou fosaprépitant 150 mg IV J1, ou AKYNZEO 1 gélule J1) ; (c) dexaméthasone 12 mg J1 (réduite à 12 mg au lieu de 20 mg en raison de l'inhibition CYP3A4 par les NK1) + 8 mg/J2-J4. Pour les chimiothérapies moyennement émétisantes : 5-HT3 + dexaméthasone (sans NK1).</w:t>
      </w:r>
    </w:p>
    <w:p>
      <w:pPr>
        <w:pStyle w:val="ListNumber"/>
      </w:pPr>
      <w:r/>
      <w:r>
        <w:rPr>
          <w:b/>
        </w:rPr>
        <w:t>Surveillance ECG pour halopéridol</w:t>
      </w:r>
      <w:r>
        <w:t xml:space="preserve"> : un ECG préalable est systématique avant initiation d'halopéridol, et la surveillance est régulière pendant le traitement (QTc doit être &lt; 440 ms chez l'homme, &lt; 460 ms chez la femme). Risque majeur de torsades de pointe. CI absolue en cas d'allongement QTc préexistant, d'hypokaliémie, d'insuffisance cardiaque décompensée.</w:t>
      </w:r>
    </w:p>
    <w:p>
      <w:pPr>
        <w:pStyle w:val="ListNumber"/>
      </w:pPr>
      <w:r/>
      <w:r>
        <w:rPr>
          <w:b/>
        </w:rPr>
        <w:t>Grossesse et allaitement</w:t>
      </w:r>
      <w:r>
        <w:t xml:space="preserve"> : pour les nausées gravidiques simples du 1er trimestre, l'anti-H1 non phénothiazinique (doxylamine + pyridoxine — non disponible en Algérie en association) est le traitement de première intention. L'ondansétron est réservé à l'hyperemesis gravidarum sévère en 2e intention (possible association modeste avec fente palatine au 1er trimestre — débat non tranché, bénéfice/risque à évaluer). La métoclopramide est compatible (prudence au 1er trimestre). La dompéridone est à éviter au 1er trimestre. Le palonosétron et l'aprépitant sont à éviter pendant la grossesse et l'allaitement. L'halopéridol est compatible (prudence au 1er trimestre et en fin de grossesse — surveillance du nouveau-né).</w:t>
      </w:r>
    </w:p>
    <w:p>
      <w:pPr>
        <w:pStyle w:val="ListNumber"/>
      </w:pPr>
      <w:r/>
      <w:r>
        <w:rPr>
          <w:b/>
        </w:rPr>
        <w:t>Contraception orale et NK1 (aprépitant, netupitant)</w:t>
      </w:r>
      <w:r>
        <w:t xml:space="preserve"> : en raison de l'induction du CYP3A4 en fin de traitement par les NK1, l'efficacité des contraceptifs oraux estroprogestatifs est réduite pendant le traitement et jusqu'à 28 jours après. Utiliser une méthode complémentaire (préservatif) pendant le traitement + 28 jours. Information essentielle à délivrer à toute femme en âge de procréer.</w:t>
      </w:r>
    </w:p>
    <w:p>
      <w:pPr>
        <w:pStyle w:val="ListNumber"/>
      </w:pPr>
      <w:r/>
      <w:r>
        <w:rPr>
          <w:b/>
        </w:rPr>
        <w:t>Allongement QT et associations médicamenteuses</w:t>
      </w:r>
      <w:r>
        <w:t xml:space="preserve"> : les principales molécules allongeant le QT dans cette classe sont : dompéridone (risque majeur), ondansétron (à doses IV &gt; 16 mg), granisétron, palonosétron, halopéridol (risque majeur), prométhazine (modéré). Le pharmacien doit vérifier systématiquement les traitements associés et alerter en cas d'association à risque (plusieurs allongeurs QT en association = risque de torsades de pointe majoré).</w:t>
      </w:r>
    </w:p>
    <w:p>
      <w:pPr>
        <w:pStyle w:val="ListNumber"/>
      </w:pPr>
      <w:r/>
      <w:r>
        <w:rPr>
          <w:b/>
        </w:rPr>
        <w:t>Médicaments retirés du marché algérien</w:t>
      </w:r>
      <w:r>
        <w:t xml:space="preserve"> : le cisapride (PREPULSID, GASTROPRIDE, FISIOGASTROL, MINSK, REFLUXIN, SEPRIDE) et la méclozine (AGYRAX) sont retirés du marché algérien. Le pharmacien ne doit jamais délivrer ces molécules, même sur ancienne prescription. Les patients en ayant conservé doivent être informés du retrait (risque cardiaque pour le cisapride) et orientés vers le médecin pour prescription alternative. Le prucalopride et les benzamides D2 (bromopride, alizapride, clébopride) ne sont pas disponibles dans la nomenclature algérienne.</w:t>
      </w:r>
    </w:p>
    <w:p>
      <w:pPr>
        <w:pStyle w:val="ListNumber"/>
      </w:pPr>
      <w:r/>
      <w:r>
        <w:rPr>
          <w:b/>
        </w:rPr>
        <w:t>Conseil patient systématique sur l'altération de la vigilance</w:t>
      </w:r>
      <w:r>
        <w:t xml:space="preserve"> : pour la métoclopramide, la dompéridone (effet moindre), la prométhazine, l'halopéridol et la méclozine (historique), informer le patient de l'altération possible de la vigilance, du risque de chute chez le sujet âgé, et de l'interdiction de conduire ou d'utiliser des machines pendant le traitement et 8-24 h après l'arrêt (selon la molécule). Insister sur l'interdiction absolue d'associer avec l'alcool.</w:t>
      </w:r>
    </w:p>
    <w:p>
      <w:pPr>
        <w:pStyle w:val="ListNumber"/>
      </w:pPr>
      <w:r/>
      <w:r>
        <w:rPr>
          <w:b/>
        </w:rPr>
        <w:t>Orientation médecin en cas de signes d'alerte</w:t>
      </w:r>
      <w:r>
        <w:t xml:space="preserve"> : le pharmacien doit orienter en urgence vers le médecin ou les urgences tout patient présentant : (a) des vomissements prolongés &gt; 48 h ou une hématémèse (vomissements sanglants) ; (b) des signes de déshydratation (soif intense, sécheresse buccale, pli cutané, oligurie) ; (c) des signes neurologiques sous métoclopramide ou halopéridol (tremblements, mouvements anormaux, agitation, akathisie, dystonie, raideur musculaire, fièvre inexpliquée) ; (d) des signes cardiaques sous dompéridone ou 5-HT3 ou halopéridol (palpitations, syncope, vertiges, douleurs thoraciques) ; (e) des signes de syndrome sérotoninergique sous 5-HT3 associé à des antidépresseurs (agitation, confusion, myoclonies, hyperthermie, hyperréflexie).</w:t>
      </w:r>
    </w:p>
    <w:p>
      <w:pPr>
        <w:pStyle w:val="ListNumber"/>
      </w:pPr>
      <w:r/>
      <w:r>
        <w:rPr>
          <w:b/>
        </w:rPr>
        <w:t>Substitution prudente entre molécules</w:t>
      </w:r>
      <w:r>
        <w:t xml:space="preserve"> : ne jamais substituer sans prescription médicale actualisée. La métoclopramide (D2 central, traverse BHE) et la dompéridone (D2 périphérique, ne traverse pas BHE) ont des profils différents (Parkinson = métoclopramide CI, dompéridone possible avec surveillance QT). L'ondansétron, le granisétron et le palonosétron ont des profils d'efficacité comparables mais des pharmacocinétiques différentes (palonosétron &gt; granisétron &gt; ondansétron en termes de demi-vie et de couverture de la phase retardée). L'aprépitant et le fosaprépitant sont des alternatives orale et IV de la même classe NK1 (mais schémas posologiques différents : 3 jours per os vs 1 jour IV).</w:t>
      </w:r>
    </w:p>
    <w:p>
      <w:pPr>
        <w:pStyle w:val="Heading2"/>
      </w:pPr>
      <w:r>
        <w:t>Conclusion générale</w:t>
      </w:r>
    </w:p>
    <w:p>
      <w:r>
        <w:t>Les prokinétiques, antiémétiques et antivertigineux constituent une famille pharmacologique essentielle en pratique pharmaceutique algérienne, mobilisant des mécanismes d'action variés (D2, 5-HT3, 5-HT4, NK1, H1, mACh) et des profils d'efficacité et de tolérance distincts. La maîtrise de ces classes est indispensable au pharmacien d'officine pour assurer : (i) la délivrance sécurisée avec vérification systématique des CI, interactions et associations à risque (notamment cardiaque QT) ; (ii) le conseil patient adapté (durée stricte métoclopramide/dompéridone, surveillance ECG, altération de la vigilance, règles de prise) ; (iii) le repérage des signes d'alerte nécessitant une orientation médicale urgente (effets extrapyramidaux, syncope, hématémèse, déshydratation) ; (iv) la gestion des médicaments retirés du marché (cisapride, méclozine) et des pénuries (prucalopride, benzamides D2 non disponibles en Algérie). Les sources mobilisées dans ce chapitre sont VIDAL, ANSM, Thériaque, CRAT, MASCC/ESMO guidelines (antiémésie chimiothérapie), UpToDate, RCP des spécialités, et les recommandations HAS. La collaboration entre pharmacien, médecin prescripteur et patient est essentielle pour optimiser la sécurité et l'efficacité thérapeutique, particulièrement dans les contextes de chimiothérapie (NVCI), de soins palliatifs (nausées réfractaires) et de troubles vestibulaires chroniques.</w:t>
      </w:r>
    </w:p>
    <w:p>
      <w:pPr>
        <w:pStyle w:val="Heading1"/>
      </w:pPr>
      <w:r>
        <w:t>Fascicule VI – Gastro-entérologie</w:t>
      </w:r>
    </w:p>
    <w:p>
      <w:pPr>
        <w:pStyle w:val="Heading2"/>
      </w:pPr>
      <w:r>
        <w:t>Chapitre 54 — Laxatifs et Anti-diarrhéiques</w:t>
      </w:r>
    </w:p>
    <w:p>
      <w:pPr>
        <w:pStyle w:val="Heading3"/>
      </w:pPr>
      <w:r>
        <w:t>Introduction générale du chapitre</w:t>
      </w:r>
    </w:p>
    <w:p>
      <w:r>
        <w:t>La pharmacologie du transit intestinal occupe une place centrale dans la pratique pharmaceutique algérienne quotidienne. Constipation et diarrhée figurent parmi les motifs de consultation les plus fréquents au comptoir, et leur prise en charge médicamenteuse repose sur un arsenal thérapeutique varié, allant des laxatifs osmotiques aux pansements intestinaux en passant par les inhibiteurs de l'enképhalinase et les probiotiques. Ce chapitre, qui s'inscrit dans le Fascicule VI (Gastro-entérologie), a pour objectif de présenter une analyse approfondie de dix classes pharmacologiques régissant le transit intestinal, à travers onze DCI représentatives, disponibles sur le marché algérien (nomenclature Avril 2026). Pour chaque DCI, le lecteur trouvera la liste exhaustive des spécialités commerciales (actives, non renouvelables, retirées), le mécanisme d'action moléculaire, le profil pharmacocinétique, les indications validées par l'ANSM et la HAS, les contre-indications, les effets indésirables, les interactions, les recommandations de prescription chez la femme enceinte et allaitante (selon le CRAT), ainsi que des conseils pratiques au comptoir.</w:t>
      </w:r>
    </w:p>
    <w:p>
      <w:r>
        <w:t>La démarche pédagogique vise à fournir à l'étudiant en pharmacie un référentiel académique directement utilisable en officine et à l'hôpital. Les sources mobilisées comprennent le VIDAL, la base Thériaque, les Résumés des Caractéristiques du Produit (RCP) de l'ANSM, le Centre de Renseignements sur les Agents Tératogènes (CRAT), les recommandations de la Haute Autorité de Santé (HAS), les directives de l'Organisation Mondiale de la Santé (OMS) concernant le traitement de la diarrhée aiguë, ainsi que les revues UpToDate et Cochrane. La constipation et la diarrhée ne sont pas des diagnostics mais des symptômes : le pharmacien d'officine occupe une position de premier recours pour le triage, l'orientation médicale et la délivrance des traitements symptomatiques, en sachant identifier les drapeaux rouges (sang dans les selles, fièvre, déshydratation, altération de l'état général, durée prolongée) qui imposent un avis médical.</w:t>
      </w:r>
    </w:p>
    <w:p>
      <w:r>
        <w:t xml:space="preserve">Sur le plan pharmacologique, deux grandes familles se distinguent. Les </w:t>
      </w:r>
      <w:r>
        <w:rPr>
          <w:b/>
        </w:rPr>
        <w:t>laxatifs</w:t>
      </w:r>
      <w:r>
        <w:t xml:space="preserve"> agissent sur la consistance des selles et la motilité colique par quatre mécanismes principaux : (i) augmentation de l'osmolarité luminale (lactulose, macrogol, PEG) ; (ii) stimulation du plexus myentérique et modification de la sécrétion hydroélectrolytique (bisacodyl, picosulfate, sennosides) ; (iii) lubrification du bol fécal et de la muqueuse (huile de paraffine) ; (iv) augmentation du volume du bol fécal par les fibres hydrophiles (psyllium). Les </w:t>
      </w:r>
      <w:r>
        <w:rPr>
          <w:b/>
        </w:rPr>
        <w:t>anti-diarrhéiques</w:t>
      </w:r>
      <w:r>
        <w:t xml:space="preserve"> regroupent quant à eux les agonistes opioïdes μ périphériques (lopéramide), les inhibiteurs de l'enképhalinase (racecadotril), les pansements intestinaux argileux (diosmectite) et les probiotiques (Saccharomyces boulardii). Chaque classe possède son propre profil bénéfice/risque et ses indications spécifiques : le lopéramide est strictement contre-indiqué dans la diarrhée invasive à germes intracellulaires, tandis que la diosmectite et la racecadotril trouvent leur place dans la diarrhée aiguë non spécifique, notamment chez le nourrisson.</w:t>
      </w:r>
    </w:p>
    <w:p>
      <w:pPr>
        <w:pStyle w:val="Heading3"/>
      </w:pPr>
      <w:r>
        <w:t>1. Sous-classe : Laxatifs osmotiques - Disaccharides non absorbables</w:t>
      </w:r>
    </w:p>
    <w:p>
      <w:r>
        <w:t xml:space="preserve">Les laxatifs osmotiques de la famille des disaccharides non absorbables regroupent principalement le </w:t>
      </w:r>
      <w:r>
        <w:rPr>
          <w:b/>
        </w:rPr>
        <w:t>lactulose</w:t>
      </w:r>
      <w:r>
        <w:t>, un disaccharide synthétique composé d'une molécule de galactose liée à une molécule de fructose (β-1,4-galactosido-fructose). Ni absorbé ni hydrolysé par les disaccharidases intestinales de l'homme, le lactulose parvient intact jusqu'au côlon où il est fermenté par la flore bactérienne colique (bactéries lactiques, bifidobactéries, bactéroïdes) en acides organiques de bas poids moléculaire : acide lactique, acide acétique, acide propionique et acide butyrique. Cette fermentation a trois conséquences pharmacologiques majeures : (i) une augmentation de l'osmolarité luminale colique, qui attire l'eau dans la lumière et augmente le volume liquidien du bol fécal ; (ii) une baisse du pH colique, qui transforme l'ammoniac (NH₃) non ionisé, diffusible et toxique, en ion ammonium (NH₄⁺) non absorbable, expliquant l'indication hépatologique du lactulose dans l'encéphalopathie hépatique ; (iii) un effet prébiotique avec stimulation sélective de la croissance des bifidobactéries et lactobacilles. Le délai d'action est de 24 à 48 heures, ce qui en fait un laxatif de premier choix dans la constipation chronique et chez le sujet âgé, en particulier chez la femme enceinte (molécule de référence selon le CRAT). Cette sous-classe est représentée en Algérie par de très nombreuses spécialités génériques et princeps, attestant de son utilisation large.</w:t>
      </w:r>
    </w:p>
    <w:p>
      <w:pPr>
        <w:pStyle w:val="Heading3"/>
      </w:pPr>
      <w:r>
        <w:t>2. Sous-classe : Laxatifs osmotiques - Polyéthylène glycol</w:t>
      </w:r>
    </w:p>
    <w:p>
      <w:r>
        <w:t xml:space="preserve">Le polyéthylène glycol (PEG), ou macrogol, est un polymère linéaire de haut poids moléculaire constitué d'unités répétitives d'éther éthylénique (-CH₂-CH₂-O-). Les grades thérapeutiques utilisés en pathologie intestinale sont le </w:t>
      </w:r>
      <w:r>
        <w:rPr>
          <w:b/>
        </w:rPr>
        <w:t>PEG 3350</w:t>
      </w:r>
      <w:r>
        <w:t xml:space="preserve"> et le </w:t>
      </w:r>
      <w:r>
        <w:rPr>
          <w:b/>
        </w:rPr>
        <w:t>PEG 4000</w:t>
      </w:r>
      <w:r>
        <w:t>, dont les poids moléculaires moyens sont respectivement de 3 350 et 4 000 daltons. Le principe actif n'est ni absorbé ni métabolisé, et exerce son effet laxatif par un mécanisme purement osmotique : les molécules de PEG retiennent l'eau dans la lumière intestinale par leurs liaisons hydrogène, augmentant le contenu hydrique fécal et ramollissant les selles sans fermenter (avantage majeur sur le lactulose : pas de flatulences). À faible dose (10–20 g/j), le PEG 4000 est indiqué dans le traitement de la constipation chronique, y compris chez l'enfant à partir de 6 mois et la femme enceinte. À forte dose (2 à 4 L de solution de PEG 3350 avec électrolytes), il constitue le gold standard de la préparation colique avant coloscopie ou chirurgie, en替代 du traditionnel lavement. L'adjonction d'électrolytes (sulfate de sodium, bicarbonate de sodium, chlorure de sodium, chlorure de potassium) aux solutions de preparation colique permet de prévenir les déséquilibres hydroélectrolytiques liés à l'efflux d'eau intestinale. Le délai d'action est de 24 à 48 heures en traitement de fond, et de 1 à 4 heures pour la préparation colique.</w:t>
      </w:r>
    </w:p>
    <w:p>
      <w:pPr>
        <w:pStyle w:val="Heading3"/>
      </w:pPr>
      <w:r>
        <w:t>3. Sous-classe : Laxatifs stimulants - Diphénoliques</w:t>
      </w:r>
    </w:p>
    <w:p>
      <w:r>
        <w:t xml:space="preserve">Les laxatifs stimulants diphénoliques sont représentés en Algérie par le </w:t>
      </w:r>
      <w:r>
        <w:rPr>
          <w:b/>
        </w:rPr>
        <w:t>bisacodyl</w:t>
      </w:r>
      <w:r>
        <w:t xml:space="preserve"> (4,4'-diacétoxydiphénylpyridyl-2-méthane). Il s'agit d'une prodrogue qui, après déacétylation par les estérases intestinales et bactériennes, libère le composé actif BHPM (bis-(p-hydroxyphényl)-pyridyl-2-méthane). Le bisacodyl agit selon un triple mécanisme : (i) stimulation directe du plexus myentérique d'Auerbach, augmentant le péristaltisme colique ; (ii) inhibition de la pompe Na⁺/K⁺-ATPase muqueuse, réduisant la réabsorption hydrosodée et augmentant la sécrétion de chloride dans la lumière ; (iii) augmentation de la synthèse des prostaglandines E₂ et I₂, qui favorisent la sécrétion intestinale d'eau et d'électrolytes. La forme orale, en comprimé gastro-résistant, libère le principe actif dans le côlon, avec un délai d'action de 6 à 12 heures justifiant une prise vespérale pour obtention d'une selle le matin suivant. La forme rectale (suppositoire) agit en 15 à 60 minutes. Cette classe est principalement indiquée dans le traitement de courte durée des constipations aiguës et dans la préparation colique en association avec le PEG. L'utilisation chronique est déconseillée en raison du risque de dépendance, d'hypokaliémie, de mélanose colique et de "cathartic colon" (atonie colique fonctionnelle).</w:t>
      </w:r>
    </w:p>
    <w:p>
      <w:pPr>
        <w:pStyle w:val="Heading3"/>
      </w:pPr>
      <w:r>
        <w:t>4. Sous-classe : Laxatifs stimulants - Dérivés triarylméthane</w:t>
      </w:r>
    </w:p>
    <w:p>
      <w:r>
        <w:t xml:space="preserve">Les dérivés triarylméthaniques constituent une sous-classe de stimulants dont le représentant principal est le </w:t>
      </w:r>
      <w:r>
        <w:rPr>
          <w:b/>
        </w:rPr>
        <w:t>picosulfate de sodium</w:t>
      </w:r>
      <w:r>
        <w:t xml:space="preserve"> (sodium 4,4'-(2-pyridylméthylène)diphénol-bis(sulfate) dihydraté). Comme le bisacodyl, le picosulfate est une prodrogue inactive dans l'estomac et l'intestin grêle ; il est activé par les bactéries coliques (estérases bactériennes) qui clivent les groupes sulfate pour libérer le BHPM, métabolite commun au bisacodyl. Le picosulfate partage donc le mécanisme d'action du bisacodyl (stimulation myentérique, inhibition Na⁺/K⁺-ATPase, induction de la sécrétion d'eau et d'électrolytes) mais son activation bactérienne strictement colique limite l'irritation de l'intestin grêle et améliore la tolérance. Le délai d'action est de 6 à 12 heures après prise orale. Le picosulfate est également utilisé en association avec l'oxyde de magnésium et l'acide citrique dans certaines spécialités de préparation colique (Picoprep) où l'oxyde de magnésium et l'acide citrique réagissent in situ pour former du citrate de magnésium, lui-même osmotique.</w:t>
      </w:r>
    </w:p>
    <w:p>
      <w:pPr>
        <w:pStyle w:val="Heading3"/>
      </w:pPr>
      <w:r>
        <w:t>5. Sous-classe : Laxatifs stimulants - Anthracéniques</w:t>
      </w:r>
    </w:p>
    <w:p>
      <w:r>
        <w:t>Les laxatifs anthracéniques (ou anthraquinoniques) sont dérivés de plantes médicinales traditionnelles : séné (Cassia angustifolia ou Cassia acutifolia), cascara (Rhamnus purshianus), aloès (Aloe ferox et Aloe barbadensis), bourdaine (Rhamnus frangula) et rhubarbe (Rheum officinale). Les principes actifs sont des hétérosides anthracéniques (sennosides A, B, C, D pour le séné), qui sont hydrolysés par les glycosidases bactériennes coliques en anthrones libres, formes pharmacologiquement actives. Les anthrones stimulent le plexus myentérique, augmentent la sécrétion de chloride et d'eau par entérocytes coliques (via activation des canaux CFTR), et altèrent la motilité colique (augmentation des contractions propulsives, diminution des contractions segmentaires). Le délai d'action est de 8 à 12 heures après administration orale. Les sennosides sont indiqués dans la constipation aiguë et la préparation colique. Leur utilisation chronique expose à des risques spécifiques : mélanose colique (pigmentation brun-noir de la muqueuse colique par accumulation de lipofuscine dans les macrophages de la lamina propria, bénigne mais réversible seulement à l'arrêt), perte des sels biliaires, carence en potassium, et potentiellement "cathartic colon". La FDA et l'EMA recommandent de ne pas dépasser 8 à 10 jours d'utilisation continue sans avis médical. Le séné est par ailleurs contre-indiqué pendant la grossesse (effet oxytocique et passage transplacentaire) et chez l'enfant de moins de 12 ans.</w:t>
      </w:r>
    </w:p>
    <w:p>
      <w:pPr>
        <w:pStyle w:val="Heading3"/>
      </w:pPr>
      <w:r>
        <w:t>6. Sous-classe : Laxatifs émollients/lubrifiants</w:t>
      </w:r>
    </w:p>
    <w:p>
      <w:r>
        <w:t>Les laxatifs émollients, encore appelés lubrifiants, agissent par un mécanisme purement physique : ils enrobent le bol fécal d'un film huileux hydrophobe qui empêche la réabsorption de l'eau, ramollit les selles et facilite leur progression dans le côlon. Le représentant principal de cette classe est l'</w:t>
      </w:r>
      <w:r>
        <w:rPr>
          <w:b/>
        </w:rPr>
        <w:t>huile de paraffine</w:t>
      </w:r>
      <w:r>
        <w:t>, un mélleur d'hydrocarbures saturés liquides issus de la distillation du pétrole. L'huile de paraffine n'est pas absorbée par l'intestin (absorption &lt; 1 %), n'est pas métabolisée et est excrétée telle quelle dans les selles. Elle peut être administrée seule ou en association avec des mucilages (psyllium). Ses indications principales sont la constipation fonctionnelle aiguë, la fissure anale, la période post-opératoire (prévention de la constipation après chirurgie anale ou gynécologique), et la difficulté à la défécation chez le sujet âgé ou alité. Le délai d'action est de 6 à 8 heures après prise orale. Ses inconvénients principaux sont l'écoulement anal d'huile (souillure du linge), le risque d'inhalation (pneumopathie lipidique) chez le sujet âgé, surtout en décubitus, et la diminution de l'absorption des vitamines liposolubles (A, D, E, K) en cas d'usage prolongé. L'huile de paraffine est déconseillée chez l'enfant de moins de 6 ans, la femme enceinte (surveillance) et contre-indiquée en cas de troubles de la déglutition.</w:t>
      </w:r>
    </w:p>
    <w:p>
      <w:pPr>
        <w:pStyle w:val="Heading3"/>
      </w:pPr>
      <w:r>
        <w:t>7. Sous-classe : Laxatifs de charge - Fibres</w:t>
      </w:r>
    </w:p>
    <w:p>
      <w:r>
        <w:t xml:space="preserve">Les laxatifs de charge, encore appelés "laxatifs bulk-forming", regroupent les fibres alimentaires non digestibles qui, ingérées avec une quantité suffisante d'eau, augmentent le volume du bol fécal et stimulent le péristaltisme colique par distension mécanique de la paroi. Le représentant pharmacologique principal est le </w:t>
      </w:r>
      <w:r>
        <w:rPr>
          <w:b/>
        </w:rPr>
        <w:t>psyllium</w:t>
      </w:r>
      <w:r>
        <w:t xml:space="preserve">, tégument mucilagineux de la graine de </w:t>
      </w:r>
      <w:r>
        <w:rPr>
          <w:i/>
        </w:rPr>
        <w:t>Plantago ovata</w:t>
      </w:r>
      <w:r>
        <w:t xml:space="preserve"> (ispaghul). Le psyllium est composé de polysaccharides hydrophiles (mucilage à haut contenu en xylane et arabinose) qui peuvent fixer jusqu'à 40 fois leur poids en eau, formant un gel visqueux qui augmente le volume et la consistance molle des selles. Le mécanisme d'action est triple : (i) augmentation du volume fécal par hydratation du mucilage (effet osmotique doux) ; (ii) ballonnement du bol fécal stimulant les mécanorécepteurs coliques et le réflexe de défécation ; (iii) effet prébiotique via la fermentation colique en acide butyrique (acide gras à chaîne courte nourrissant les colonocytes). Délai d'action : 12 à 72 heures. Le psyllium est considéré comme le laxatif de premier choix dans la constipation chronique et le syndrome de l'intestin irritable avec constipation, ainsi que dans la maladie diverticulaire. Il est compatible avec la grossesse et l'allaitement. Sa principale précaution d'emploi est l'obligation de le prendre avec un grand verre d'eau (au moins 200 mL) pour éviter le risque d'occlusion œsophagienne ou intestinale par formation d'un bézoard.</w:t>
      </w:r>
    </w:p>
    <w:p>
      <w:pPr>
        <w:pStyle w:val="Heading3"/>
      </w:pPr>
      <w:r>
        <w:t>8. Sous-classe : Anti-diarrhéiques - Agonistes opioïdes μ périphériques</w:t>
      </w:r>
    </w:p>
    <w:p>
      <w:r>
        <w:t xml:space="preserve">Les anti-diarrhéiques opioïdes μ périphériques sont représentés par le </w:t>
      </w:r>
      <w:r>
        <w:rPr>
          <w:b/>
        </w:rPr>
        <w:t>lopéramide</w:t>
      </w:r>
      <w:r>
        <w:t xml:space="preserve">, agoniste sélectif des récepteurs opioïdes μ (MOR) périphériques situés sur les entérocytes et le plexus myentérique. Le lopéramide est chimiquement apparenté à la diphénoxylate et à la codéine, mais son excrétion intestinale rapide par la P-glycoprotéine (P-gp) empêche son accumulation systémique, et donc ses effets centraux (pas d'analgésie, pas de sédation, pas de dépendance physique à dose thérapeutique). Le lopéramide agit par trois mécanismes périphériques : (i) liaison aux récepteurs μ situés sur les entérocytes, ce qui active les protéines Gi/o, inhibe l'adénylate cyclase, diminue l'AMPc intracellulaire et ralentit la sécrétion de chlorure (et donc d'eau) dans la lumière intestinale ; (ii) stimulation du tonus du sphincter anal interne, augmentant la continence ; (iii) diminution du péristaltisme propulsif colique et augmentation du péristaltisme segmentaire (mixage du bol fécal), prolongeant le temps de contact avec la muqueuse et favorisant la réabsorption d'eau et d'électrolytes. Le délai d'action est rapide (30 minutes à 1 heure). Indications : diarrhée aiguë non spécifique de l'adulte, diarrhée du voyageur en association avec la réhydratation, diarrhée chronique fonctionnelle, diarrhée iatrogène (radiothérapie, chimiothérapie). Contre-indications majeures : colite ulcérative évolutive, entérocolite pseudo-membraneuse à </w:t>
      </w:r>
      <w:r>
        <w:rPr>
          <w:i/>
        </w:rPr>
        <w:t>Clostridium difficile</w:t>
      </w:r>
      <w:r>
        <w:t xml:space="preserve"> (risque de colectomie fulminante par iléus paralytique et mégacôlon toxique), diarrhée bactérienne invasive à </w:t>
      </w:r>
      <w:r>
        <w:rPr>
          <w:i/>
        </w:rPr>
        <w:t>Salmonella</w:t>
      </w:r>
      <w:r>
        <w:t xml:space="preserve">, </w:t>
      </w:r>
      <w:r>
        <w:rPr>
          <w:i/>
        </w:rPr>
        <w:t>Shigella</w:t>
      </w:r>
      <w:r>
        <w:t xml:space="preserve">, </w:t>
      </w:r>
      <w:r>
        <w:rPr>
          <w:i/>
        </w:rPr>
        <w:t>Campylobacter</w:t>
      </w:r>
      <w:r>
        <w:t xml:space="preserve"> (prolongation du portage), enfant de moins de 2 ans (risque de mortalité par iléus paralytique), allaitement. L'association lopéramide + siméticone existe pour traiter simultanément la diarrhée et les ballonnements.</w:t>
      </w:r>
    </w:p>
    <w:p>
      <w:pPr>
        <w:pStyle w:val="Heading3"/>
      </w:pPr>
      <w:r>
        <w:t>9. Sous-classe : Anti-diarrhéiques - Inhibiteurs enképhalinase</w:t>
      </w:r>
    </w:p>
    <w:p>
      <w:r>
        <w:t xml:space="preserve">Les inhibiteurs de l'enképhalinase représentent une classe originale d'anti-diarrhéiques purement antisécrétoires, sans action sur la motilité intestinale, développée pour répondre aux limites du lopéramide (ralentissement du transit, risque d'iléus, contre-indation chez le nourrisson). Le représentant unique est le </w:t>
      </w:r>
      <w:r>
        <w:rPr>
          <w:b/>
        </w:rPr>
        <w:t>racecadotril</w:t>
      </w:r>
      <w:r>
        <w:t xml:space="preserve"> (acétorphan), prodrogue convertie en thiorphan (métabolite actif) par les peptidases systémiques. Le thiorphan inhibe spécifiquement l'enképhalinase (néprilysine, EC 3.4.24.11), métallopeptidase zinc-dépendante qui dégrade les enképhalines endogènes (pentapeptides Tyr-Gly-Gly-Phe-Met/Leu). Les enképhalines endogènes activent les récepteurs opioïdes δ des entérocytes, ce qui — par inhibition de l'adénylate cyclase et de l'AMPc — diminue la sécrétion intestinale de chlorure et d'eau induite par la toxine cholérique et les prostaglandines, sans modifier la motilité intestinale. Le racecadotril est donc un anti-sécrétoire pur : il réduit le volume des selles liquides sans ralentir le transit, ce qui en fait la molécule de choix chez le nourrisson et l'enfant (à partir de 3 mois). Délai d'action : 30 à 60 minutes. Il est indiqué dans le traitement adjuvant de la diarrhée aiguë en complément de la réhydratation orale, chez l'adulte et l'enfant à partir de 3 mois. Sa prescription se fait en Liste I (nourrisson et enfant) ou Liste II (adulte). Sa bonne tolérance et son absence d'effet central (le thiorphan ne traverse pas la barrière hémato-encéphalique) en font une alternative au lopéramide en pédiatrie.</w:t>
      </w:r>
    </w:p>
    <w:p>
      <w:pPr>
        <w:pStyle w:val="Heading3"/>
      </w:pPr>
      <w:r>
        <w:t>10. Sous-classe : Anti-diarrhéiques - Pansements intestinaux (argiles)</w:t>
      </w:r>
    </w:p>
    <w:p>
      <w:r>
        <w:t xml:space="preserve">Les pansements intestinaux, encore appelés "adsorbants intestinaux", sont des argiles naturelles présentant une structure lamellaire leur permettant de fixer (adsorber) de grandes quantités d'eau et de toxines à leur surface. Le représentant le plus prescrit en Algérie est la </w:t>
      </w:r>
      <w:r>
        <w:rPr>
          <w:b/>
        </w:rPr>
        <w:t>diosmectite</w:t>
      </w:r>
      <w:r>
        <w:t xml:space="preserve"> (Smecta), argile smectique silico-alumineuse purifiée d'origine naturelle, extraite de gisements de montmorillonite. La diosmectite est constituée d'une feuille centrale octaédrique d'oxyde de magnésium et d'aluminium prise en sandwich entre deux feuilles tétraédriques de silice, conférant à la molécule une surface spécifique très étendue (environ 370 m²/g) et une capacité d'adsorption élevée. Elle exerce son effet thérapeutique par trois mécanismes : (i) adsorption des toxines bactériennes (toxine cholérique, toxine thermolabile de </w:t>
      </w:r>
      <w:r>
        <w:rPr>
          <w:i/>
        </w:rPr>
        <w:t>E. coli</w:t>
      </w:r>
      <w:r>
        <w:t xml:space="preserve">), des virus (rotavirus, norovirus) et des gaz intestinaux ; (ii) adsorption de l'eau luminaire exsudée par la muqueuse enflammée, ce qui diminue le volume des selles liquides ; (iii) coating de la muqueuse intestinale par un film protecteur, renforçant la barrière muqueuse et l'adhésion des entérocytes. La diosmectite n'est pas absorbée (biodisponibilité &lt; 1 %) et est excrétée intacte dans les selles. Indications : diarrhée aiguë et chronique, en complément de la réhydratation orale, chez l'adulte, l'enfant et le nourrisson. Délai d'action : 12 à 24 heures. Une autre argile proche, la </w:t>
      </w:r>
      <w:r>
        <w:rPr>
          <w:b/>
        </w:rPr>
        <w:t>montmorillonite beidellitique</w:t>
      </w:r>
      <w:r>
        <w:t xml:space="preserve"> (Bedelix), partage ce profil.</w:t>
      </w:r>
    </w:p>
    <w:p>
      <w:pPr>
        <w:pStyle w:val="Heading3"/>
      </w:pPr>
      <w:r>
        <w:t>11. Sous-classe : Probiotiques - Levures</w:t>
      </w:r>
    </w:p>
    <w:p>
      <w:r>
        <w:t xml:space="preserve">Les probiotiques sont définis par l'OMS comme des "microorganismes vivants qui, lorsqu'ils sont administrés en quantité adéquate, confèrent un bénéfice de santé à l'hôte". La sous-classe des levures probiotiques est dominée par </w:t>
      </w:r>
      <w:r>
        <w:rPr>
          <w:b/>
        </w:rPr>
        <w:t>Saccharomyces boulardii</w:t>
      </w:r>
      <w:r>
        <w:t xml:space="preserve">, levure non pathogène isolée en Indochine par Henri Boulard en 1923 à partir de lychees et de mangues. Saccharomyces boulardii appartient à la même espèce que Saccharomyces cerevisiae (levure de bière) mais s'en distingue par sa tolérance à la température (survie à 37 °C), sa résistance à l'acidité gastrique et aux protéases, et son non-pathogénicité. Ses mécanismes d'action sont multiples : (i) compétition avec les pathogènes pour les sites d'adhésion à la muqueuse intestinale (effet de barrière) ; (ii) inactivation des toxines bactériennes par protéinase sécrétée (clivage de la toxine A de </w:t>
      </w:r>
      <w:r>
        <w:rPr>
          <w:i/>
        </w:rPr>
        <w:t>Clostridium difficile</w:t>
      </w:r>
      <w:r>
        <w:t xml:space="preserve">, de la toxine cholérique) ; (iii) stimulation de la sécrétion intestinale d'IgA sérétaires et des défenses immunitaires muqueuses ; (iv) modulation de la flore commensale ; (v) effet antisécrétoire direct sur les entérocytes via inhibition de la PKA. Indications principales : prévention et traitement adjuvant de la diarrhée aiguë de l'adulte et de l'enfant, prévention de la diarrhée associée aux antibiotiques (DAA), diarrhée du voyageur, entretien de la remission de la maladie de Crohn (selon HAS), prévention de la rechute de la colite à </w:t>
      </w:r>
      <w:r>
        <w:rPr>
          <w:i/>
        </w:rPr>
        <w:t>Clostridium difficile</w:t>
      </w:r>
      <w:r>
        <w:t>. La posologie chez l'adulte est de 200 à 500 mg/j. La Saccharomyces boulardii est compatible avec la grossesse et l'allaitement. Sa principale précaution d'emploi concerne le risque de fongémie chez le patient immunodéprimé ou porteur de cathéter central (le produit doit être manipulé avec précaution, ne pas ouvrir les gélules près d'un cathéter).</w:t>
      </w:r>
    </w:p>
    <w:p>
      <w:pPr>
        <w:pStyle w:val="Heading3"/>
      </w:pPr>
      <w:r>
        <w:t>1. DCI : Lactulose (Seule)</w:t>
      </w:r>
    </w:p>
    <w:p>
      <w:r/>
      <w:r>
        <w:rPr>
          <w:b/>
        </w:rPr>
        <w:t>Liste des Catégories :</w:t>
      </w:r>
      <w:r>
        <w:t xml:space="preserve"> Laxatif osmotique - Disaccharide non absorbable ; Prébiotique ; Anti-encéphalopathique hépatique.</w:t>
      </w:r>
    </w:p>
    <w:p>
      <w:r>
        <w:t>Le lactulose est un disaccharide synthétique (β-galactosido-fructose, PM 342 Da) non absorbé ni hydrolysé par les disaccharidases humaines. Parvenu intact au côlon, il est fermenté par la flore bactérienne colique en acides organiques (acides lactique, acétique, propionique et butyrique), ce qui augmente l'osmolarité luminale, attire l'eau dans la lumière et ramollit les selles (effet laxatif), tout en abaissant le pH colique. Cette acidification transforme l'ammoniac NH₃ diffusible et neurotoxique en ion ammonium NH₄⁺ non absorbable (effet ammoniacal draineur), justifiant l'indication historique dans l'encéphalopathie hépatique. Le lactulose est également un prébiotique bifidogène. La biodisponibilité systémique est négligeable (&lt; 1 %), l'élimination est fécale après métabolisation bactérienne, avec une partie sous forme de gaz (H₂, CO₂, CH₄) responsables de flatulences. Le délai d'action laxatif est de 24 à 48 heures. L'efficacité est strictement dépendante de la flore colique : la prise concomitante d'antibiotiques à large spectre peut réduire voire abolir l'effet.</w:t>
      </w:r>
    </w:p>
    <w:p>
      <w:r/>
      <w:r>
        <w:rPr>
          <w:b/>
        </w:rPr>
        <w:t>Médicaments disponibles en Algérie (Marques, Laboratoires, Formes et Dosages) :</w:t>
      </w:r>
      <w:r/>
    </w:p>
    <w:p>
      <w:pPr>
        <w:pStyle w:val="ListBullet"/>
      </w:pPr>
      <w:r/>
      <w:r>
        <w:rPr>
          <w:b/>
        </w:rPr>
        <w:t>EASYLACT</w:t>
      </w:r>
      <w:r>
        <w:t xml:space="preserve"> (JANIS MED SARL)</w:t>
      </w:r>
    </w:p>
    <w:p>
      <w:pPr>
        <w:pStyle w:val="ListBullet"/>
      </w:pPr>
      <w:r>
        <w:t>Formes et Dosages : Solution buvable 10 g/15 mL (66,66 %) ; flacon 200 mL + gobelet doseur 15 mL.</w:t>
      </w:r>
    </w:p>
    <w:p>
      <w:pPr>
        <w:pStyle w:val="ListBullet"/>
      </w:pPr>
      <w:r>
        <w:t>Statut : Actif.</w:t>
      </w:r>
    </w:p>
    <w:p>
      <w:pPr>
        <w:pStyle w:val="ListBullet"/>
      </w:pPr>
      <w:r/>
      <w:r>
        <w:rPr>
          <w:b/>
        </w:rPr>
        <w:t>EZILAX</w:t>
      </w:r>
      <w:r>
        <w:t xml:space="preserve"> (EL KENDI INDUSTRIE DU MEDICAMENT)</w:t>
      </w:r>
    </w:p>
    <w:p>
      <w:pPr>
        <w:pStyle w:val="ListBullet"/>
      </w:pPr>
      <w:r>
        <w:t>Formes et Dosages : Sirop 10 g/15 mL (66,66 %) ; flacon 300 mL + bouchon doseur.</w:t>
      </w:r>
    </w:p>
    <w:p>
      <w:pPr>
        <w:pStyle w:val="ListBullet"/>
      </w:pPr>
      <w:r>
        <w:t>Statut : Actif.</w:t>
      </w:r>
    </w:p>
    <w:p>
      <w:pPr>
        <w:pStyle w:val="ListBullet"/>
      </w:pPr>
      <w:r/>
      <w:r>
        <w:rPr>
          <w:b/>
        </w:rPr>
        <w:t>INPHALAC</w:t>
      </w:r>
      <w:r>
        <w:t xml:space="preserve"> (INPHA-MEDIS)</w:t>
      </w:r>
    </w:p>
    <w:p>
      <w:pPr>
        <w:pStyle w:val="ListBullet"/>
      </w:pPr>
      <w:r>
        <w:t>Formes et Dosages : Sirop 10 g/15 mL (66,66 %), flacon 200 mL ; Solution buvable en sachet 10 g/15 mL, boîte de 20.</w:t>
      </w:r>
    </w:p>
    <w:p>
      <w:pPr>
        <w:pStyle w:val="ListBullet"/>
      </w:pPr>
      <w:r>
        <w:t>Statut : Actif.</w:t>
      </w:r>
    </w:p>
    <w:p>
      <w:pPr>
        <w:pStyle w:val="ListBullet"/>
      </w:pPr>
      <w:r/>
      <w:r>
        <w:rPr>
          <w:b/>
        </w:rPr>
        <w:t>ISOLACT</w:t>
      </w:r>
      <w:r>
        <w:t xml:space="preserve"> (ISOPHARM ALGERIE)</w:t>
      </w:r>
    </w:p>
    <w:p>
      <w:pPr>
        <w:pStyle w:val="ListBullet"/>
      </w:pPr>
      <w:r>
        <w:t>Formes et Dosages : Solution buvable sans sucre 10 g/15 mL (66,66 %), flacon 150 mL ; Solution buvable en sachet 10 g/15 mL, boîte de 20.</w:t>
      </w:r>
    </w:p>
    <w:p>
      <w:pPr>
        <w:pStyle w:val="ListBullet"/>
      </w:pPr>
      <w:r>
        <w:t>Statut : Actif.</w:t>
      </w:r>
    </w:p>
    <w:p>
      <w:pPr>
        <w:pStyle w:val="ListBullet"/>
      </w:pPr>
      <w:r/>
      <w:r>
        <w:rPr>
          <w:b/>
        </w:rPr>
        <w:t>LACTULOSE AGD</w:t>
      </w:r>
      <w:r>
        <w:t xml:space="preserve"> (ALGERIAN GENERICS DEVELOPMENT PHARMA - AGD PHARMA)</w:t>
      </w:r>
    </w:p>
    <w:p>
      <w:pPr>
        <w:pStyle w:val="ListBullet"/>
      </w:pPr>
      <w:r>
        <w:t>Formes et Dosages : Sirop 10 g/15 mL (66,66 %) ; flacon 200 mL + godet gradué.</w:t>
      </w:r>
    </w:p>
    <w:p>
      <w:pPr>
        <w:pStyle w:val="ListBullet"/>
      </w:pPr>
      <w:r>
        <w:t>Statut : Actif.</w:t>
      </w:r>
    </w:p>
    <w:p>
      <w:pPr>
        <w:pStyle w:val="ListBullet"/>
      </w:pPr>
      <w:r/>
      <w:r>
        <w:rPr>
          <w:b/>
        </w:rPr>
        <w:t>LACTULOSE GL</w:t>
      </w:r>
      <w:r>
        <w:t xml:space="preserve"> (GENERIC LAB)</w:t>
      </w:r>
    </w:p>
    <w:p>
      <w:pPr>
        <w:pStyle w:val="ListBullet"/>
      </w:pPr>
      <w:r>
        <w:t>Formes et Dosages : Solution buvable 10 g/15 mL (66,66 %) ; flacon 200 mL + gobelet doseur.</w:t>
      </w:r>
    </w:p>
    <w:p>
      <w:pPr>
        <w:pStyle w:val="ListBullet"/>
      </w:pPr>
      <w:r>
        <w:t>Statut : Actif.</w:t>
      </w:r>
    </w:p>
    <w:p>
      <w:pPr>
        <w:pStyle w:val="ListBullet"/>
      </w:pPr>
      <w:r/>
      <w:r>
        <w:rPr>
          <w:b/>
        </w:rPr>
        <w:t>LACTUMEX</w:t>
      </w:r>
      <w:r>
        <w:t xml:space="preserve"> (KPMA BIOTIC)</w:t>
      </w:r>
    </w:p>
    <w:p>
      <w:pPr>
        <w:pStyle w:val="ListBullet"/>
      </w:pPr>
      <w:r>
        <w:t>Formes et Dosages : Solution buvable 10 g/15 mL (66,66 %) ; flacon 150 mL.</w:t>
      </w:r>
    </w:p>
    <w:p>
      <w:pPr>
        <w:pStyle w:val="ListBullet"/>
      </w:pPr>
      <w:r>
        <w:t>Statut : Actif.</w:t>
      </w:r>
    </w:p>
    <w:p>
      <w:pPr>
        <w:pStyle w:val="ListBullet"/>
      </w:pPr>
      <w:r/>
      <w:r>
        <w:rPr>
          <w:b/>
        </w:rPr>
        <w:t>DUPHALAC</w:t>
      </w:r>
      <w:r>
        <w:t xml:space="preserve"> (SOLVAY PHARMA)</w:t>
      </w:r>
    </w:p>
    <w:p>
      <w:pPr>
        <w:pStyle w:val="ListBullet"/>
      </w:pPr>
      <w:r>
        <w:t>Formes et Dosages : Solution buvable en sachet 10 g/15 mL, boîte de 20.</w:t>
      </w:r>
    </w:p>
    <w:p>
      <w:pPr>
        <w:pStyle w:val="ListBullet"/>
      </w:pPr>
      <w:r>
        <w:t>Statut : Actif (forme en flacon 665 mg/mL, RETRAIT du marché).</w:t>
      </w:r>
    </w:p>
    <w:p>
      <w:pPr>
        <w:pStyle w:val="ListBullet"/>
      </w:pPr>
      <w:r/>
      <w:r>
        <w:rPr>
          <w:b/>
        </w:rPr>
        <w:t>DUPHALOSE</w:t>
      </w:r>
      <w:r>
        <w:t xml:space="preserve"> (LABORATOIRES PHARMAGHREB)</w:t>
      </w:r>
    </w:p>
    <w:p>
      <w:pPr>
        <w:pStyle w:val="ListBullet"/>
      </w:pPr>
      <w:r>
        <w:t>Formes et Dosages : Solution buvable en sachet 10 g/15 mL, boîte de 20.</w:t>
      </w:r>
    </w:p>
    <w:p>
      <w:pPr>
        <w:pStyle w:val="ListBullet"/>
      </w:pPr>
      <w:r>
        <w:t>Statut : Actif (Liste I).</w:t>
      </w:r>
    </w:p>
    <w:p>
      <w:pPr>
        <w:pStyle w:val="ListBullet"/>
      </w:pPr>
      <w:r/>
      <w:r>
        <w:rPr>
          <w:b/>
        </w:rPr>
        <w:t>LACTUGEL</w:t>
      </w:r>
      <w:r>
        <w:t xml:space="preserve"> (BIOPHARM)</w:t>
      </w:r>
    </w:p>
    <w:p>
      <w:pPr>
        <w:pStyle w:val="ListBullet"/>
      </w:pPr>
      <w:r>
        <w:t>Formes et Dosages : Solution buvable en sachet 10 g/15 mL, boîte de 20.</w:t>
      </w:r>
    </w:p>
    <w:p>
      <w:pPr>
        <w:pStyle w:val="ListBullet"/>
      </w:pPr>
      <w:r>
        <w:t>Statut : Actif (Liste I).</w:t>
      </w:r>
    </w:p>
    <w:p>
      <w:pPr>
        <w:pStyle w:val="ListBullet"/>
      </w:pPr>
      <w:r/>
      <w:r>
        <w:rPr>
          <w:b/>
        </w:rPr>
        <w:t>LACTUNAD</w:t>
      </w:r>
      <w:r>
        <w:t xml:space="preserve"> (NADPHARMADIC-PRODUCTION)</w:t>
      </w:r>
    </w:p>
    <w:p>
      <w:pPr>
        <w:pStyle w:val="ListBullet"/>
      </w:pPr>
      <w:r>
        <w:t>Formes et Dosages : Solution buvable en sachet 10 g/15 mL, boîte de 20.</w:t>
      </w:r>
    </w:p>
    <w:p>
      <w:pPr>
        <w:pStyle w:val="ListBullet"/>
      </w:pPr>
      <w:r>
        <w:t>Statut : Actif.</w:t>
      </w:r>
    </w:p>
    <w:p>
      <w:pPr>
        <w:pStyle w:val="ListBullet"/>
      </w:pPr>
      <w:r/>
      <w:r>
        <w:rPr>
          <w:b/>
        </w:rPr>
        <w:t>LAXILAC</w:t>
      </w:r>
      <w:r>
        <w:t xml:space="preserve"> (NEOMEDIC)</w:t>
      </w:r>
    </w:p>
    <w:p>
      <w:pPr>
        <w:pStyle w:val="ListBullet"/>
      </w:pPr>
      <w:r>
        <w:t>Formes et Dosages : Solution buvable en sachet 10 g/15 mL, boîte de 20.</w:t>
      </w:r>
    </w:p>
    <w:p>
      <w:pPr>
        <w:pStyle w:val="ListBullet"/>
      </w:pPr>
      <w:r>
        <w:t>Statut : Actif.</w:t>
      </w:r>
    </w:p>
    <w:p>
      <w:r>
        <w:t>Spécialités retirées et non renouvelables (référence historique) :</w:t>
      </w:r>
    </w:p>
    <w:p>
      <w:pPr>
        <w:pStyle w:val="ListBullet"/>
      </w:pPr>
      <w:r/>
      <w:r>
        <w:rPr>
          <w:b/>
        </w:rPr>
        <w:t>LACTULOSE LPA</w:t>
      </w:r>
      <w:r>
        <w:t xml:space="preserve"> (LABORATOIRE PHARMACEUTIQUE ALGERIEN - LPA) – Solution buvable 0,667 ; flacon 200 mL. Statut : Non renouvelable.</w:t>
      </w:r>
    </w:p>
    <w:p>
      <w:pPr>
        <w:pStyle w:val="ListBullet"/>
      </w:pPr>
      <w:r/>
      <w:r>
        <w:rPr>
          <w:b/>
        </w:rPr>
        <w:t>TULOS</w:t>
      </w:r>
      <w:r>
        <w:t xml:space="preserve"> (GROUPE SANTE) – Solution buvable 10 g/15 mL ; flacon 125 mL. Statut : Non renouvelable.</w:t>
      </w:r>
    </w:p>
    <w:p>
      <w:pPr>
        <w:pStyle w:val="ListBullet"/>
      </w:pPr>
      <w:r/>
      <w:r>
        <w:rPr>
          <w:b/>
        </w:rPr>
        <w:t>LACTULOSE MYLAN</w:t>
      </w:r>
      <w:r>
        <w:t xml:space="preserve"> (MYLAN) – Solution buvable sachet-dose 10 g/15 mL ; boîte de 20 sachets de 15 mL. Statut : Non renouvelable.</w:t>
      </w:r>
    </w:p>
    <w:p>
      <w:pPr>
        <w:pStyle w:val="ListBullet"/>
      </w:pPr>
      <w:r/>
      <w:r>
        <w:rPr>
          <w:b/>
        </w:rPr>
        <w:t>LAXATOL</w:t>
      </w:r>
      <w:r>
        <w:t xml:space="preserve"> (FRATER) – Solution buvable sachet-dose 10 g/15 mL ; boîte de 20. Statut : Non renouvelable.</w:t>
      </w:r>
    </w:p>
    <w:p>
      <w:pPr>
        <w:pStyle w:val="ListBullet"/>
      </w:pPr>
      <w:r/>
      <w:r>
        <w:rPr>
          <w:b/>
        </w:rPr>
        <w:t>DUPHALAC flacon</w:t>
      </w:r>
      <w:r>
        <w:t xml:space="preserve"> (SOLVAY PHARMA) – Solution buvable 0,665 ; flacon 200 mL. Statut : Retiré (R).</w:t>
      </w:r>
    </w:p>
    <w:p>
      <w:pPr>
        <w:pStyle w:val="ListBullet"/>
      </w:pPr>
      <w:r/>
      <w:r>
        <w:rPr>
          <w:b/>
        </w:rPr>
        <w:t>RAMLAC</w:t>
      </w:r>
      <w:r>
        <w:t xml:space="preserve"> (RAM PHARMA) – Solution buvable 133 g/200 mL ; flacon 200 mL. Statut : Retiré (R).</w:t>
      </w:r>
    </w:p>
    <w:p>
      <w:pPr>
        <w:pStyle w:val="ListBullet"/>
      </w:pPr>
      <w:r/>
      <w:r>
        <w:rPr>
          <w:b/>
        </w:rPr>
        <w:t>LACTUPHAL</w:t>
      </w:r>
      <w:r>
        <w:t xml:space="preserve"> (DUTCH QUALITY ASSURANCE PHARMA - DQA) – Suspension buvable 667 mg/mL ; flacon 200 mL. Statut : Retiré (R).</w:t>
      </w:r>
    </w:p>
    <w:p>
      <w:pPr>
        <w:pStyle w:val="ListBullet"/>
      </w:pPr>
      <w:r/>
      <w:r>
        <w:rPr>
          <w:b/>
        </w:rPr>
        <w:t>LAXODAD</w:t>
      </w:r>
      <w:r>
        <w:t xml:space="preserve"> (DAR AL DAWA) – Suspension buvable 10 g/15 mL ; flacon 200 mL. Statut : Retiré (R).</w:t>
      </w:r>
    </w:p>
    <w:p>
      <w:pPr>
        <w:pStyle w:val="ListBullet"/>
      </w:pPr>
      <w:r/>
      <w:r>
        <w:rPr>
          <w:b/>
        </w:rPr>
        <w:t>LACTULOSE BIOGARAN</w:t>
      </w:r>
      <w:r>
        <w:t xml:space="preserve"> (BIOGARAN) – Solution buvable, flacon 200 mL ; et solution buvable sachets 10 g/15 mL, boîte de 20 sachets de 15 mL. Statut : Retiré (R).</w:t>
      </w:r>
    </w:p>
    <w:p>
      <w:pPr>
        <w:pStyle w:val="ListBullet"/>
      </w:pPr>
      <w:r/>
      <w:r>
        <w:rPr>
          <w:b/>
        </w:rPr>
        <w:t>NORMALAC</w:t>
      </w:r>
      <w:r>
        <w:t xml:space="preserve"> (CUKUROVA DIS TICARET AS) – Sirop 667 mg/mL ; flacons 100/200/250 mL. Statut : Retiré (R).</w:t>
      </w:r>
    </w:p>
    <w:p>
      <w:r/>
      <w:r>
        <w:rPr>
          <w:b/>
        </w:rPr>
        <w:t>Sous-classe et Mécanisme d'action :</w:t>
      </w:r>
      <w:r/>
    </w:p>
    <w:p>
      <w:pPr>
        <w:pStyle w:val="ListBullet"/>
      </w:pPr>
      <w:r>
        <w:t>Sous-classe : Laxatif osmotique de la famille des disaccharides non absorbables (laxatif de "poids osmotique"), prébiotique et acidifiant colique. Première intention dans la constipation de la femme enceinte et du sujet âgé.</w:t>
      </w:r>
    </w:p>
    <w:p>
      <w:pPr>
        <w:pStyle w:val="ListBullet"/>
      </w:pPr>
      <w:r>
        <w:t>Mécanisme d'action : Le lactulose n'est ni absorbé ni hydrolysé par les disaccharidases intestinales humaines. Il parvient intact jusqu'au côlon où il est fermenté par les bactéries coliques (Bifidobacterium, Lactobacillus, Bacteroides) en acides gras à chaîne courte (AGCC : acide lactique, acétique, propionique, butyrique). Cette fermentation a trois conséquences : (i) augmentation de l'osmolarité luminale colique (pression osmotique ~ 1 000 mOsm/L), ce qui attire l'eau par osmose dans la lumière intestinale et augmente le volume liquidien du bol fécal — d'où ramollissement des selles ; (ii) acidification du contenu colique (pH abaissé à 5,0-5,5), transformant l'ammoniac NH₃ diffusible et neurotoxique en ion ammonium NH₄⁺ non diffusible, excrété dans les selles (effet "ammoniac draineur", indiqué dans l'encéphalopathie hépatique) ; (iii) effet prébiotique : stimulation sélective de la croissance des bifidobactéries et lactobacilles, au détriment des espèces putréfiantes (Bacteroides, Clostridium). Le lactulose ne stimule pas directement le péristaltisme colique.</w:t>
      </w:r>
    </w:p>
    <w:p>
      <w:r/>
      <w:r>
        <w:rPr>
          <w:b/>
        </w:rPr>
        <w:t>Profil Pharmacologique :</w:t>
      </w:r>
      <w:r/>
    </w:p>
    <w:p>
      <w:pPr>
        <w:pStyle w:val="ListBullet"/>
      </w:pPr>
      <w:r>
        <w:t>Indications : (1) Traitement de la constipation occasionnelle et chronique (y compris chez la femme enceinte et allaitante, le sujet âgé, l'enfant à partir de la naissance, le patient alité ou post-opératoire) ; (2) Encéphalopathie hépatique (traitement et prévention des rechutes) à posologie élevée (30 à 100 mL/j en 3 prises) ; (3) Préparation colique en association ; (4) Prébiotique en cas de dysbiose post-antibiothérapie ; (5) Aide au désimpaction fécale chez l'enfant et le sujet âgé (en association au macrogol).</w:t>
      </w:r>
    </w:p>
    <w:p>
      <w:pPr>
        <w:pStyle w:val="ListBullet"/>
      </w:pPr>
      <w:r>
        <w:t>Contre-indications : (i) Hypersensibilité au lactulose ; (ii) Galactosémie congénitale (le lactulose contient du galactose, contre-indication absolue) ; (iii) Syndrome occlusif, iléus paralytique, fécalome avec impactation (risque de distension colique aggravée) ; (iv) Intolérance au galactose, déficit en lactase, syndrome de malabsorption glucose-galactose ; (v) Perforation digestive ou péritonite. Chez le patient diabétique déséquilibré, surveillance renforcée en raison du contenu en galactose (à forte dose).</w:t>
      </w:r>
    </w:p>
    <w:p>
      <w:pPr>
        <w:pStyle w:val="ListBullet"/>
      </w:pPr>
      <w:r>
        <w:t>Effets Indésirables : (i) Flatulences (très fréquent, &gt; 10 %, liées à la fermentation colique en H₂, CO₂, CH₄) ; (ii) Ballonnements et météorisme abdominal ; (iii) Douleurs abdominales crampoïdes (fréquent, 1-10 %) ; (iv) Diarrhée à posologie élevée (effet dose-dépendant) ; (v) Nausées, vomissements ; (vi) À très long terme et forte dose : troubles électrolytiques (hypokaliémie, hypernatrémie par déshydratation), acidose métabolique hyperchlorémique (encéphalopathie hépatique). Le lactulose ne provoque pas de mélanose colique ni de "cathartic colon" (contrairement aux stimulants).</w:t>
      </w:r>
    </w:p>
    <w:p>
      <w:r/>
      <w:r>
        <w:rPr>
          <w:b/>
        </w:rPr>
        <w:t>Prévention et Gestion des Effets Indésirables :</w:t>
      </w:r>
      <w:r/>
    </w:p>
    <w:p>
      <w:pPr>
        <w:pStyle w:val="ListBullet"/>
      </w:pPr>
      <w:r>
        <w:t>Mesures Préventives : (i) Débuter par une faible dose (10-15 mL le soir) et l'augmenter progressivement sur 3 à 5 jours pour limiter les flatulences initiales ; (ii) Prise unique vespérale pour obtenir une selle le matin ; (iii) Prévention de la déshydratation chez le sujet âgé par hydratation orale (≥ 1,5 L/j) ; (iv) Chez le diabétique, préférer les formes "sans sucre" (Isolact sans sucre) ; (v) Chez le patient sous lactulose au long cours, surveillance ionogramme (K⁺, Na⁺) en cas de forte dose.</w:t>
      </w:r>
    </w:p>
    <w:p>
      <w:pPr>
        <w:pStyle w:val="ListBullet"/>
      </w:pPr>
      <w:r>
        <w:t>Conduite à Tenir : (i) En cas de diarrhée profuse : réduire la dose de moitié, voire arrêter transitoirement ; (ii) En cas de ballonnements majeurs et persistants au-delà de 7 à 10 jours (dépassant la phase d'adaptation de la flore) : envisager un switch vers macrogol (sans fermentation) ; (iii) En cas de signes d'occlusion (arrêt des selles et des gaz, douleurs abdominales violentes, vomissements, météorisme) : arrêt immédiat, examen médical urgent ; (iv) En cas d'encéphalopathie hépatique avec acidose : ajustement par le médecin hospitalier.</w:t>
      </w:r>
    </w:p>
    <w:p>
      <w:r/>
      <w:r>
        <w:rPr>
          <w:b/>
        </w:rPr>
        <w:t>Interactions Importantes :</w:t>
      </w:r>
      <w:r/>
    </w:p>
    <w:p>
      <w:pPr>
        <w:pStyle w:val="ListBullet"/>
      </w:pPr>
      <w:r>
        <w:t>Lactulose + Antibiotiques à large spectre (amoxicilline, amoxicilline-clavulanique, fluoroquinolones, métronidazole) : risque de baisse d'efficacité du lactulose par inhibition de la flore colique responsable de sa fermentation. Espacer ou renforcer la surveillance clinique. Préférer le macrogol en cas d'antibiothérapie concomitante prolongée.</w:t>
      </w:r>
    </w:p>
    <w:p>
      <w:pPr>
        <w:pStyle w:val="ListBullet"/>
      </w:pPr>
      <w:r>
        <w:t>Lactulose + Anti-acides (carbonate de calcium, bicarbonate) : augmentation du pH colique, baisse de l'efficacité du lactulose sur l'encéphalopathie hépatique.</w:t>
      </w:r>
    </w:p>
    <w:p>
      <w:pPr>
        <w:pStyle w:val="ListBullet"/>
      </w:pPr>
      <w:r>
        <w:t>Lactulose + Diurétiques (furosémide, hydrochlorothiazide) : majoration du risque de déshydratation et d'hypokaliémie (pertes hydriques coliques + pertes rénales). Surveillance K⁺ chez le sujet âgé.</w:t>
      </w:r>
    </w:p>
    <w:p>
      <w:pPr>
        <w:pStyle w:val="ListBullet"/>
      </w:pPr>
      <w:r>
        <w:t>Lactulose + Digitaliques (digoxine) : hypokaliémie favorisant la toxicité digitalique (risque de troubles du rythme).</w:t>
      </w:r>
    </w:p>
    <w:p>
      <w:pPr>
        <w:pStyle w:val="ListBullet"/>
      </w:pPr>
      <w:r>
        <w:t>Lactulose + Anticoagulants oraux (AVK) : à forte dose, modification de l'absorption de la vitamine K (synthèse bactérienne colique réduite), risque de déséquilibre de l'INR.</w:t>
      </w:r>
    </w:p>
    <w:p>
      <w:pPr>
        <w:pStyle w:val="ListBullet"/>
      </w:pPr>
      <w:r>
        <w:t>Lactulose + autres laxatifs : risque additif de diarrhée et de troubles hydroélectrolytiques ; éviter les associations systématiques.</w:t>
      </w:r>
    </w:p>
    <w:p>
      <w:r/>
      <w:r>
        <w:rPr>
          <w:b/>
        </w:rPr>
        <w:t>Grossesse et Allaitement :</w:t>
      </w:r>
      <w:r/>
    </w:p>
    <w:p>
      <w:pPr>
        <w:pStyle w:val="ListBullet"/>
      </w:pPr>
      <w:r>
        <w:t>Grossesse : Compatible à tous les trimestres. Le lactulose n'est pas absorbé et ne traverse pas le placenta. Il constitue le laxatif de premier choix chez la femme enceinte selon le CRAT et l'ANSM, en association aux mesures hygiéno-diététiques (hydratation, fibres, activité physique). Posologie identique à celle de l'adulte non enceinte (10-30 g/j).</w:t>
      </w:r>
    </w:p>
    <w:p>
      <w:pPr>
        <w:pStyle w:val="ListBullet"/>
      </w:pPr>
      <w:r>
        <w:t>Allaitement : Compatible. Le lactulose n'est pas excrété dans le lait maternel (non absorbé systémiquement). Sans risque pour le nouveau-né allaité.</w:t>
      </w:r>
    </w:p>
    <w:p>
      <w:pPr>
        <w:pStyle w:val="ListBullet"/>
      </w:pPr>
      <w:r>
        <w:t>Précisions : Préférer le lactulose ou le macrogol aux laxatifs stimulants (sennosides, bisacodyl) pendant la grossesse, en particulier au premier trimestre et en fin de grossesse (risque théorique de contractions utérines avec les anthracéniques).</w:t>
      </w:r>
    </w:p>
    <w:p>
      <w:r/>
      <w:r>
        <w:rPr>
          <w:b/>
        </w:rPr>
        <w:t>Posologie et Mode d'administration (Standard) :</w:t>
      </w:r>
      <w:r/>
    </w:p>
    <w:p>
      <w:pPr>
        <w:pStyle w:val="ListBullet"/>
      </w:pPr>
      <w:r>
        <w:t>Adulte : 10 à 30 g/j, soit 1 à 3 sachets-doses (10 g) ou 15 à 45 mL de sirop 66,66 %, en une prise vespérale ou en deux prises (matin et soir). Ajuster selon la réponse, dose minimale efficace à rechercher. Encéphalopathie hépatique : 30 à 50 mL × 3/jour, adaptés pour obtenir 2 à 3 selles molles par jour.</w:t>
      </w:r>
    </w:p>
    <w:p>
      <w:pPr>
        <w:pStyle w:val="ListBullet"/>
      </w:pPr>
      <w:r>
        <w:t>Enfant : 5 mL/j (&lt; 1 an) ; 5-10 mL/j (1-6 ans) ; 10-15 mL/j (6-14 ans). Désimpaction fécale chez l'enfant : 1-3 mL/kg/j en plusieurs prises, en association au macrogol (protocole PEG 3350).</w:t>
      </w:r>
    </w:p>
    <w:p>
      <w:pPr>
        <w:pStyle w:val="ListBullet"/>
      </w:pPr>
      <w:r>
        <w:t>Nourrisson : 5 mL/j dans le biberon.</w:t>
      </w:r>
    </w:p>
    <w:p>
      <w:pPr>
        <w:pStyle w:val="ListBullet"/>
      </w:pPr>
      <w:r>
        <w:t>Durée : traitement de la constipation occasionnelle : 5-10 jours maximum sans avis médical. Constipation chronique : au long cours possible sous suivi médical. Encéphalopathie : au long cours.</w:t>
      </w:r>
    </w:p>
    <w:p>
      <w:pPr>
        <w:pStyle w:val="ListBullet"/>
      </w:pPr>
      <w:r>
        <w:t>Moment de prise : préférentiellement le soir après le repas (action en 24-48 h, selle le matin). Peut être pris pur, dilué dans une boisson, ou mélangé à un yaourt. Le lactulose peut être administré indépendamment des repas.</w:t>
      </w:r>
    </w:p>
    <w:p>
      <w:r/>
      <w:r>
        <w:rPr>
          <w:b/>
        </w:rPr>
        <w:t>Arbitrage et Bénéfices des Formes Galéniques :</w:t>
      </w:r>
      <w:r/>
    </w:p>
    <w:p>
      <w:pPr>
        <w:pStyle w:val="ListBullet"/>
      </w:pPr>
      <w:r>
        <w:t>Sirop (flacon 100-300 mL) : forme historique et économique, dosage facile par bouchon doseur ou godet gradué. Idéale pour adaptation posologique et traitement au long cours. Inconvénients : risque de souillure, conservation limitée après ouverture (4 semaines au réfrigérateur pour certains produits), teneur en sucres résiduels (lactose, galactose) à prendre en compte chez le diabétique.</w:t>
      </w:r>
    </w:p>
    <w:p>
      <w:pPr>
        <w:pStyle w:val="ListBullet"/>
      </w:pPr>
      <w:r>
        <w:t>Sachets-doses (10 g) : pratiques pour l'observance, le voyage, la délivrance hospitalière. Garantissent un dosage précis sans doseur. Avantage hygiénique.</w:t>
      </w:r>
    </w:p>
    <w:p>
      <w:pPr>
        <w:pStyle w:val="ListBullet"/>
      </w:pPr>
      <w:r>
        <w:t>Forme "sans sucre" (Isolact) : indiquée chez le diabétique déséquilibré ou le patient en surpoids.</w:t>
      </w:r>
    </w:p>
    <w:p>
      <w:pPr>
        <w:pStyle w:val="ListBullet"/>
      </w:pPr>
      <w:r>
        <w:t>Forme pédiatrique : pas de spécialité dédiée mais le sirop 66,66 % est utilisable chez le nourrisson avec seringue doseuse.</w:t>
      </w:r>
    </w:p>
    <w:p>
      <w:pPr>
        <w:pStyle w:val="ListBullet"/>
      </w:pPr>
      <w:r>
        <w:t>Pas de forme injectable (le lactulose n'a aucune indication parentérale).</w:t>
      </w:r>
    </w:p>
    <w:p>
      <w:r/>
      <w:r>
        <w:rPr>
          <w:b/>
        </w:rPr>
        <w:t>Instructions et Conseils au Patient :</w:t>
      </w:r>
      <w:r/>
    </w:p>
    <w:p>
      <w:pPr>
        <w:pStyle w:val="ListBullet"/>
      </w:pPr>
      <w:r>
        <w:t>Communication au comptoir : "Prenez votre sachet ou votre dose de sirop le soir après le repas, avec un grand verre d'eau. L'effet n'est pas immédiat : comptez 24 à 48 heures pour obtenir une selle. Vous risquez d'avoir des ballonnements et des gaz les premiers jours, c'est normal et ça va diminuer en une semaine. Si vous êtes constipé depuis plusieurs jours, buvez au moins 1,5 litre d'eau par jour, mangez des fibres (fruits, légumes, son), et marchez 30 minutes par jour. Ne dépassez pas 10 jours de traitement sans consulter un médecin. Consultez en urgence si vous avez des douleurs abdominales violentes, du sang dans les selles, de la fièvre, ou si vous ne pouvez plus aller aux toilettes ni aux gaz."</w:t>
      </w:r>
    </w:p>
    <w:p>
      <w:pPr>
        <w:pStyle w:val="ListBullet"/>
      </w:pPr>
      <w:r>
        <w:t>Mode d'utilisation pratique : Diluer le lactulose dans un verre d'eau, jus de fruit, ou yaourt. Pour le nourrisson, mélanger dans le biberon de lait. En cas d'oubli, ne pas doubler la dose. Tenir un journal des selles les premiers jours pour adapter la dose. Ne pas associer à d'autres laxatifs sans avis médical. Conserver à température ambiante (≤ 25 °C), à l'abri de la lumière.</w:t>
      </w:r>
    </w:p>
    <w:p>
      <w:r/>
      <w:r>
        <w:rPr>
          <w:b/>
        </w:rPr>
        <w:t>Notes, Règles d'Or &amp; Pièges au Comptoir :</w:t>
      </w:r>
      <w:r/>
    </w:p>
    <w:p>
      <w:pPr>
        <w:pStyle w:val="ListBullet"/>
      </w:pPr>
      <w:r>
        <w:t>Piège classique : (i) Diabète — le lactulose contient du galactose et du lactose résiduel (~ 25-50 g/L selon les spécialités), à forte dose il peut modifier la glycémie ; préférer les formes "sans sucre" ou le macrogol. (ii) Patient sous antibiotique — l'effet peut être aboli par la décontamination de la flore colique. (iii) Encéphalopathie hépatique — les posologies sont très différentes (30 à 90 g/j), à ne pas confondre avec la posologie laxative. (iv) Galactosémie — contre-indication absolue méconnue. (v) Patient âgé déshydraté — risque d'hypernatrémie par perte hydrique libre.</w:t>
      </w:r>
    </w:p>
    <w:p>
      <w:pPr>
        <w:pStyle w:val="ListBullet"/>
      </w:pPr>
      <w:r>
        <w:t>Règle de prise : une prise vespérale, dose ajustée pour obtenir une selle par jour, hydratation ≥ 1,5 L/j. Ne jamais dépasser 30-45 mL/j en traitement de fond sans avis médical.</w:t>
      </w:r>
    </w:p>
    <w:p>
      <w:pPr>
        <w:pStyle w:val="ListBullet"/>
      </w:pPr>
      <w:r>
        <w:t>Préparation et Conservation : Conserver à température ≤ 25 °C, à l'abri de la lumière et de l'humidité. Le sirop peut être conservé après ouverture jusqu'à la date de péremption indiquée. Les sachets en emballage individuel restent stables jusqu'à la date de péremption.</w:t>
      </w:r>
    </w:p>
    <w:p>
      <w:pPr>
        <w:pStyle w:val="ListBullet"/>
      </w:pPr>
      <w:r>
        <w:t>Piège du surdosage / Substitution : En cas de surdosage, diarrhée profuse avec déshydratation et hypokaliémie — arrêter, réhydrater. Substitution possible par macrogol (sans fermentation, donc sans flatulences) en cas d'intolérance gazeuse. Le lactulose ne doit pas être substitué par des stimulants (sennosides) sans avis médical chez le patient chronique.</w:t>
      </w:r>
    </w:p>
    <w:p>
      <w:pPr>
        <w:pStyle w:val="Heading3"/>
      </w:pPr>
      <w:r>
        <w:t>2. DCI : Macrogol (PEG 3350, 4000) (Seule)</w:t>
      </w:r>
    </w:p>
    <w:p>
      <w:r/>
      <w:r>
        <w:rPr>
          <w:b/>
        </w:rPr>
        <w:t>Liste des Catégories :</w:t>
      </w:r>
      <w:r>
        <w:t xml:space="preserve"> Laxatif osmotique - Polyéthylène glycol ; Solution de préparation colique (PEG + électrolytes).</w:t>
      </w:r>
    </w:p>
    <w:p>
      <w:r>
        <w:t>Le macrogol (polyéthylène glycol, PEG) est un polymère linéaire hydrophile composé d'unités répétitives d'éther éthylénique (-CH₂-CH₂-O-)ₙ dont le poids moléculaire moyen définit le grade : PEG 3350 (PM ~ 3 350 Da) et PEG 4000 (PM ~ 4 000 Da). Le PEG n'est ni absorbé (biodisponibilité systémique &lt; 5 %), ni métabolisé, ni fermenté par la flore bactérienne colique — ce qui en fait un laxatif osmotique "pur" dénué d'effets secondaires liés à la fermentation (pas de flatulences, pas de ballonnements, pas d'acidification colique). Son mécanisme d'action est strictement osmotique : le PEG retient l'eau dans la lumière intestinale par ses liaisons hydrogène (chaîne très hydrophile), augmentant le contenu hydrique fécal, ce qui ramollit les selles et augmente leur volume sans stimulation de la motilité. À forte dose (2-4 L de PEG 3350 avec électrolytes), il exerce un effet de lavage colique utilisé pour la préparation colique avant coloscopie ou chirurgie programmée. L'adjonction d'électrolytes (sulfate de sodium, bicarbonate de sodium, chlorure de sodium, chlorure de potassium) aux solutions de préparation colique prévient les déséquilibres hydroélectrolytiques (hypokaliémie, hyponatrémie) qui pourraient résulter de la perte hydrosodée. Délai d'action : 24-48 h en traitement de fond ; 1-4 h pour la préparation colique.</w:t>
      </w:r>
    </w:p>
    <w:p>
      <w:r/>
      <w:r>
        <w:rPr>
          <w:b/>
        </w:rPr>
        <w:t>Médicaments disponibles en Algérie (Marques, Laboratoires, Formes et Dosages) :</w:t>
      </w:r>
      <w:r/>
    </w:p>
    <w:p>
      <w:r/>
      <w:r>
        <w:rPr>
          <w:i/>
        </w:rPr>
        <w:t>Laxatifs PEG 4000 (constipation) :</w:t>
      </w:r>
      <w:r/>
    </w:p>
    <w:p>
      <w:pPr>
        <w:pStyle w:val="ListBullet"/>
      </w:pPr>
      <w:r/>
      <w:r>
        <w:rPr>
          <w:b/>
        </w:rPr>
        <w:t>FORLAX</w:t>
      </w:r>
      <w:r>
        <w:t xml:space="preserve"> (MAYOLY SPINDLER ALGERIE)</w:t>
      </w:r>
    </w:p>
    <w:p>
      <w:pPr>
        <w:pStyle w:val="ListBullet"/>
      </w:pPr>
      <w:r>
        <w:t>Formes et Dosages : Poudre pour solution buvable en sachet-dose 10 g ; boîte de 20. Poudre 4 g ; boîte de 20 (Forlax 4G, forme enfant/pédiatrie).</w:t>
      </w:r>
    </w:p>
    <w:p>
      <w:pPr>
        <w:pStyle w:val="ListBullet"/>
      </w:pPr>
      <w:r>
        <w:t>Statut : Actif.</w:t>
      </w:r>
    </w:p>
    <w:p>
      <w:pPr>
        <w:pStyle w:val="ListBullet"/>
      </w:pPr>
      <w:r/>
      <w:r>
        <w:rPr>
          <w:b/>
        </w:rPr>
        <w:t>MACROLAX-ISO</w:t>
      </w:r>
      <w:r>
        <w:t xml:space="preserve"> (ISOPHARM ALGERIE)</w:t>
      </w:r>
    </w:p>
    <w:p>
      <w:pPr>
        <w:pStyle w:val="ListBullet"/>
      </w:pPr>
      <w:r>
        <w:t>Formes et Dosages : Poudre pour solution buvable en sachet-dose 10 g ; boîte de 20.</w:t>
      </w:r>
    </w:p>
    <w:p>
      <w:pPr>
        <w:pStyle w:val="ListBullet"/>
      </w:pPr>
      <w:r>
        <w:t>Statut : Actif.</w:t>
      </w:r>
    </w:p>
    <w:p>
      <w:pPr>
        <w:pStyle w:val="ListBullet"/>
      </w:pPr>
      <w:r/>
      <w:r>
        <w:rPr>
          <w:b/>
        </w:rPr>
        <w:t>OROLAX</w:t>
      </w:r>
      <w:r>
        <w:t xml:space="preserve"> (FRATER-RAZES FORME SECHE)</w:t>
      </w:r>
    </w:p>
    <w:p>
      <w:pPr>
        <w:pStyle w:val="ListBullet"/>
      </w:pPr>
      <w:r>
        <w:t>Formes et Dosages : Poudre pour solution buvable en sachet-dose 10 g ; boîte de 20. Poudre 4 g ; boîte de 20 (forme enfant).</w:t>
      </w:r>
    </w:p>
    <w:p>
      <w:pPr>
        <w:pStyle w:val="ListBullet"/>
      </w:pPr>
      <w:r>
        <w:t>Statut : Actif.</w:t>
      </w:r>
    </w:p>
    <w:p>
      <w:pPr>
        <w:pStyle w:val="ListBullet"/>
      </w:pPr>
      <w:r/>
      <w:r>
        <w:rPr>
          <w:b/>
        </w:rPr>
        <w:t>PROLAX</w:t>
      </w:r>
      <w:r>
        <w:t xml:space="preserve"> (BIOGALENIC)</w:t>
      </w:r>
    </w:p>
    <w:p>
      <w:pPr>
        <w:pStyle w:val="ListBullet"/>
      </w:pPr>
      <w:r>
        <w:t>Formes et Dosages : Poudre pour solution buvable en sachet-dose 10 g ; boîte de 20.</w:t>
      </w:r>
    </w:p>
    <w:p>
      <w:pPr>
        <w:pStyle w:val="ListBullet"/>
      </w:pPr>
      <w:r>
        <w:t>Statut : Actif.</w:t>
      </w:r>
    </w:p>
    <w:p>
      <w:pPr>
        <w:pStyle w:val="ListBullet"/>
      </w:pPr>
      <w:r/>
      <w:r>
        <w:rPr>
          <w:b/>
        </w:rPr>
        <w:t>FORLAX 4G</w:t>
      </w:r>
      <w:r>
        <w:t xml:space="preserve"> (MAYOLY SPINDLER ALGERIE)</w:t>
      </w:r>
    </w:p>
    <w:p>
      <w:pPr>
        <w:pStyle w:val="ListBullet"/>
      </w:pPr>
      <w:r>
        <w:t>Formes et Dosages : Poudre pour solution buvable en sachet-dose 4 g ; boîte de 20.</w:t>
      </w:r>
    </w:p>
    <w:p>
      <w:pPr>
        <w:pStyle w:val="ListBullet"/>
      </w:pPr>
      <w:r>
        <w:t>Statut : Actif (forme enfant à partir de 6 mois).</w:t>
      </w:r>
    </w:p>
    <w:p>
      <w:r/>
      <w:r>
        <w:rPr>
          <w:i/>
        </w:rPr>
        <w:t>Préparation colique - PEG + électrolytes :</w:t>
      </w:r>
      <w:r/>
    </w:p>
    <w:p>
      <w:pPr>
        <w:pStyle w:val="ListBullet"/>
      </w:pPr>
      <w:r/>
      <w:r>
        <w:rPr>
          <w:b/>
        </w:rPr>
        <w:t>FORTRANS</w:t>
      </w:r>
      <w:r>
        <w:t xml:space="preserve"> (MAYOLY PHARMA FRANCE)</w:t>
      </w:r>
    </w:p>
    <w:p>
      <w:pPr>
        <w:pStyle w:val="ListBullet"/>
      </w:pPr>
      <w:r>
        <w:t>Formes et Dosages : Poudre pour solution buvable en sachet-dose (PEG 4000 64 g + sulfate de sodium anhydre 5,7 g + bicarbonate de sodium 1,68 g + chlorure de sodium 1,46 g + chlorure de potassium 0,75 g) ; boîte de 4 sachets. Liste I.</w:t>
      </w:r>
    </w:p>
    <w:p>
      <w:pPr>
        <w:pStyle w:val="ListBullet"/>
      </w:pPr>
      <w:r>
        <w:t>Statut : Actif. Référence princeps de la préparation colique.</w:t>
      </w:r>
    </w:p>
    <w:p>
      <w:pPr>
        <w:pStyle w:val="ListBullet"/>
      </w:pPr>
      <w:r/>
      <w:r>
        <w:rPr>
          <w:b/>
        </w:rPr>
        <w:t>PICOPREP</w:t>
      </w:r>
      <w:r>
        <w:t xml:space="preserve"> (FERRING GMBH) — voir fiche picosulfate (associé au picosulfate et à l'oxyde de magnésium).</w:t>
      </w:r>
    </w:p>
    <w:p>
      <w:pPr>
        <w:pStyle w:val="ListBullet"/>
      </w:pPr>
      <w:r>
        <w:t>Formes et Dosages : Poudre pour solution buvable en sachet-dose (picosulfate 10 mg + oxyde de magnésium léger 3,5 g + acide citrique 12 g) ; boîte de 2. Liste I.</w:t>
      </w:r>
    </w:p>
    <w:p>
      <w:pPr>
        <w:pStyle w:val="ListBullet"/>
      </w:pPr>
      <w:r>
        <w:t>Statut : Actif.</w:t>
      </w:r>
    </w:p>
    <w:p>
      <w:r>
        <w:t>Spécialités non renouvelables et retirées (référence historique) :</w:t>
      </w:r>
    </w:p>
    <w:p>
      <w:pPr>
        <w:pStyle w:val="ListBullet"/>
      </w:pPr>
      <w:r/>
      <w:r>
        <w:rPr>
          <w:b/>
        </w:rPr>
        <w:t>CONSTILAX</w:t>
      </w:r>
      <w:r>
        <w:t xml:space="preserve"> (GROUPE SAIDAL) – Macrogol 4000, poudre pour solution buvable 10 g/sachet, boîte de 20. Statut : Non renouvelable.</w:t>
      </w:r>
    </w:p>
    <w:p>
      <w:pPr>
        <w:pStyle w:val="ListBullet"/>
      </w:pPr>
      <w:r/>
      <w:r>
        <w:rPr>
          <w:b/>
        </w:rPr>
        <w:t>GEOLAX</w:t>
      </w:r>
      <w:r>
        <w:t xml:space="preserve"> (GEOPHARM) – Macrogol 3350 + bicarbonate Na/chlorure Na/chlorure K (13,125 g/0,1785 g/0,3507 g/0,0466 g par sachet) ; boîte de 10 ou 20 sachets. Statut : Non renouvelable.</w:t>
      </w:r>
    </w:p>
    <w:p>
      <w:pPr>
        <w:pStyle w:val="ListBullet"/>
      </w:pPr>
      <w:r/>
      <w:r>
        <w:rPr>
          <w:b/>
        </w:rPr>
        <w:t>COLOCLEAN</w:t>
      </w:r>
      <w:r>
        <w:t xml:space="preserve"> (GEOPHARM) – Macrogol 3350 + sulfate Na + bicarbonate Na + chlorure Na + chlorure K (59 g/5,68 g/1,68 g/1,64 g/0,75 g par sachet) ; boîte de 4 sachets. Statut : Non renouvelable.</w:t>
      </w:r>
    </w:p>
    <w:p>
      <w:pPr>
        <w:pStyle w:val="ListBullet"/>
      </w:pPr>
      <w:r/>
      <w:r>
        <w:rPr>
          <w:b/>
        </w:rPr>
        <w:t>SELTRANS</w:t>
      </w:r>
      <w:r>
        <w:t xml:space="preserve"> (GROUPE SAIDAL) – Macrogol 4000 + électrolytes (64 g/1,68 g/1,46 g/0,75 g par sachet) ; boîte de 4 sachets de 74 g. Statut : Non renouvelable.</w:t>
      </w:r>
    </w:p>
    <w:p>
      <w:pPr>
        <w:pStyle w:val="ListBullet"/>
      </w:pPr>
      <w:r/>
      <w:r>
        <w:rPr>
          <w:b/>
        </w:rPr>
        <w:t>SOLUTION EVACUANTE BOHM</w:t>
      </w:r>
      <w:r>
        <w:t xml:space="preserve"> (BOHM SA) – PEG 4000, 64 g, boîte de 16 sachets. Statut : Non renouvelable.</w:t>
      </w:r>
    </w:p>
    <w:p>
      <w:pPr>
        <w:pStyle w:val="ListBullet"/>
      </w:pPr>
      <w:r/>
      <w:r>
        <w:rPr>
          <w:b/>
        </w:rPr>
        <w:t>MOVICOL</w:t>
      </w:r>
      <w:r>
        <w:t xml:space="preserve"> (NORGINE PHARMA) – Macrogol 3350, 13,125 g, sachet, boîte de 20. Statut : Retiré (R).</w:t>
      </w:r>
    </w:p>
    <w:p>
      <w:r/>
      <w:r>
        <w:rPr>
          <w:b/>
        </w:rPr>
        <w:t>Sous-classe et Mécanisme d'action :</w:t>
      </w:r>
      <w:r/>
    </w:p>
    <w:p>
      <w:pPr>
        <w:pStyle w:val="ListBullet"/>
      </w:pPr>
      <w:r>
        <w:t>Sous-classe : Laxatif osmotique - polyéthylène glycol. Le macrogol se distingue du lactulose par son absence de fermentation colique, ce qui en fait le laxatif osmotique de meilleure tolérance digestive (pas de flatulences, pas de ballonnements). C'est le laxatif de référence chez l'adulte, l'enfant (à partir de 6 mois pour Forlax 4G), la femme enceinte et le sujet âgé. Pour la préparation colique, le PEG + électrolytes est le gold standard international (split-dose : moitié la veille au soir, moitié le matin de l'examen).</w:t>
      </w:r>
    </w:p>
    <w:p>
      <w:pPr>
        <w:pStyle w:val="ListBullet"/>
      </w:pPr>
      <w:r>
        <w:t>Mécanisme d'action : Le macrogol est un polymère linéaire non absorbé. Sa chaîne hydrophile porte de nombreuses fonctions -O- capables de former des liaisons hydrogène avec les molécules d'eau, fixant ainsi l'eau dans la lumière intestinale. Cette rétention hydrique augmente le volume du bol fécal et le ramollit (effet laxatif pur). L'eau retenue n'est pas absorbée par la muqueuse colique car le PEG exerce une contre-pression osmotique. À forte dose (4 L), l'effet de "lavage" mécanique du côlon permet l'évacuation complète du contenu colique pour préparation à l'endoscopie ou à la chirurgie. L'adjonction d'électrolytes (sulfate de sodium — qui exerce également une action osmotique propre — bicarbonate de sodium, chlorure de sodium, chlorure de potassium) compense les pertes hydroélectrolytiques fécales. Le PEG n'est pas métabolisé par les bactéries coliques (contrairement au lactulose), ce qui explique l'absence de gaz.</w:t>
      </w:r>
    </w:p>
    <w:p>
      <w:r/>
      <w:r>
        <w:rPr>
          <w:b/>
        </w:rPr>
        <w:t>Profil Pharmacologique :</w:t>
      </w:r>
      <w:r/>
    </w:p>
    <w:p>
      <w:pPr>
        <w:pStyle w:val="ListBullet"/>
      </w:pPr>
      <w:r>
        <w:t>Indications : (1) Traitement symptomatique de la constipation occasionnelle chez l'adulte et l'enfant à partir de 6 mois (Forlax 4G pédiatrique) ; (2) Traitement de la constipation chronique (au long cours possible) ; (3) Désimpaction fécale chez l'enfant (protocole PEG 3350 à 1-1,5 g/kg/j pendant 3-6 jours) ; (4) Préparation colique avant coloscopie, chirurgie colorectale ou radiologie (FORTRANS : 4 sachets dans 4 L d'eau) ; (5) Alternative au lactulose chez le patient ballonneux, diabétique, ou sous antibiotique ; (6) Laxatif de choix en gériatrie et chez la femme enceinte.</w:t>
      </w:r>
    </w:p>
    <w:p>
      <w:pPr>
        <w:pStyle w:val="ListBullet"/>
      </w:pPr>
      <w:r>
        <w:t>Contre-indications : (i) Maladies inflammatoires intestinales en poussée (Crohn, RCH) ; (ii) Syndrome occlusif ou sub-occlusif, iléus paralytique, mégacôlon toxique ; (iii) Perforation digestive ou risque de perforation ; (iv) Douleurs abdominales non diagnostiquées ; (v) Hypersensibilité au PEG ; (vi) Pour la préparation colique : insuffisance cardiaque sévère déséquilibrée, insuffisance rénale sévère (anurie), déshydratation, troubles électrolytiques non corrigés.</w:t>
      </w:r>
    </w:p>
    <w:p>
      <w:pPr>
        <w:pStyle w:val="ListBullet"/>
      </w:pPr>
      <w:r>
        <w:t>Effets Indésirables : (i) Diarrhée (effet dose-dépendant, régressive à la baisse de dose) ; (ii) Douleurs abdominales transitoires ; (iii) Ballonnements modérés ; (iv) Nausées (surtout avec les solutions de préparation colique de grand volume — préférence pour les solutions à bas volume) ; (v) Vomissements lors de la préparation colique (goût métallique/salé) ; (vi) Réactions allergiques rares (urticaire, angio-œdème, choc anaphylactique exceptionnel) ; (vii) À très forte dose (préparation colique) : hypokaliémie, hyponatrémie, déshydratation, hypotension, surtout chez le sujet âgé. Le macrogol ne provoque ni mélanose colique, ni "cathartic colon", ni dépendance.</w:t>
      </w:r>
    </w:p>
    <w:p>
      <w:r/>
      <w:r>
        <w:rPr>
          <w:b/>
        </w:rPr>
        <w:t>Prévention et Gestion des Effets Indésirables :</w:t>
      </w:r>
      <w:r/>
    </w:p>
    <w:p>
      <w:pPr>
        <w:pStyle w:val="ListBullet"/>
      </w:pPr>
      <w:r>
        <w:t>Mesures Préventives : (i) Pour la préparation colique : fractionner les doses (split-dose : 2 L la veille au soir, 2 L le matin de l'examen) — meilleure tolérance et meilleure préparation que la dose unique ; (ii) Hydratation orale compensatrice pendant la préparation (boissons claires) ; (iii) Chez le sujet âgé : surveillance clinique et biologique (ionogramme) ; (iv) Régime sans résidus 3 jours avant la coloscopie ; (v) Pour la constipation : débuter par la dose minimale (1 sachet/j) et adapter ; (vi) Prise unique le matin pour Forlax (et non le soir, car le produit peut agir dans la nuit).</w:t>
      </w:r>
    </w:p>
    <w:p>
      <w:pPr>
        <w:pStyle w:val="ListBullet"/>
      </w:pPr>
      <w:r>
        <w:t>Conduite à Tenir : (i) Diarrhée persistante &gt; 3 jours : arrêt transitoire, réhydratation, avis médical ; (ii) Vomissements incoercibles pendant la préparation : prévenir le médecin, fractionner encore plus la solution, éventuellement antiémétique (dompéridone) ; (iii) Signes d'occlusion (douleur, arrêt des selles et gaz, vomissements) : arrêt immédiat, consultation aux urgences ; (iv) Réaction allergique : arrêt définitif, sanction allergologique.</w:t>
      </w:r>
    </w:p>
    <w:p>
      <w:r/>
      <w:r>
        <w:rPr>
          <w:b/>
        </w:rPr>
        <w:t>Interactions Importantes :</w:t>
      </w:r>
      <w:r/>
    </w:p>
    <w:p>
      <w:pPr>
        <w:pStyle w:val="ListBullet"/>
      </w:pPr>
      <w:r>
        <w:t>Macrogol + tous médicaments oraux : baisse de l'absorption des médicaments administrés simultanément (effet de "wash-out" mécanique et augmentation du transit). Espacer d'au moins 2 heures la prise des autres traitements oraux. Particulièrement important pour : AVK, digoxine, anticonvulsivants, contraceptifs oraux, antirétroviraux, immunosuppresseurs.</w:t>
      </w:r>
    </w:p>
    <w:p>
      <w:pPr>
        <w:pStyle w:val="ListBullet"/>
      </w:pPr>
      <w:r>
        <w:t>Macrogol + Antibiotiques : pas de baisse d'efficacité du macrogol (contrairement au lactulose) — c'est un avantage majeur du PEG chez le patient sous antibiothérapie.</w:t>
      </w:r>
    </w:p>
    <w:p>
      <w:pPr>
        <w:pStyle w:val="ListBullet"/>
      </w:pPr>
      <w:r>
        <w:t>Macrogol (préparation colique) + Diurétiques, IEC, AINS, lithium : majoration du risque de déshydratation et d'insuffisance rénale fonctionnelle. Surveillance ionogramme et fonction rénale. Arrêt transitoire des diurétiques le jour de la préparation.</w:t>
      </w:r>
    </w:p>
    <w:p>
      <w:pPr>
        <w:pStyle w:val="ListBullet"/>
      </w:pPr>
      <w:r>
        <w:t>Macrogol + Antiarythmiques (amiodarone, quinidine) : risque d'hypokaliémie favorisant la toxicité cardiaque.</w:t>
      </w:r>
    </w:p>
    <w:p>
      <w:r/>
      <w:r>
        <w:rPr>
          <w:b/>
        </w:rPr>
        <w:t>Grossesse et Allaitement :</w:t>
      </w:r>
      <w:r/>
    </w:p>
    <w:p>
      <w:pPr>
        <w:pStyle w:val="ListBullet"/>
      </w:pPr>
      <w:r>
        <w:t>Grossesse : Compatible à tous les trimestres (CRAT). Le macrogol n'est pas absorbé et ne traverse pas le placenta. C'est, avec le lactulose, le laxatif de premier choix pendant la grossesse. Posologie identique à l'adulte non enceinte. Le macrogol ne provoque pas de contractions utérines.</w:t>
      </w:r>
    </w:p>
    <w:p>
      <w:pPr>
        <w:pStyle w:val="ListBullet"/>
      </w:pPr>
      <w:r>
        <w:t>Allaitement : Compatible. Le macrogol n'est pas excrété dans le lait maternel (non absorbé). Sans risque pour le nouveau-né.</w:t>
      </w:r>
    </w:p>
    <w:p>
      <w:pPr>
        <w:pStyle w:val="ListBullet"/>
      </w:pPr>
      <w:r>
        <w:t>Précisions : Pour la préparation colique chez la femme enceinte (rare), avis spécialisé indispensable et privilégier les alternatives (lavage par lavement, ou report de l'examen).</w:t>
      </w:r>
    </w:p>
    <w:p>
      <w:r/>
      <w:r>
        <w:rPr>
          <w:b/>
        </w:rPr>
        <w:t>Posologie et Mode d'administration (Standard) :</w:t>
      </w:r>
      <w:r/>
    </w:p>
    <w:p>
      <w:pPr>
        <w:pStyle w:val="ListBullet"/>
      </w:pPr>
      <w:r>
        <w:t>Adulte (constipation) : 1 à 2 sachets de 10 g par jour, soit 10-20 g/j en une prise unique, de préférence le matin. Dissoudre chaque sachet dans un verre d'eau. Durée maximale d'auto-médication : 14 jours (selon RCP) ; au-delà, avis médical.</w:t>
      </w:r>
    </w:p>
    <w:p>
      <w:pPr>
        <w:pStyle w:val="ListBullet"/>
      </w:pPr>
      <w:r>
        <w:t>Enfant à partir de 6 mois et &lt; 8 ans (constipation) : Forlax 4G — 1 sachet 4 g/j (≤ 6 ans) à 1-2 sachets 4 g/j (&gt; 6 ans). Dissoudre dans l'eau, le lait ou un yaourt.</w:t>
      </w:r>
    </w:p>
    <w:p>
      <w:pPr>
        <w:pStyle w:val="ListBullet"/>
      </w:pPr>
      <w:r>
        <w:t>Désimpaction fécale enfant (protocole hospitalier) : Macrogol 3350 avec électrolytes 1-1,5 g/kg/j pendant 3-6 jours.</w:t>
      </w:r>
    </w:p>
    <w:p>
      <w:pPr>
        <w:pStyle w:val="ListBullet"/>
      </w:pPr>
      <w:r>
        <w:t>Préparation colique (FORTRANS) : 4 sachets dans 4 litres d'eau, à raison de 1,5-2 L la veille au soir et 1,5-2 L le matin de l'examen (split-dose). Régime sans résidu les 3 jours précédents. Boire 1 L/h environ, par verres de 250 mL toutes les 15 minutes, jusqu'à obtention de selles claires liquides.</w:t>
      </w:r>
    </w:p>
    <w:p>
      <w:pPr>
        <w:pStyle w:val="ListBullet"/>
      </w:pPr>
      <w:r>
        <w:t>Adulte (encéphalopathie) : non indiqué (préférer lactulose).</w:t>
      </w:r>
    </w:p>
    <w:p>
      <w:pPr>
        <w:pStyle w:val="ListBullet"/>
      </w:pPr>
      <w:r>
        <w:t>Moment de prise : en une prise unique le matin (Pour la constipation ; prise indépendante des repas). Pour la préparation colique : selon protocole.</w:t>
      </w:r>
    </w:p>
    <w:p>
      <w:r/>
      <w:r>
        <w:rPr>
          <w:b/>
        </w:rPr>
        <w:t>Arbitrage et Bénéfices des Formes Galéniques :</w:t>
      </w:r>
      <w:r/>
    </w:p>
    <w:p>
      <w:pPr>
        <w:pStyle w:val="ListBullet"/>
      </w:pPr>
      <w:r>
        <w:t>Sachets-doses (10 g et 4 g) : formes standardisées, faciles à transporter, sans dosage. Le sachet 4 g est dédié à l'enfant (à partir de 6 mois), garantissant un dosage adapté au poids. La dissolution doit se faire dans un verre d'eau, immédiatement avant la prise. Goût neutre (légèrement salé pour les solutions avec électrolytes).</w:t>
      </w:r>
    </w:p>
    <w:p>
      <w:pPr>
        <w:pStyle w:val="ListBullet"/>
      </w:pPr>
      <w:r>
        <w:t>Sachets-doses avec électrolytes (Forlax 3350, Fortrans) : pour la préparation colique. Volume important (4 L), meilleure acceptabilité si refroidi (réfrigérateur).</w:t>
      </w:r>
    </w:p>
    <w:p>
      <w:pPr>
        <w:pStyle w:val="ListBullet"/>
      </w:pPr>
      <w:r>
        <w:t>Forme en pot (Constilax, poudre) : économique pour le traitement au long cours, mais dosage moins précis.</w:t>
      </w:r>
    </w:p>
    <w:p>
      <w:pPr>
        <w:pStyle w:val="ListBullet"/>
      </w:pPr>
      <w:r>
        <w:t>Pas de forme sirop, suppositoire, ou injectable.</w:t>
      </w:r>
    </w:p>
    <w:p>
      <w:r/>
      <w:r>
        <w:rPr>
          <w:b/>
        </w:rPr>
        <w:t>Instructions et Conseils au Patient :</w:t>
      </w:r>
      <w:r/>
    </w:p>
    <w:p>
      <w:pPr>
        <w:pStyle w:val="ListBullet"/>
      </w:pPr>
      <w:r>
        <w:t>Communication au comptoir : "Prenez un sachet de Forlax le matin dans un verre d'eau. Le produit n'a pas de goût, ou un léger goût salé. Vous pouvez le prendre pendant 14 jours maximum sans avis médical. Buvez au moins 1,5 litre d'eau par jour, mangez des fibres, marchez. L'effet survient en 24 à 48 heures. Le Forlax ne provoque pas de gaz (contrairement au lactulose), c'est un avantage. Pour la préparation colique (Fortrans), suivez scrupuleusement le protocole remis par votre médecin : 4 litres à boire en deux fois (veille et matin), régime sans résidu les 3 jours avant. Prévoyez de rester à proximité des toilettes."</w:t>
      </w:r>
    </w:p>
    <w:p>
      <w:pPr>
        <w:pStyle w:val="ListBullet"/>
      </w:pPr>
      <w:r>
        <w:t>Mode d'utilisation pratique : Dissoudre la poudre dans un verre d'eau (150 mL), mélanger jusqu'à dissolution complète. Boire immédiatement. En cas d'oubli, ne pas doubler la dose le lendemain. Tenir le sachet à température ambiante, à l'abri de l'humidité.</w:t>
      </w:r>
    </w:p>
    <w:p>
      <w:r/>
      <w:r>
        <w:rPr>
          <w:b/>
        </w:rPr>
        <w:t>Notes, Règles d'Or &amp; Pièges au Comptoir :</w:t>
      </w:r>
      <w:r/>
    </w:p>
    <w:p>
      <w:pPr>
        <w:pStyle w:val="ListBullet"/>
      </w:pPr>
      <w:r>
        <w:t>Piège classique : (i) Prise au coucher — préférence pour la prise matinale, car l'effet peut survenir pendant la nuit (réveil). (ii) Médicaments oraux associés — espacer d'au moins 2 heures (risque de baisse d'efficacité des AVK, digoxine, contraceptifs oraux). (iii) Préparation colique non fractionnée (4 L en une fois la veille) — tolérance médiocre, préférer le split-dose. (iv) Insuffisance rénale ou cardiaque du sujet âgé — surveiller ionogramme et poids pendant la préparation colique.</w:t>
      </w:r>
    </w:p>
    <w:p>
      <w:pPr>
        <w:pStyle w:val="ListBullet"/>
      </w:pPr>
      <w:r>
        <w:t>Règle de prise : 1 sachet dans un verre d'eau le matin, hydratation ≥ 1,5 L/j, durée d'auto-médication limitée à 14 jours.</w:t>
      </w:r>
    </w:p>
    <w:p>
      <w:pPr>
        <w:pStyle w:val="ListBullet"/>
      </w:pPr>
      <w:r>
        <w:t>Préparation et Conservation : Conserver à température ambiante ≤ 25 °C, à l'abri de l'humidité. Les sachets en emballage individuel restent stables jusqu'à la date de péremption. Après dissolution, consommer immédiatement (ne pas conserver).</w:t>
      </w:r>
    </w:p>
    <w:p>
      <w:pPr>
        <w:pStyle w:val="ListBullet"/>
      </w:pPr>
      <w:r>
        <w:t>Piège du surdosage / Substitution : En cas de surdosage : diarrhée profuse avec déshydratation et hypokaliémie. Arrêt, réhydratation orale ou IV. Substitution : macrogol ↔ lactulose possible selon la tolérance. Ne pas associer plusieurs laxatifs sans avis médical. Ne pas substituer par un stimulant (sennosides, bisacodyl) en première intention, en particulier chez le sujet âgé et la femme enceinte.</w:t>
      </w:r>
    </w:p>
    <w:p>
      <w:pPr>
        <w:pStyle w:val="Heading3"/>
      </w:pPr>
      <w:r>
        <w:t>3. DCI : Bisacodyl (Seule)</w:t>
      </w:r>
    </w:p>
    <w:p>
      <w:r/>
      <w:r>
        <w:rPr>
          <w:b/>
        </w:rPr>
        <w:t>Liste des Catégories :</w:t>
      </w:r>
      <w:r>
        <w:t xml:space="preserve"> Laxatif stimulant - Diphénolique ; Laxatif de contact ; Préparation colique (en association).</w:t>
      </w:r>
    </w:p>
    <w:p>
      <w:r>
        <w:t>Le bisacodyl (4,4'-diacétoxy-2-pyridylméthane-diphényl) est un laxatif stimulant de la famille des diphénols, chimiquement apparenté au phénolphtaléine et au picosulfate. C'est une prodrogue inactive dans l'estomac et l'intestin grêle, qui devient active après déacétylation par les estérases de la muqueuse colique et/ou les bactéries coliques, libérant le BHPM (bis-(p-hydroxyphényl)-pyridyl-2-méthane), métabolite commun au picosulfate. Le BHPM exerce son effet thérapeutique par trois mécanismes complémentaires : (i) stimulation directe des neurones du plexus myentérique d'Auerbach, augmentant le péristaltisme propulsif colique ; (ii) inhibition de la Na⁺/K⁺-ATPase muqueuse colique, réduisant la réabsorption hydrosodée et favorisant la sécrétion nette d'eau et d'électrolytes ; (iii) induction de la synthèse des prostaglandines E₂ et I₂, qui stimulent la sécrétion de Cl⁻ via les canaux CFTR des entérocytes. La biodisponibilité systémique est très faible (&lt; 5 %) après déacétylation intestinale, mais la fraction absorbée subit une conjugaison hépatique et une excrétion biliaire, réalisant un cycle entéro-hépatique qui prolonge l'effet. Délai d'action : 6 à 12 heures après prise orale (forme gastro-résistante) ; 15 à 60 minutes après administration rectale (suppositoire).</w:t>
      </w:r>
    </w:p>
    <w:p>
      <w:r/>
      <w:r>
        <w:rPr>
          <w:b/>
        </w:rPr>
        <w:t>Médicaments disponibles en Algérie (Marques, Laboratoires, Formes et Dosages) :</w:t>
      </w:r>
      <w:r/>
    </w:p>
    <w:p>
      <w:pPr>
        <w:pStyle w:val="ListBullet"/>
      </w:pPr>
      <w:r/>
      <w:r>
        <w:rPr>
          <w:b/>
        </w:rPr>
        <w:t>GYLAXA</w:t>
      </w:r>
      <w:r>
        <w:t xml:space="preserve"> (GEOPHARM)</w:t>
      </w:r>
    </w:p>
    <w:p>
      <w:pPr>
        <w:pStyle w:val="ListBullet"/>
      </w:pPr>
      <w:r>
        <w:t>Formes et Dosages : Comprimé pelliculé gastro-résistant 5 mg ; boîte de 20.</w:t>
      </w:r>
    </w:p>
    <w:p>
      <w:pPr>
        <w:pStyle w:val="ListBullet"/>
      </w:pPr>
      <w:r>
        <w:t>Statut : Actif.</w:t>
      </w:r>
    </w:p>
    <w:p>
      <w:pPr>
        <w:pStyle w:val="ListBullet"/>
      </w:pPr>
      <w:r/>
      <w:r>
        <w:rPr>
          <w:b/>
        </w:rPr>
        <w:t>LAXADYL 10 MG</w:t>
      </w:r>
      <w:r>
        <w:t xml:space="preserve"> (LABORATOIRES SALEM)</w:t>
      </w:r>
    </w:p>
    <w:p>
      <w:pPr>
        <w:pStyle w:val="ListBullet"/>
      </w:pPr>
      <w:r>
        <w:t>Formes et Dosages : Suppositoire 10 mg ; boîte de 6.</w:t>
      </w:r>
    </w:p>
    <w:p>
      <w:pPr>
        <w:pStyle w:val="ListBullet"/>
      </w:pPr>
      <w:r>
        <w:t>Statut : Actif.</w:t>
      </w:r>
    </w:p>
    <w:p>
      <w:pPr>
        <w:pStyle w:val="ListBullet"/>
      </w:pPr>
      <w:r/>
      <w:r>
        <w:rPr>
          <w:b/>
        </w:rPr>
        <w:t>LAXADYL 5 MG</w:t>
      </w:r>
      <w:r>
        <w:t xml:space="preserve"> (LABORATOIRES SALEM)</w:t>
      </w:r>
    </w:p>
    <w:p>
      <w:pPr>
        <w:pStyle w:val="ListBullet"/>
      </w:pPr>
      <w:r>
        <w:t>Formes et Dosages : Suppositoire 5 mg ; boîte de 6.</w:t>
      </w:r>
    </w:p>
    <w:p>
      <w:pPr>
        <w:pStyle w:val="ListBullet"/>
      </w:pPr>
      <w:r>
        <w:t>Statut : Actif.</w:t>
      </w:r>
    </w:p>
    <w:p>
      <w:r/>
      <w:r>
        <w:rPr>
          <w:b/>
        </w:rPr>
        <w:t>Sous-classe et Mécanisme d'action :</w:t>
      </w:r>
      <w:r/>
    </w:p>
    <w:p>
      <w:pPr>
        <w:pStyle w:val="ListBullet"/>
      </w:pPr>
      <w:r>
        <w:t>Sous-classe : Laxatif stimulant diphénolique, de la classe des "laxatifs de contact". Il s'agit d'une molécule de seconde ligne après échec des osmotiques (lactulose, macrogol) et des fibres (psyllium), réservée au traitement court de la constipation aiguë ou à la préparation colique. L'utilisation chronique est déconseillée (risque de "cathartic colon", mélanose colique, hypokaliémie, dépendance).</w:t>
      </w:r>
    </w:p>
    <w:p>
      <w:pPr>
        <w:pStyle w:val="ListBullet"/>
      </w:pPr>
      <w:r>
        <w:t>Mécanisme d'action : Le bisacodyl est une prodrogue absorbée sous forme active (BHPM) après déacétylation intestinale. Le BHPM stimule le plexus myentérique (activation des neurones cholinergiques, augmentation de l'acétylcholine libérée), ce qui augmente le péristaltisme propulsif. Il inhibe la Na⁺/K⁺-ATPase des entérocytes, réduisant la réabsorption nette de Na⁺ et d'eau. Il stimule également la sécrétion de Cl⁻ via activation des canaux CFTR (cystic fibrosis transmembrane conductance regulator). L'effet net est une augmentation du contenu hydrique et électrolytique du bol fécal et une stimulation du péristaltisme, conduisant à l'évacuation d'une selle liquide ou semi-liquide. La forme orale gastro-résistante libère le bisacodyl dans le côlon (pH alcalin), évitant l'irritation gastrique et l'effet prématuré dans l'intestin grêle. Le suppositoire agit localement par déacétylation muqueuse rectale.</w:t>
      </w:r>
    </w:p>
    <w:p>
      <w:r/>
      <w:r>
        <w:rPr>
          <w:b/>
        </w:rPr>
        <w:t>Profil Pharmacologique :</w:t>
      </w:r>
      <w:r/>
    </w:p>
    <w:p>
      <w:pPr>
        <w:pStyle w:val="ListBullet"/>
      </w:pPr>
      <w:r>
        <w:t>Indications : (1) Constipation aiguë occasionnelle, en cas d'échec des mesures hygiéno-diététiques et des laxatifs osmotiques ; (2) Préparation colique avant coloscopie ou chirurgie, en association avec le macrogol ou avec le picosulfate ; (3) Constipation post-opératoire et du sujet alité ; (4) Évacuation rectale avant examen proctologique (suppositoire). Durée maximale d'utilisation en automédication : 8 à 10 jours maximum sans avis médical (voir RCP).</w:t>
      </w:r>
    </w:p>
    <w:p>
      <w:pPr>
        <w:pStyle w:val="ListBullet"/>
      </w:pPr>
      <w:r>
        <w:t>Contre-indications : (i) Hypersensibilité au bisacodyl ; (ii) Syndrome occlusif ou sub-occlusif, iléus paralytique ; (iii) Douleurs abdominales aiguës non diagnostiquées, appendicite aiguë ; (iv) Fécalome, occlusion par impactation ; (v) Mégacôlon toxique ; (vi) Rectocolite hémorragique sévère en poussée ; (vii) Hémorragie digestive ; (viii) Perforation digestive ou péritonite ; (ix) Enfant de moins de 6 ans (comprimé) et moins de 10 ans (suppositoire, sauf avis médical) ; (x) Grossesse (par prudence, voir section dédiée) ; (xi) Déshydratation sévère, troubles électrolytiques.</w:t>
      </w:r>
    </w:p>
    <w:p>
      <w:pPr>
        <w:pStyle w:val="ListBullet"/>
      </w:pPr>
      <w:r>
        <w:t>Effets Indésirables : (i) Douleurs abdominales crampoïdes (très fréquent, lié à la stimulation péristaltique) ; (ii) Diarrhée parfois profuse (effet dose-dépendant) ; (iii) Hypokaliémie, hyponatrémie, déshydratation (à forte dose ou usage prolongé) ; (iv) Mélanose colique (à l'usage chronique, pigmentation brun-noir de la muqueuse) ; (v) "Cathartic colon" (atonie colique fonctionnelle avec dilatation du côlon, à l'usage chronique) ; (vi) Protéinémie et hypoalbuminémie par entéropathie exsudative (aux stimulants au long cours) ; (vii) Troubles de l'absorption des nutriments et vitamines (usage prolongé) ; (viii) Réactions allergiques (rash, prurit) ; (ix) Avec le suppositoire : irritation rectale, ténesme, rectorragies. Troubles électrolytiques et déshydratation — surveillance chez le sujet âgé et le patient cardiaque.</w:t>
      </w:r>
    </w:p>
    <w:p>
      <w:r/>
      <w:r>
        <w:rPr>
          <w:b/>
        </w:rPr>
        <w:t>Prévention et Gestion des Effets Indésirables :</w:t>
      </w:r>
      <w:r/>
    </w:p>
    <w:p>
      <w:pPr>
        <w:pStyle w:val="ListBullet"/>
      </w:pPr>
      <w:r>
        <w:t>Mesures Préventives : (i) Limiter la durée d'utilisation à 8-10 jours en automédication ; (ii) Ne pas utiliser en traitement chronique sans avis médical ; (iii) Hydratation orale compensatrice (≥ 1,5 L/j) ; (iv) Chez le sujet âgé et cardiaque : surveillance clinique et ionogramme si usage &gt; 5 jours ; (v) Préférence pour la forme orale gastro-résistante à 5 mg, prise vespérale, plutôt que le suppositoire (sauf contexte spécifique : prurit anal, fissure, préférence du patient).</w:t>
      </w:r>
    </w:p>
    <w:p>
      <w:pPr>
        <w:pStyle w:val="ListBullet"/>
      </w:pPr>
      <w:r>
        <w:t>Conduite à Tenir : (i) En cas de diarrhée profuse : arrêt immédiat, réhydratation orale, contrôle ionogramme ; (ii) En cas de douleurs intenses : arrêt, examen médical pour éliminer une occlusion ; (iii) En cas de mélanose colique découverte à la coloscopie : arrêt définitif des stimulants, substitution par osmotique (macrogol, lactulose) ; (iv) En cas d'hypokaliémie symptomatique (crampes, asthénie, troubles ECG) : supplémentation potassique et arrêt du bisacodyl.</w:t>
      </w:r>
    </w:p>
    <w:p>
      <w:r/>
      <w:r>
        <w:rPr>
          <w:b/>
        </w:rPr>
        <w:t>Interactions Importantes :</w:t>
      </w:r>
      <w:r/>
    </w:p>
    <w:p>
      <w:pPr>
        <w:pStyle w:val="ListBullet"/>
      </w:pPr>
      <w:r>
        <w:t>Bisacodyl + Anti-acides, IPP (oméprazole), inhibiteurs de la pompe à protons, et cimétidine : libération prématurée du bisacodyl dans l'estomac (baisse du pH gastrique) — irritation gastrique, nausées, perte d'efficacité colique. Ne pas associer, espacer d'au moins 2 heures.</w:t>
      </w:r>
    </w:p>
    <w:p>
      <w:pPr>
        <w:pStyle w:val="ListBullet"/>
      </w:pPr>
      <w:r>
        <w:t>Bisacodyl + Lait et produits laitiers (calcium) : interaction similaire (augmentation du pH gastrique) — prise à distance des produits laitiers.</w:t>
      </w:r>
    </w:p>
    <w:p>
      <w:pPr>
        <w:pStyle w:val="ListBullet"/>
      </w:pPr>
      <w:r>
        <w:t>Bisacodyl + Diurétiques (furosémide, thiazidiques) : majoration du risque d'hypokaliémie. Surveillance K⁺.</w:t>
      </w:r>
    </w:p>
    <w:p>
      <w:pPr>
        <w:pStyle w:val="ListBullet"/>
      </w:pPr>
      <w:r>
        <w:t>Bisacodyl + Digitaliques (digoxine) : hypokaliémie favorisant la toxicité digitalique.</w:t>
      </w:r>
    </w:p>
    <w:p>
      <w:pPr>
        <w:pStyle w:val="ListBullet"/>
      </w:pPr>
      <w:r>
        <w:t>Bisacodyl + AVK : à forte dose, malabsorption de la vitamine K, déséquilibre INR.</w:t>
      </w:r>
    </w:p>
    <w:p>
      <w:pPr>
        <w:pStyle w:val="ListBullet"/>
      </w:pPr>
      <w:r>
        <w:t>Bisacodyl + autres laxatifs : risque additif de diarrhée et de troubles électrolytiques ; éviter les associations systématiques sauf protocole de préparation colique.</w:t>
      </w:r>
    </w:p>
    <w:p>
      <w:pPr>
        <w:pStyle w:val="ListBullet"/>
      </w:pPr>
      <w:r>
        <w:t>Bisacodyl + antibiotiques : pas d'interaction significative (le bisacodyl est activé par les estérases muqueuses, peu par les bactéries — contrairement au picosulfate).</w:t>
      </w:r>
    </w:p>
    <w:p>
      <w:r/>
      <w:r>
        <w:rPr>
          <w:b/>
        </w:rPr>
        <w:t>Grossesse et Allaitement :</w:t>
      </w:r>
      <w:r/>
    </w:p>
    <w:p>
      <w:pPr>
        <w:pStyle w:val="ListBullet"/>
      </w:pPr>
      <w:r>
        <w:t>Grossesse : À éviter par prudence, notamment au premier trimestre. Les données animales et humaines sont limitées ; les laxatifs stimulants peuvent théoriquement induire des contractions utérines. Préférer le lactulose ou le macrogol (compatibles). Le bisacodyl en suppositoire peut être utilisé en fin de grossesse pour constipation réfractaire sous avis médical. Le CRAT recommande la prudence.</w:t>
      </w:r>
    </w:p>
    <w:p>
      <w:pPr>
        <w:pStyle w:val="ListBullet"/>
      </w:pPr>
      <w:r>
        <w:t>Allaitement : À éviter par prudence. Bien que le passage dans le lait maternel soit mal documenté, on préfère les osmotiques (macrogol, lactulose).</w:t>
      </w:r>
    </w:p>
    <w:p>
      <w:pPr>
        <w:pStyle w:val="ListBullet"/>
      </w:pPr>
      <w:r>
        <w:t>Précisions : En cas de nécessité absolue en fin de grossesse (constipation rebelle), le suppositoire de bisacodyl 5 mg en prise ponctuelle est une option sous avis médical.</w:t>
      </w:r>
    </w:p>
    <w:p>
      <w:r/>
      <w:r>
        <w:rPr>
          <w:b/>
        </w:rPr>
        <w:t>Posologie et Mode d'administration (Standard) :</w:t>
      </w:r>
      <w:r/>
    </w:p>
    <w:p>
      <w:pPr>
        <w:pStyle w:val="ListBullet"/>
      </w:pPr>
      <w:r>
        <w:t>Adulte : 1 à 2 comprimés gastro-résistants à 5 mg le soir au coucher (5-10 mg/j), sans dépasser 10 mg/j. Effet 6-12 heures plus tard (selle le matin). Pour la préparation colique : 4 comprimés à 5 mg (20 mg) la veille au soir en association avec le macrogol.</w:t>
      </w:r>
    </w:p>
    <w:p>
      <w:pPr>
        <w:pStyle w:val="ListBullet"/>
      </w:pPr>
      <w:r>
        <w:t>Adulte (voie rectale) : 1 suppositoire à 5 ou 10 mg le matin, à effet rapide (15-60 minutes). Préférer le 5 mg en première intention.</w:t>
      </w:r>
    </w:p>
    <w:p>
      <w:pPr>
        <w:pStyle w:val="ListBullet"/>
      </w:pPr>
      <w:r>
        <w:t>Enfant à partir de 6 ans : 1 comprimé 5 mg le soir au coucher (en automédication, à partir de 10 ans selon RCP).</w:t>
      </w:r>
    </w:p>
    <w:p>
      <w:pPr>
        <w:pStyle w:val="ListBullet"/>
      </w:pPr>
      <w:r>
        <w:t>Enfant (voie rectale) : 1 suppositoire à 5 mg à partir de 10 ans (1 suppositoire à 5 mg peut être utilisé chez l'enfant de 3-10 ans sous avis médical).</w:t>
      </w:r>
    </w:p>
    <w:p>
      <w:pPr>
        <w:pStyle w:val="ListBullet"/>
      </w:pPr>
      <w:r>
        <w:t>Durée : 8 à 10 jours maximum en automédication. Au-delà, consultation médicale.</w:t>
      </w:r>
    </w:p>
    <w:p>
      <w:pPr>
        <w:pStyle w:val="ListBullet"/>
      </w:pPr>
      <w:r>
        <w:t>Moment de prise : comprimé le soir au coucher, à jeun (en dehors des repas et des IPP/antiacides/lait) — action dans la nuit. Suppositoire le matin, à conserver 15-20 minutes au réfrigérateur avant insertion pour faciliter l'administration.</w:t>
      </w:r>
    </w:p>
    <w:p>
      <w:r/>
      <w:r>
        <w:rPr>
          <w:b/>
        </w:rPr>
        <w:t>Arbitrage et Bénéfices des Formes Galéniques :</w:t>
      </w:r>
      <w:r/>
    </w:p>
    <w:p>
      <w:pPr>
        <w:pStyle w:val="ListBullet"/>
      </w:pPr>
      <w:r>
        <w:t>Comprimé gastro-résistant à 5 mg (Gylaxa) : forme standard pour l'adulte et l'enfant de plus de 6-10 ans. La gastro-résistance protège le bisacodyl de l'acidité gastrique et permet la libération colique. Prise vespérale pour action nocturne.</w:t>
      </w:r>
    </w:p>
    <w:p>
      <w:pPr>
        <w:pStyle w:val="ListBullet"/>
      </w:pPr>
      <w:r>
        <w:t>Suppositoires à 5 mg et 10 mg (Laxadyl) : action rapide (15-60 min), utile pour les constipations aiguës avec besoin urgent, en post-opératoire, en gériatrie alitée, et chez le patient ayant une difficulté à la déglutition. Le 5 mg est adapté à l'adulte fragile et à l'enfant. Le 10 mg est réservé à l'adulte vigoureux.</w:t>
      </w:r>
    </w:p>
    <w:p>
      <w:pPr>
        <w:pStyle w:val="ListBullet"/>
      </w:pPr>
      <w:r>
        <w:t>Pas de forme sirop, suspension, ou injectable.</w:t>
      </w:r>
    </w:p>
    <w:p>
      <w:r/>
      <w:r>
        <w:rPr>
          <w:b/>
        </w:rPr>
        <w:t>Instructions et Conseils au Patient :</w:t>
      </w:r>
      <w:r/>
    </w:p>
    <w:p>
      <w:pPr>
        <w:pStyle w:val="ListBullet"/>
      </w:pPr>
      <w:r>
        <w:t>Communication au comptoir : "Prenez votre comprimé de bisacodyl le soir au coucher, avec un grand verre d'eau, à distance des produits laitiers et des antiacides (au moins 2 heures). Ne croquez pas et ne sucez pas le comprimé, avalez-le entier. Comptez 6 à 12 heures pour obtenir une selle. Vous pouvez avoir des crampes intestinales, c'est normal mais si c'est insupportable arrêtez. N'utilisez pas ce médicament plus de 8 à 10 jours sans consulter un médecin. Ne l'utilisez pas pour maigrir, c'est inefficace et dangereux (pertes d'eau, de potassium, troubles du rythme cardiaque). Le suppositoire agit en 15 à 60 minutes, restez à proximité des toilettes."</w:t>
      </w:r>
    </w:p>
    <w:p>
      <w:pPr>
        <w:pStyle w:val="ListBullet"/>
      </w:pPr>
      <w:r>
        <w:t>Mode d'utilisation pratique : Pour le comprimé : avaler entier, ne pas écraser ni mâcher (la gastro-résistance serait détruite). Pour le suppositoire : conserver 15 minutes au réfrigérateur avant insertion (facilite l'administration), l'humidifier avec un peu d'eau, s'allonger sur le côté gauche, introduire dans le rectum, rester allongé 5-10 minutes.</w:t>
      </w:r>
    </w:p>
    <w:p>
      <w:r/>
      <w:r>
        <w:rPr>
          <w:b/>
        </w:rPr>
        <w:t>Notes, Règles d'Or &amp; Pièges au Comptoir :</w:t>
      </w:r>
      <w:r/>
    </w:p>
    <w:p>
      <w:pPr>
        <w:pStyle w:val="ListBullet"/>
      </w:pPr>
      <w:r>
        <w:t>Piège classique : (i) Usage chronique pour amaigrissement — dérive dangereuse (anorexie mentale, boulimie) avec cathartic colon, mélanose, hypokaliémie, troubles du rythme. (ii) Co-prescription avec IPP — risque d'inactivation et de perte d'efficacité ; espacer de 2 h. (iii) Co-prescription avec lait/calcium — idem. (iv) Sujets âgés fragiles — risque d'incontinence fécale, de déshydratation, d'hypotension. (v) Femme enceinte — éviter, surtout au 1er trimestre. (vi) Mélanose colique découverte à la coloscopie — arrêt définitif des stimulants.</w:t>
      </w:r>
    </w:p>
    <w:p>
      <w:pPr>
        <w:pStyle w:val="ListBullet"/>
      </w:pPr>
      <w:r>
        <w:t>Règle de prise : un comprimé 5 mg le soir au coucher, hydratation ≥ 1,5 L/j, durée maximale 8-10 jours sans avis médical.</w:t>
      </w:r>
    </w:p>
    <w:p>
      <w:pPr>
        <w:pStyle w:val="ListBullet"/>
      </w:pPr>
      <w:r>
        <w:t>Préparation et Conservation : Comprimés à température ≤ 25 °C, à l'abri de l'humidité. Suppositoires à conserver au frais (≤ 25 °C, voire au réfrigérateur si la température ambiante est supérieure) — ne pas fondre.</w:t>
      </w:r>
    </w:p>
    <w:p>
      <w:pPr>
        <w:pStyle w:val="ListBullet"/>
      </w:pPr>
      <w:r>
        <w:t>Piège du surdosage / Substitution : En cas de surdosage : diarrhée profuse, douleurs abdominales, vomissements, hypokaliémie sévère avec troubles du rythme (allongement du QT, torsades de pointes). Arrêt, réhydratation IV, correction potassique. Substitution : macrogol, lactulose, psyllium — à privilégier en traitement chronique.</w:t>
      </w:r>
    </w:p>
    <w:p>
      <w:pPr>
        <w:pStyle w:val="Heading3"/>
      </w:pPr>
      <w:r>
        <w:t>4. DCI : Picosulfate de sodium (Seule)</w:t>
      </w:r>
    </w:p>
    <w:p>
      <w:r/>
      <w:r>
        <w:rPr>
          <w:b/>
        </w:rPr>
        <w:t>Liste des Catégories :</w:t>
      </w:r>
      <w:r>
        <w:t xml:space="preserve"> Laxatif stimulant - Dérivé triarylméthane ; Préparation colique (en association avec le citrate de magnésium).</w:t>
      </w:r>
    </w:p>
    <w:p>
      <w:r>
        <w:t>Le picosulfate de sodium (sodium 4,4'-(2-pyridylméthylène)-diphénol-bis-sulfate dihydraté) est un laxatif stimulant de la classe des triarylméthanes. C'est une prodrogue inactive dans l'estomac et l'intestin grêle, qui est activée spécifiquement par les estérases bactériennes coliques (et non par les estérases muqueuses comme pour le bisacodyl), libérant le BHPM, métabolite commun avec le bisacodyl. L'activation bactérienne strictement colique explique sa bonne tolérance gastrique et intestinale grêle. Le picosulfate partage les trois mécanismes pharmacologiques du BHPM : stimulation du plexus myentérique, inhibition de la Na⁺/K⁺-ATPase, induction des prostaglandines sécrétagogues. Il est utilisé seul (Ponctuel) dans la constipation aiguë ou en association avec l'oxyde de magnésium et l'acide citrique (Picoprep) pour la préparation colique. Dans cette association, l'oxyde de magnésium et l'acide citrique réagissent in situ dans le côlon pour former du citrate de magnésium, puissant laxatif osmotique qui potentialise l'effet stimulant du picosulfate. Biodisponibilité systémique &lt; 5 %. Délai d'action : 6 à 12 heures après prise orale.</w:t>
      </w:r>
    </w:p>
    <w:p>
      <w:r/>
      <w:r>
        <w:rPr>
          <w:b/>
        </w:rPr>
        <w:t>Médicaments disponibles en Algérie (Marques, Laboratoiresires, Formes et Dosages) :</w:t>
      </w:r>
      <w:r/>
    </w:p>
    <w:p>
      <w:pPr>
        <w:pStyle w:val="ListBullet"/>
      </w:pPr>
      <w:r/>
      <w:r>
        <w:rPr>
          <w:b/>
        </w:rPr>
        <w:t>PONCTUEL</w:t>
      </w:r>
      <w:r>
        <w:t xml:space="preserve"> (PHARMIDAL NS)</w:t>
      </w:r>
    </w:p>
    <w:p>
      <w:pPr>
        <w:pStyle w:val="ListBullet"/>
      </w:pPr>
      <w:r>
        <w:t>Formes et Dosages : Solution buvable 0,75 g/100 mL (7,5 mg/mL) ; flacon compte-gouttes de 30 mL + pipette graduée de 1,5 mL. Liste I.</w:t>
      </w:r>
    </w:p>
    <w:p>
      <w:pPr>
        <w:pStyle w:val="ListBullet"/>
      </w:pPr>
      <w:r>
        <w:t>Statut : Actif.</w:t>
      </w:r>
    </w:p>
    <w:p>
      <w:pPr>
        <w:pStyle w:val="ListBullet"/>
      </w:pPr>
      <w:r/>
      <w:r>
        <w:rPr>
          <w:b/>
        </w:rPr>
        <w:t>PICOPREP</w:t>
      </w:r>
      <w:r>
        <w:t xml:space="preserve"> (FERRING GMBH)</w:t>
      </w:r>
    </w:p>
    <w:p>
      <w:pPr>
        <w:pStyle w:val="ListBullet"/>
      </w:pPr>
      <w:r>
        <w:t>Formes et Dosages : Poudre pour solution buvable en sachet-dose (Picosulfate de sodium 10 mg + Oxyde de magnésium léger 3,5 g + Acide citrique 12 g) ; boîte de 2 sachets. Liste I.</w:t>
      </w:r>
    </w:p>
    <w:p>
      <w:pPr>
        <w:pStyle w:val="ListBullet"/>
      </w:pPr>
      <w:r>
        <w:t>Statut : Actif.</w:t>
      </w:r>
    </w:p>
    <w:p>
      <w:r/>
      <w:r>
        <w:rPr>
          <w:b/>
        </w:rPr>
        <w:t>Sous-classe et Mécanisme d'action :</w:t>
      </w:r>
      <w:r/>
    </w:p>
    <w:p>
      <w:pPr>
        <w:pStyle w:val="ListBullet"/>
      </w:pPr>
      <w:r>
        <w:t>Sous-classe : Laxatif stimulant triarylméthane, laxatif de contact. Deuxième intention après échec des osmotiques, réservé au traitement court de la constipation aiguë et à la préparation colique.</w:t>
      </w:r>
    </w:p>
    <w:p>
      <w:pPr>
        <w:pStyle w:val="ListBullet"/>
      </w:pPr>
      <w:r>
        <w:t>Mécanisme d'action : Le picosulfate est une prodrogue inactive jusqu'au côlon, où les estérases bactériennes clivent les deux groupes sulfate pour libérer le BHPM, métabolite actif commun avec le bisacodyl. Le BHPM : (i) stimule les neurones cholinergiques du plexus myentérique d'Auerbach, augmentant le péristaltisme colique propulsif ; (ii) inhibe la Na⁺/K⁺-ATPase muqueuse, réduisant la réabsorption nette d'eau et de sodium ; (iii) induit la synthèse de PGE₂ et PGI₂ qui stimulent la sécrétion de Cl⁻ et d'eau par activation des canaux CFTR. L'activation bactérienne strictement colique du picosulfate (et non muqueuse comme pour le bisacodyl) permet une libération ciblée au site d'action, avec moins d'effets secondaires gastriques et grêliques. Pour la préparation colique (Picoprep), l'association avec le citrate de magnésium formé in situ potentialise l'effet osmotique, permettant une préparation de faible volume (~ 2 L) mieux tolérée que le PEG-électrolytes classique (4 L).</w:t>
      </w:r>
    </w:p>
    <w:p>
      <w:r/>
      <w:r>
        <w:rPr>
          <w:b/>
        </w:rPr>
        <w:t>Profil Pharmacologique :</w:t>
      </w:r>
      <w:r/>
    </w:p>
    <w:p>
      <w:pPr>
        <w:pStyle w:val="ListBullet"/>
      </w:pPr>
      <w:r>
        <w:t>Indications : (1) Constipation aiguë sévère, en cas d'échec des osmotiques (lactulose, macrogol) ; (2) Préparation colique avant coloscopie ou chirurgie colorectale (Picoprep en association, protocole de faible volume) ; (3) Constipation du sujet alité et post-opératoire. Durée d'auto-médication limitée à 8-10 jours sans avis médical.</w:t>
      </w:r>
    </w:p>
    <w:p>
      <w:pPr>
        <w:pStyle w:val="ListBullet"/>
      </w:pPr>
      <w:r>
        <w:t>Contre-indications : (i) Hypersensibilité ; (ii) Syndrome occlusif, iléus paralytique ; (iii) Douleurs abdominales aiguës non diagnostiquées ; (iv) Fécalome, mégacôlon toxique ; (v) Perforation digestive, péritonite ; (vi) Déshydratation sévère, troubles électrolytiques ; (vii) Insuffisance rénale sévère (pour le Picoprep en raison du magnésium) ; (viii) Enfant de moins de 10 ans pour la forme en solution ; (ix) Grossesse et allaitement par prudence.</w:t>
      </w:r>
    </w:p>
    <w:p>
      <w:pPr>
        <w:pStyle w:val="ListBullet"/>
      </w:pPr>
      <w:r>
        <w:t>Effets Indésirables : (i) Douleurs abdominales crampoïdes (très fréquent) ; (ii) Diarrhée profuse (dose-dépendante) ; (iii) Nausées, vomissements (surtout avec la forme association Picoprep, goût salé) ; (iv) Hypokaliémie, hyponatrémie, déshydratation ; (v) Mélanose colique et cathartic colon (à l'usage chronique) ; (vi) Réactions allergiques (rash) ; (vii) Avec Picoprep : hypermagnésémie (insuffisance rénale), acidose métabolique.</w:t>
      </w:r>
    </w:p>
    <w:p>
      <w:r/>
      <w:r>
        <w:rPr>
          <w:b/>
        </w:rPr>
        <w:t>Prévention et Gestion des Effets Indésirables :</w:t>
      </w:r>
      <w:r/>
    </w:p>
    <w:p>
      <w:pPr>
        <w:pStyle w:val="ListBullet"/>
      </w:pPr>
      <w:r>
        <w:t>Mesures Préventives : (i) Limiter la durée à 8-10 jours sans avis médical ; (ii) Hydratation compensatrice (≥ 1,5 L/j, et ≥ 3 L/j pour la préparation colique) ; (iii) Pour le Picoprep : régime sans résidu 3 jours avant, hydratation abondante (au moins 3 L d'eau claire le jour de la préparation), surveillance ionogramme chez le sujet âgé ou insuffisant rénal.</w:t>
      </w:r>
    </w:p>
    <w:p>
      <w:pPr>
        <w:pStyle w:val="ListBullet"/>
      </w:pPr>
      <w:r>
        <w:t>Conduite à Tenir : (i) Diarrhée profuse : arrêt, réhydratation ; (ii) Vomissements incoercibles (Picoprep) : fractionner la prise, antiémétique si nécessaire ; (iii) Signes d'occlusion : arrêt, urgences.</w:t>
      </w:r>
    </w:p>
    <w:p>
      <w:r/>
      <w:r>
        <w:rPr>
          <w:b/>
        </w:rPr>
        <w:t>Interactions Importantes :</w:t>
      </w:r>
      <w:r/>
    </w:p>
    <w:p>
      <w:pPr>
        <w:pStyle w:val="ListBullet"/>
      </w:pPr>
      <w:r>
        <w:t>Picosulfate + autres laxatifs : majoration des effets secondaires et du risque électrolytique ; éviter les associations sauf protocole de préparation colique.</w:t>
      </w:r>
    </w:p>
    <w:p>
      <w:pPr>
        <w:pStyle w:val="ListBullet"/>
      </w:pPr>
      <w:r>
        <w:t>Picosulfate + antibiotiques à large spectre : risque de baisse d'efficacité (l'activation bactérienne est inhibée). Préférer macrogol en cas d'antibiothérapie concomitante.</w:t>
      </w:r>
    </w:p>
    <w:p>
      <w:pPr>
        <w:pStyle w:val="ListBullet"/>
      </w:pPr>
      <w:r>
        <w:t>Picosulfate + Diurétiques : majoration de l'hypokaliémie.</w:t>
      </w:r>
    </w:p>
    <w:p>
      <w:pPr>
        <w:pStyle w:val="ListBullet"/>
      </w:pPr>
      <w:r>
        <w:t>Picosulfate + Digitaliques : hypokaliémie favorisant la toxicité digitalique.</w:t>
      </w:r>
    </w:p>
    <w:p>
      <w:pPr>
        <w:pStyle w:val="ListBullet"/>
      </w:pPr>
      <w:r>
        <w:t>Picoprep + antibiotiques (fluoroquinolones, tétracyclines, fer) : l'oxyde de magnésium chélate ces molécules — espacer d'au moins 2 heures.</w:t>
      </w:r>
    </w:p>
    <w:p>
      <w:pPr>
        <w:pStyle w:val="ListBullet"/>
      </w:pPr>
      <w:r>
        <w:t>Picoprep + IEC, ARA2, AINS, diurétiques épargneurs de potassium : risque d'hyperkaliémie ou d'acidose métabolique.</w:t>
      </w:r>
    </w:p>
    <w:p>
      <w:r/>
      <w:r>
        <w:rPr>
          <w:b/>
        </w:rPr>
        <w:t>Grossesse et Allaitement :</w:t>
      </w:r>
      <w:r/>
    </w:p>
    <w:p>
      <w:pPr>
        <w:pStyle w:val="ListBullet"/>
      </w:pPr>
      <w:r>
        <w:t>Grossesse : À éviter par prudence. Les données sont limitées ; les laxatifs stimulants peuvent théoriquement induire des contractions utérines. Préférer le lactulose ou le macrogol. Le picosulfate peut être utilisé en fin de grossesse pour préparation colique ou constipation rebelle sous avis médical.</w:t>
      </w:r>
    </w:p>
    <w:p>
      <w:pPr>
        <w:pStyle w:val="ListBullet"/>
      </w:pPr>
      <w:r>
        <w:t>Allaitement : À éviter par prudence, préférer les osmotiques.</w:t>
      </w:r>
    </w:p>
    <w:p>
      <w:pPr>
        <w:pStyle w:val="ListBullet"/>
      </w:pPr>
      <w:r>
        <w:t>Précisions : En cas de nécessité absolue, le picosulfate en solution à faible dose (Ponctuel, 5-10 gouttes) en prise ponctuelle peut être discuté sous avis médical.</w:t>
      </w:r>
    </w:p>
    <w:p>
      <w:r/>
      <w:r>
        <w:rPr>
          <w:b/>
        </w:rPr>
        <w:t>Posologie et Mode d'administration (Standard) :</w:t>
      </w:r>
      <w:r/>
    </w:p>
    <w:p>
      <w:pPr>
        <w:pStyle w:val="ListBullet"/>
      </w:pPr>
      <w:r>
        <w:t>Adulte (constipation, Ponctuel) : 10 à 20 gouttes de solution buvable (5-10 mg) le soir au coucher. Effet 6-12 heures plus tard. Ne pas dépasser 20 gouttes/j.</w:t>
      </w:r>
    </w:p>
    <w:p>
      <w:pPr>
        <w:pStyle w:val="ListBullet"/>
      </w:pPr>
      <w:r>
        <w:t>Enfant à partir de 10 ans : 10 gouttes le soir (5 mg).</w:t>
      </w:r>
    </w:p>
    <w:p>
      <w:pPr>
        <w:pStyle w:val="ListBullet"/>
      </w:pPr>
      <w:r>
        <w:t>Adulte (préparation colique, Picoprep) : 2 sachets en deux prises (la veille au soir et le matin de l'examen, ou les deux la veille selon protocole). Dissoudre 1 sachet dans 150 mL d'eau, boire immédiatement, puis boire au moins 1,5 L d'eau claire dans les 2 heures suivant. Compléter avec 1,5 L d'eau supplémentaire dans les heures suivantes.</w:t>
      </w:r>
    </w:p>
    <w:p>
      <w:pPr>
        <w:pStyle w:val="ListBullet"/>
      </w:pPr>
      <w:r>
        <w:t>Moment de prise : comprimé le soir au coucher. Pour la préparation colique : selon protocole médical.</w:t>
      </w:r>
    </w:p>
    <w:p>
      <w:r/>
      <w:r>
        <w:rPr>
          <w:b/>
        </w:rPr>
        <w:t>Arbitrage et Bénéfices des Formes Galéniques :</w:t>
      </w:r>
      <w:r/>
    </w:p>
    <w:p>
      <w:pPr>
        <w:pStyle w:val="ListBullet"/>
      </w:pPr>
      <w:r>
        <w:t>Solution buvable en flacon compte-gouttes (Ponctuel) : dosage fin adapté à l'enfant et à l'adulte fragile. Préférable au bisacodyl en cas d'irritation gastrique (activation strictement colique). Forme pratique, transportable.</w:t>
      </w:r>
    </w:p>
    <w:p>
      <w:pPr>
        <w:pStyle w:val="ListBullet"/>
      </w:pPr>
      <w:r>
        <w:t>Sachets association (Picoprep) : préparation colique de faible volume (~ 2 L total) mieux tolérée que les 4 L de PEG + électrolytes. Idéale chez le sujet âgé et le patient réfractaire aux grandes quantités de liquide.</w:t>
      </w:r>
    </w:p>
    <w:p>
      <w:r/>
      <w:r>
        <w:rPr>
          <w:b/>
        </w:rPr>
        <w:t>Instructions et Conseils au Patient :</w:t>
      </w:r>
      <w:r/>
    </w:p>
    <w:p>
      <w:pPr>
        <w:pStyle w:val="ListBullet"/>
      </w:pPr>
      <w:r>
        <w:t>Communication au comptoir : "Prenez 10 à 20 gouttes de Ponctuel le soir au coucher dans un verre d'eau. L'effet survient dans la nuit ou au matin. Ne dépassez pas 8 à 10 jours sans avis médical. Pour la préparation colique (Picoprep), suivez le protocole remis par votre médecin : 2 sachets à espacer, dans 150 mL d'eau chacun, suivis d'au moins 3 litres d'eau claire. Restez à proximité des toilettes, prévoyez la journée à domicile."</w:t>
      </w:r>
    </w:p>
    <w:p>
      <w:pPr>
        <w:pStyle w:val="ListBullet"/>
      </w:pPr>
      <w:r>
        <w:t>Mode d'utilisation pratique : Bien agiter le flacon avant emploi. Compter les gouttes en tenant le flacon verticalement. Pour le Picoprep : dissoudre immédiatement avant la prise, ne pas conserver la solution reconstituée.</w:t>
      </w:r>
    </w:p>
    <w:p>
      <w:r/>
      <w:r>
        <w:rPr>
          <w:b/>
        </w:rPr>
        <w:t>Notes, Règles d'Or &amp; Pièges au Comptoir :</w:t>
      </w:r>
      <w:r/>
    </w:p>
    <w:p>
      <w:pPr>
        <w:pStyle w:val="ListBullet"/>
      </w:pPr>
      <w:r>
        <w:t>Piège classique : (i) Patient sous antibiotique — l'activation bactérienne du picosulfate peut être inhibée, baisse d'efficacité. (ii) Insuffisant rénal + Picoprep — risque d'hypermagnésémie. (iii) Sujet âgé fragile + préparation colique — déshydratation, hypotension, surveillance rapprochée. (iv) Femme enceinte — éviter.</w:t>
      </w:r>
    </w:p>
    <w:p>
      <w:pPr>
        <w:pStyle w:val="ListBullet"/>
      </w:pPr>
      <w:r>
        <w:t>Règle de prise : 10-20 gouttes le soir au coucher, hydratation ≥ 1,5 L/j, durée 8-10 jours max.</w:t>
      </w:r>
    </w:p>
    <w:p>
      <w:pPr>
        <w:pStyle w:val="ListBullet"/>
      </w:pPr>
      <w:r>
        <w:t>Préparation et Conservation : Flacon bien fermé, température ≤ 25 °C, à l'abri de la lumière. Sachets Picoprep au sec.</w:t>
      </w:r>
    </w:p>
    <w:p>
      <w:pPr>
        <w:pStyle w:val="ListBullet"/>
      </w:pPr>
      <w:r>
        <w:t>Piège du surdosage / Substitution : Surdosage : diarrhée profuse, hypokaliémie, déshydratation. Arrêt, réhydratation. Substitution possible par bisacodyl (même métabolite actif) ou par osmotiques en traitement chronique.</w:t>
      </w:r>
    </w:p>
    <w:p>
      <w:pPr>
        <w:pStyle w:val="Heading3"/>
      </w:pPr>
      <w:r>
        <w:t>5. DCI : Sennosides (Séné) (Seule)</w:t>
      </w:r>
    </w:p>
    <w:p>
      <w:r/>
      <w:r>
        <w:rPr>
          <w:b/>
        </w:rPr>
        <w:t>Liste des Catégories :</w:t>
      </w:r>
      <w:r>
        <w:t xml:space="preserve"> Laxatif stimulant - Anthracénique ; Phytothérapie (Cassia angustifolia).</w:t>
      </w:r>
    </w:p>
    <w:p>
      <w:r>
        <w:t>Les sennosides sont des hétérosides anthracéniques extraits des folioles et des gousses du séné (Cassia angustifolia ou Cassia acutifolia), plante médicinale de la pharmacopée traditionnelle arabe et indienne. Les principes actifs sont les sennosides A et B (di-anthrone β-O-glycosylés, dimères de l' Rhein-anthrone), accompagnés des sennosides C et D (mélanges de Rhein et d'Emodine). Les sennosides sont des prodrogues inertes dans l'estomac et l'intestin grêle, activées par les glycosidases bactériennes coliques qui libèrent les anthrones libres (rhein-anthrone), formes pharmacologiquement actives. Les anthrones stimulent le plexus myentérique, augmentent la sécrétion de Cl⁻ et d'eau par activation des canaux CFTR, et altèrent la motilité colique (augmentation des contractions propulsives, diminution des contractions segmentaires). Délai d'action : 8 à 12 heures. À noter : la nomenclature algérienne Avril 2026 n'identifie pas de spécialité commercialisée de sennosides isolés, le séné étant principalement disponible en tisanes, en extraits secs dans certaines préparations magistrales et en associations phytothérapiques non recensées comme DCI unique dans la liste consolidée.</w:t>
      </w:r>
    </w:p>
    <w:p>
      <w:r/>
      <w:r>
        <w:rPr>
          <w:b/>
        </w:rPr>
        <w:t>Médicaments disponibles en Algérie (Marques, Laboratoires, Formes et Dosages) :</w:t>
      </w:r>
      <w:r/>
    </w:p>
    <w:p>
      <w:r>
        <w:t>La nomenclature officielle Algérie Avril 2026 ne recense pas de spécialité pharmaceutique industrielle de sennosides isolés sous DCI unique. Le séné est néanmoins disponible en Algérie sous les formes suivantes, non répertoriées dans la nomenclature des médicaments industriels :</w:t>
      </w:r>
    </w:p>
    <w:p>
      <w:pPr>
        <w:pStyle w:val="ListBullet"/>
      </w:pPr>
      <w:r/>
      <w:r>
        <w:rPr>
          <w:b/>
        </w:rPr>
        <w:t>Tisanes de séné</w:t>
      </w:r>
      <w:r>
        <w:t xml:space="preserve"> (Cassia angustifolia) en vrac ou en sachets, vendues en herboristerie et parapharmacie : folioles et gousses séchées pour infusion. Dosage traditionnel : 1 à 2 cuillères à café de folioles par tasse, infusion 10 minutes.</w:t>
      </w:r>
    </w:p>
    <w:p>
      <w:pPr>
        <w:pStyle w:val="ListBullet"/>
      </w:pPr>
      <w:r/>
      <w:r>
        <w:rPr>
          <w:b/>
        </w:rPr>
        <w:t>Préparations magistrales</w:t>
      </w:r>
      <w:r>
        <w:t xml:space="preserve"> à base d'extrait sec de séné, sur prescription médicale, en pharmacie d'officine (selon Formulaire National).</w:t>
      </w:r>
    </w:p>
    <w:p>
      <w:pPr>
        <w:pStyle w:val="ListBullet"/>
      </w:pPr>
      <w:r/>
      <w:r>
        <w:rPr>
          <w:b/>
        </w:rPr>
        <w:t>Spécialités historiquement commercialisées en Algérie</w:t>
      </w:r>
      <w:r>
        <w:t xml:space="preserve"> (références historiques) : Glysenné, Pursennide, Senné Trousse, Modane — non retrouvées dans la nomenclature 2026 (probablement retirées ou non renouvelées). À vérifier dans la base TheriaqueAlgérie pour les dernières mises à jour.</w:t>
      </w:r>
    </w:p>
    <w:p>
      <w:pPr>
        <w:pStyle w:val="ListBullet"/>
      </w:pPr>
      <w:r/>
      <w:r>
        <w:rPr>
          <w:b/>
        </w:rPr>
        <w:t>Préparations combinées</w:t>
      </w:r>
      <w:r>
        <w:t xml:space="preserve"> : associations séné + psyllium + huile de paraffine + autres laxatifs (Parapsyllium, voir fiche psyllium) — disponibles historiquement.</w:t>
      </w:r>
    </w:p>
    <w:p>
      <w:pPr>
        <w:pStyle w:val="ListBullet"/>
      </w:pPr>
      <w:r>
        <w:t>Statut : à jour de la nomenclature Avril 2026, aucune spécialité industrielle de sennosides isolés n'est identifiée comme active.</w:t>
      </w:r>
    </w:p>
    <w:p>
      <w:r/>
      <w:r>
        <w:rPr>
          <w:b/>
        </w:rPr>
        <w:t>Sous-classe et Mécanisme d'action :</w:t>
      </w:r>
      <w:r/>
    </w:p>
    <w:p>
      <w:pPr>
        <w:pStyle w:val="ListBullet"/>
      </w:pPr>
      <w:r>
        <w:t>Sous-classe : Laxatif stimulant anthracénique (ou anthraquinonique), de la famille des "laxatifs de contact". Phytothérapie. Le séné partage avec le bisacodyl et le picosulfate la catégorie des stimulants, mais s'en distingue par son origine naturelle (plante), son activation bactérienne spécifique, et son profil d'effets indésirables propres (mélanose colique, urine jaune-brun par métabolites de la Rhein).</w:t>
      </w:r>
    </w:p>
    <w:p>
      <w:pPr>
        <w:pStyle w:val="ListBullet"/>
      </w:pPr>
      <w:r>
        <w:t>Mécanisme d'action : Les sennosides sont des di-anthrones glycosylées inertes dans le tractus digestif supérieur. Ils atteignent le côlon intact où les glycosidases bactériennes coliques (β-glucosidases) les hydrolysent en Rhein-anthrone libre, métabolite actif. La Rhein-anthrone : (i) stimule le plexus myentérique (activation des neurones cholinergiques) ; (ii) inhibe la Na⁺/K⁺-ATPase muqueuse, réduisant la réabsorption d'eau et de Na⁺ ; (iii) stimule la sécrétion active de Cl⁻ par activation des canaux CFTR, augmentant la sécrétion d'eau ; (iv) augmente les contractions propulsives coliques et diminue les contractions segmentaires (mixage), ce qui accélère le transit. Le délai d'action est de 8 à 12 heures après administration orale, justifiant une prise vespérale.</w:t>
      </w:r>
    </w:p>
    <w:p>
      <w:r/>
      <w:r>
        <w:rPr>
          <w:b/>
        </w:rPr>
        <w:t>Profil Pharmacologique :</w:t>
      </w:r>
      <w:r/>
    </w:p>
    <w:p>
      <w:pPr>
        <w:pStyle w:val="ListBullet"/>
      </w:pPr>
      <w:r>
        <w:t>Indications : (1) Constipation aiguë occasionnelle, en cas d'échec des mesures hygiéno-diététiques et des osmotiques ; (2) Préparation colique en association avec le PEG ; (3) Constipation de fin de grossesse sous avis médical (utilisation très ponctuelle). Durée maximale d'auto-médication : 8 à 10 jours, selon EMA et ANSM.</w:t>
      </w:r>
    </w:p>
    <w:p>
      <w:pPr>
        <w:pStyle w:val="ListBullet"/>
      </w:pPr>
      <w:r>
        <w:t>Contre-indications : (i) Hypersensibilité aux sennosides ou plantes du genre Cassia ; (ii) Syndrome occlusif, iléus paralytique, fécalome ; (iii) Douleurs abdominales aiguës non diagnostiquées, appendicite aiguë ; (iv) Mégacôlon toxique ; (v) Maladies inflammatoires intestinales en poussée (Crohn, RCH) ; (vi) Perforation digestive ou péritonite ; (vii) Hémorragie digestive ; (viii) Déshydratation sévère, troubles électrolytiques ; (ix) Enfant de moins de 12 ans en automédication (selon RCP des spécialités historiques) ; (x) Grossesse (sauf nécessité absolue, par prudence au 1er trimestre) ; (xi) Allaitement (passage des métabolites dans le lait, effet laxatif chez le nourrisson) ; (xii) Patients alités ou à mobilité réduite (risque de fécalome aggravé par la stimulation).</w:t>
      </w:r>
    </w:p>
    <w:p>
      <w:pPr>
        <w:pStyle w:val="ListBullet"/>
      </w:pPr>
      <w:r>
        <w:t>Effets Indésirables : (i) Douleurs abdominales crampoïdes (très fréquent, 10 %) ; (ii) Diarrhée profuse (dose-dépendante) ; (iii) Hypokaliémie, hyponatrémie, déshydratation (à forte dose ou usage prolongé) ; (iv) Mélanose colique (pigmentation brun-noir de la muqueuse colique par accumulation de lipofuscine et de complexes anthracéniques dans les macrophages de la lamina propria, réversible à l'arrêt en 6 à 12 mois) ; (v) "Cathartic colon" (dilatation et atonie colique à l'usage chronique, parfois irréversible) ; (vi) Coloration jaune-brun des urines (métabolites de la Rhein, sans gravité) ; (vii) Coloration jaune-brun du liquide amniotique (à éviter en fin de grossesse) ; (viii) Perte des sels biliaires et malabsorption des vitamines liposolubles à l'usage chronique ; (ix) Albuminurie, hématurie (rares) ; (x) Réactions allergiques cutanées.</w:t>
      </w:r>
    </w:p>
    <w:p>
      <w:r/>
      <w:r>
        <w:rPr>
          <w:b/>
        </w:rPr>
        <w:t>Prévention et Gestion des Effets Indésirables :</w:t>
      </w:r>
      <w:r/>
    </w:p>
    <w:p>
      <w:pPr>
        <w:pStyle w:val="ListBullet"/>
      </w:pPr>
      <w:r>
        <w:t>Mesures Préventives : (i) Limiter strictement la durée à 8-10 jours en auto-médication ; (ii) Ne jamais utiliser au long cours sans avis médical spécialisé ; (iii) Hydratation compensatrice (≥ 1,5 L/j) ; (iv) Chez le sujet âgé et cardiaque : surveillance clinique et ionogramme ; (v) Préférer le macrogol ou le lactulose en première intention chez la femme enceinte et le sujet âgé ; (vi) Information du patient sur la coloration bénigne des urines.</w:t>
      </w:r>
    </w:p>
    <w:p>
      <w:pPr>
        <w:pStyle w:val="ListBullet"/>
      </w:pPr>
      <w:r>
        <w:t>Conduite à Tenir : (i) Diarrhée profuse : arrêt, réhydratation ; (ii) Mélanose colique découverte à la coloscopie : arrêt définitif des anthracéniques, substitution par osmotiques ; (iii) Hypokaliémie : supplémentation potassique, arrêt.</w:t>
      </w:r>
    </w:p>
    <w:p>
      <w:r/>
      <w:r>
        <w:rPr>
          <w:b/>
        </w:rPr>
        <w:t>Interactions Importantes :</w:t>
      </w:r>
      <w:r/>
    </w:p>
    <w:p>
      <w:pPr>
        <w:pStyle w:val="ListBullet"/>
      </w:pPr>
      <w:r>
        <w:t>Sennosides + Diurétiques : majoration de l'hypokaliémie.</w:t>
      </w:r>
    </w:p>
    <w:p>
      <w:pPr>
        <w:pStyle w:val="ListBullet"/>
      </w:pPr>
      <w:r>
        <w:t>Sennosides + Digitaliques (digoxine) : hypokaliémie favorisant la toxicité digitalique (risque de torsades de pointes).</w:t>
      </w:r>
    </w:p>
    <w:p>
      <w:pPr>
        <w:pStyle w:val="ListBullet"/>
      </w:pPr>
      <w:r>
        <w:t>Sennosides + Antiarythmiques (quinidine, amiodarone, sotalol) : hypokaliémie majorant le risque de torsades.</w:t>
      </w:r>
    </w:p>
    <w:p>
      <w:pPr>
        <w:pStyle w:val="ListBullet"/>
      </w:pPr>
      <w:r>
        <w:t>Sennosides + Antibiotiques : risque de baisse d'efficacité (l'activation bactérienne est inhibée par la décontamination colique).</w:t>
      </w:r>
    </w:p>
    <w:p>
      <w:pPr>
        <w:pStyle w:val="ListBullet"/>
      </w:pPr>
      <w:r>
        <w:t>Sennosides + AVK : à forte dose, malabsorption de la vitamine K, déséquilibre de l'INR.</w:t>
      </w:r>
    </w:p>
    <w:p>
      <w:pPr>
        <w:pStyle w:val="ListBullet"/>
      </w:pPr>
      <w:r>
        <w:t>Sennosides + autres laxatifs stimulants : majoration des effets indésirables.</w:t>
      </w:r>
    </w:p>
    <w:p>
      <w:r/>
      <w:r>
        <w:rPr>
          <w:b/>
        </w:rPr>
        <w:t>Grossesse et Allaitement :</w:t>
      </w:r>
      <w:r/>
    </w:p>
    <w:p>
      <w:pPr>
        <w:pStyle w:val="ListBullet"/>
      </w:pPr>
      <w:r>
        <w:t>Grossesse : À éviter pendant la grossesse, en particulier au 1er trimestre (risque théorique de contractions utérinaires) et en fin de grossesse (passage transplacentaire des métabolites, coloration du liquide amniotique gênant le monitoring, risque d'activation des contractions). En cas de nécessité absolue (constipation rebelle sévère en fin de grossesse, sous surveillance obstétricale), une prise ponctuelle de sennosides peut être discutée par le médecin. Préférer en première intention le lactulose, le macrogol, le psyllium.</w:t>
      </w:r>
    </w:p>
    <w:p>
      <w:pPr>
        <w:pStyle w:val="ListBullet"/>
      </w:pPr>
      <w:r>
        <w:t>Allaitement : À éviter. Les métabolites anthracéniques passent dans le lait maternel et peuvent induire une diarrhée chez le nourrisson. Préférer macrogol ou lactulose.</w:t>
      </w:r>
    </w:p>
    <w:p>
      <w:pPr>
        <w:pStyle w:val="ListBullet"/>
      </w:pPr>
      <w:r>
        <w:t>Précisions : Le CRAT recommande d'éviter les sennosides pendant la grossesse et l'allaitement.</w:t>
      </w:r>
    </w:p>
    <w:p>
      <w:r/>
      <w:r>
        <w:rPr>
          <w:b/>
        </w:rPr>
        <w:t>Posologie et Mode d'administration (Standard) :</w:t>
      </w:r>
      <w:r/>
    </w:p>
    <w:p>
      <w:pPr>
        <w:pStyle w:val="ListBullet"/>
      </w:pPr>
      <w:r>
        <w:t>Adulte (extrait sec de séné en gélules ou comprimés) : 12 à 36 mg de sennosides par jour, soit 1 à 3 comprimés dosés à 12 mg, le soir au coucher. Dose minimale efficace recherchée.</w:t>
      </w:r>
    </w:p>
    <w:p>
      <w:pPr>
        <w:pStyle w:val="ListBullet"/>
      </w:pPr>
      <w:r>
        <w:t>Adulte (tisane) : 1 à 2 cuillères à café de folioles (1-2 g) infusées 10 minutes dans 150 mL d'eau bouillante, le soir au coucher.</w:t>
      </w:r>
    </w:p>
    <w:p>
      <w:pPr>
        <w:pStyle w:val="ListBullet"/>
      </w:pPr>
      <w:r>
        <w:t>Enfant à partir de 12 ans : 6 à 12 mg de sennosides le soir au coucher.</w:t>
      </w:r>
    </w:p>
    <w:p>
      <w:pPr>
        <w:pStyle w:val="ListBullet"/>
      </w:pPr>
      <w:r>
        <w:t>Préparation colique : selon protocole (associé au PEG + bisacodyl ou picosulfate).</w:t>
      </w:r>
    </w:p>
    <w:p>
      <w:pPr>
        <w:pStyle w:val="ListBullet"/>
      </w:pPr>
      <w:r>
        <w:t>Durée : 8-10 jours maximum en auto-médication. Au-delà, consultation médicale.</w:t>
      </w:r>
    </w:p>
    <w:p>
      <w:pPr>
        <w:pStyle w:val="ListBullet"/>
      </w:pPr>
      <w:r>
        <w:t>Moment de prise : le soir au coucher pour une selle le matin.</w:t>
      </w:r>
    </w:p>
    <w:p>
      <w:r/>
      <w:r>
        <w:rPr>
          <w:b/>
        </w:rPr>
        <w:t>Arbitrage et Bénéfices des Formes Galéniques :</w:t>
      </w:r>
      <w:r/>
    </w:p>
    <w:p>
      <w:pPr>
        <w:pStyle w:val="ListBullet"/>
      </w:pPr>
      <w:r>
        <w:t>Comprimés/gélules d'extrait sec standardisé (12 mg de sennosides B) : dosage précis, galénique stable. Forme industrielle de référence (historiquement Pursennide, Glysenné — à vérifier disponibilité actuelle en Algérie).</w:t>
      </w:r>
    </w:p>
    <w:p>
      <w:pPr>
        <w:pStyle w:val="ListBullet"/>
      </w:pPr>
      <w:r>
        <w:t>Tisanes : traditionnelles, économiques, mais dosage approximatif et variabilité du contenu en principes actifs selon l'origine botanique.</w:t>
      </w:r>
    </w:p>
    <w:p>
      <w:pPr>
        <w:pStyle w:val="ListBullet"/>
      </w:pPr>
      <w:r>
        <w:t>Suppositoires au séné : existent dans certaines pharmacopées, moins utilisés en Algérie.</w:t>
      </w:r>
    </w:p>
    <w:p>
      <w:r/>
      <w:r>
        <w:rPr>
          <w:b/>
        </w:rPr>
        <w:t>Instructions et Conseils au Patient :</w:t>
      </w:r>
      <w:r/>
    </w:p>
    <w:p>
      <w:pPr>
        <w:pStyle w:val="ListBullet"/>
      </w:pPr>
      <w:r>
        <w:t>Communication au comptoir : "Le séné est un laxatif stimulant à utiliser de façon ponctuelle, en cas de constipation aiguë. Ne l'utilisez pas plus de 8 à 10 jours sans avis médical. Une utilisation prolongée peut abîmer votre côlon (mélanose, atonie). Préférez en première intention les laxatifs osmotiques (lactulose, macrogol) qui sont plus sûrs au long cours. Les urines peuvent devenir jaune-brun, c'est sans gravité. Ne l'utilisez pas pour amaigrir, c'est inefficace et dangereux. Évitez pendant la grossesse et l'allaitement."</w:t>
      </w:r>
    </w:p>
    <w:p>
      <w:pPr>
        <w:pStyle w:val="ListBullet"/>
      </w:pPr>
      <w:r>
        <w:t>Mode d'utilisation pratique : Comprimer la tisane 10 minutes, filtrer, boire le soir. Pour les comprimés : avaler avec un grand verre d'eau, en dehors des IPP et du lait.</w:t>
      </w:r>
    </w:p>
    <w:p>
      <w:r/>
      <w:r>
        <w:rPr>
          <w:b/>
        </w:rPr>
        <w:t>Notes, Règles d'Or &amp; Pièges au Comptoir :</w:t>
      </w:r>
      <w:r/>
    </w:p>
    <w:p>
      <w:pPr>
        <w:pStyle w:val="ListBullet"/>
      </w:pPr>
      <w:r>
        <w:t>Piège classique : (i) Usage chronique pour amaigrissement — dérive dangereuse avec mélanose, cathartic colon, hypokaliémie, troubles du rythme. (ii) Femme enceinte — éviter (coloration du liquide amniotique, contractions). (iii) Patient sous digitalique — surveillance K⁺. (iv) Usage chez l'enfant — contre-indiqué en automédication avant 12 ans. (v) Patient alité — risque de fécalome aggravé par stimulation sans évacuation.</w:t>
      </w:r>
    </w:p>
    <w:p>
      <w:pPr>
        <w:pStyle w:val="ListBullet"/>
      </w:pPr>
      <w:r>
        <w:t>Règle de prise : le soir au coucher, dose minimale efficace, durée 8-10 jours max.</w:t>
      </w:r>
    </w:p>
    <w:p>
      <w:pPr>
        <w:pStyle w:val="ListBullet"/>
      </w:pPr>
      <w:r>
        <w:t>Préparation et Conservation : Tisanes à conserver à l'abri de l'humidité et de la lumière. Comprimés à température ≤ 25 °C, au sec.</w:t>
      </w:r>
    </w:p>
    <w:p>
      <w:pPr>
        <w:pStyle w:val="ListBullet"/>
      </w:pPr>
      <w:r>
        <w:t>Piège du surdosage / Substitution : Surdosage : diarrhée profuse, hypokaliémie sévère, déshydratation. Arrêt, réhydratation IV, correction potassique. Substitution : macrogol, lactulose, psyllium — à privilégier en traitement chronique.</w:t>
      </w:r>
    </w:p>
    <w:p>
      <w:pPr>
        <w:pStyle w:val="Heading3"/>
      </w:pPr>
      <w:r>
        <w:t>6. DCI : Huile de paraffine (Seule)</w:t>
      </w:r>
    </w:p>
    <w:p>
      <w:r/>
      <w:r>
        <w:rPr>
          <w:b/>
        </w:rPr>
        <w:t>Liste des Catégories :</w:t>
      </w:r>
      <w:r>
        <w:t xml:space="preserve"> Laxatif émollient/lubrifiant ; Laxatif osmotique-physique.</w:t>
      </w:r>
    </w:p>
    <w:p>
      <w:r>
        <w:t>L'huile de paraffine est un mélange d'hydrocarbures saturés liquides (alcanes : CₙH₂ₙ₊₂, n compris entre 15 et 40) issus de la distillation fractionnée du pétrole, purifiés pour usage pharmaceutique. Elle est totalement insoluble dans l'eau, faiblement absorbée par l'intestin (biodisponibilité &lt; 1 %) et non métabolisée. Elle agit par un mécanisme purement physique : (i) lubrification du bol fécal par enrobage d'un film huileux hydrophobe qui empêche la réabsorption de l'eau et facilite la progression dans le côlon ; (ii) ramollissement des selles par cet enrobage hydrophobe ; (iii) facilitation du glissement dans la ampoule rectale. Le délai d'action est de 6 à 8 heures après administration orale. L'huile de paraffine est indiquée dans la constipation aiguë, la fissure anale, la période post-opératoire (prévention de la constipation), la difficulté à la défécation chez le sujet âgé ou alité. Elle est disponible en Algérie sous forme de solutions buvables et de gels oraux.</w:t>
      </w:r>
    </w:p>
    <w:p>
      <w:r/>
      <w:r>
        <w:rPr>
          <w:b/>
        </w:rPr>
        <w:t>Médicaments disponibles en Algérie (Marques, Laboratoires, Formes et Dosages) :</w:t>
      </w:r>
      <w:r/>
    </w:p>
    <w:p>
      <w:pPr>
        <w:pStyle w:val="ListBullet"/>
      </w:pPr>
      <w:r/>
      <w:r>
        <w:rPr>
          <w:b/>
        </w:rPr>
        <w:t>ISOFFINE</w:t>
      </w:r>
      <w:r>
        <w:t xml:space="preserve"> (ISOPHARM ALGERIE)</w:t>
      </w:r>
    </w:p>
    <w:p>
      <w:pPr>
        <w:pStyle w:val="ListBullet"/>
      </w:pPr>
      <w:r>
        <w:t>Formes et Dosages : Solution buvable 88,70 g/100 mL ; flacon 150 mL.</w:t>
      </w:r>
    </w:p>
    <w:p>
      <w:pPr>
        <w:pStyle w:val="ListBullet"/>
      </w:pPr>
      <w:r>
        <w:t>Statut : Actif.</w:t>
      </w:r>
    </w:p>
    <w:p>
      <w:pPr>
        <w:pStyle w:val="ListBullet"/>
      </w:pPr>
      <w:r/>
      <w:r>
        <w:rPr>
          <w:b/>
        </w:rPr>
        <w:t>LAXAFINE</w:t>
      </w:r>
      <w:r>
        <w:t xml:space="preserve"> (PHARMIDAL NS)</w:t>
      </w:r>
    </w:p>
    <w:p>
      <w:pPr>
        <w:pStyle w:val="ListBullet"/>
      </w:pPr>
      <w:r>
        <w:t>Formes et Dosages : Huile buvable 100 mL/100 mL (100 % pure) ; flacon 125 mL et flacon 250 mL. Liste I.</w:t>
      </w:r>
    </w:p>
    <w:p>
      <w:pPr>
        <w:pStyle w:val="ListBullet"/>
      </w:pPr>
      <w:r>
        <w:t>Statut : Actif.</w:t>
      </w:r>
    </w:p>
    <w:p>
      <w:r>
        <w:t>Spécialités non renouvelables et retirées (référence historique) :</w:t>
      </w:r>
    </w:p>
    <w:p>
      <w:pPr>
        <w:pStyle w:val="ListBullet"/>
      </w:pPr>
      <w:r/>
      <w:r>
        <w:rPr>
          <w:b/>
        </w:rPr>
        <w:t>HUILE DE PARAFFINE BIOTIC</w:t>
      </w:r>
      <w:r>
        <w:t xml:space="preserve"> (GROUPE SAIDAL) – Huile buvable 0,997 ; flacon 200 mL. Statut : Non renouvelable.</w:t>
      </w:r>
    </w:p>
    <w:p>
      <w:pPr>
        <w:pStyle w:val="ListBullet"/>
      </w:pPr>
      <w:r/>
      <w:r>
        <w:rPr>
          <w:b/>
        </w:rPr>
        <w:t>LUBENTYL</w:t>
      </w:r>
      <w:r>
        <w:t xml:space="preserve"> (SANOFI SYNTHELABO) – Huile de paraffine en gelée ; pot 250 g. Statut : Non renouvelable.</w:t>
      </w:r>
    </w:p>
    <w:p>
      <w:pPr>
        <w:pStyle w:val="ListBullet"/>
      </w:pPr>
      <w:r/>
      <w:r>
        <w:rPr>
          <w:b/>
        </w:rPr>
        <w:t>HUILE DE PARAFFINE GIFRER</w:t>
      </w:r>
      <w:r>
        <w:t xml:space="preserve"> (GIFRER BARBEZAT) – Liquide ; flacons 250 mL et 500 mL. Statut : Retiré (R).</w:t>
      </w:r>
    </w:p>
    <w:p>
      <w:pPr>
        <w:pStyle w:val="ListBullet"/>
      </w:pPr>
      <w:r/>
      <w:r>
        <w:rPr>
          <w:b/>
        </w:rPr>
        <w:t>NUJOL</w:t>
      </w:r>
      <w:r>
        <w:t xml:space="preserve"> (FUMOUZE) – Solution buvable ; flacon 480 mL. Statut : Retiré (R).</w:t>
      </w:r>
    </w:p>
    <w:p>
      <w:pPr>
        <w:pStyle w:val="ListBullet"/>
      </w:pPr>
      <w:r/>
      <w:r>
        <w:rPr>
          <w:b/>
        </w:rPr>
        <w:t>LANSOYL</w:t>
      </w:r>
      <w:r>
        <w:t xml:space="preserve"> (JOUVEINAL) – Gelée orale ; pot 225 g. Statut : Retiré (R).</w:t>
      </w:r>
    </w:p>
    <w:p>
      <w:pPr>
        <w:pStyle w:val="ListBullet"/>
      </w:pPr>
      <w:r/>
      <w:r>
        <w:rPr>
          <w:b/>
        </w:rPr>
        <w:t>LANSOYL SANS SUCRE</w:t>
      </w:r>
      <w:r>
        <w:t xml:space="preserve"> (PARKE DAVIS) – Gel oral 0,7823 ; flacon 215 g. Statut : Retiré (R).</w:t>
      </w:r>
    </w:p>
    <w:p>
      <w:r/>
      <w:r>
        <w:rPr>
          <w:b/>
        </w:rPr>
        <w:t>Sous-classe et Mécanisme d'action :</w:t>
      </w:r>
      <w:r/>
    </w:p>
    <w:p>
      <w:pPr>
        <w:pStyle w:val="ListBullet"/>
      </w:pPr>
      <w:r>
        <w:t>Sous-classe : Laxatif émollient/lubrifiant. Action purement physique (lubrification et ramollissement), sans stimulation du péristaltisme, sans effet osmotique, sans fermentation. Laxatif de choix dans la fissure anale, la maladie hémorroïdaire, la période post-opératoire de la chirurgie anale et gynécologique, et chez le patient alité ou en difficulté de poussée abdominale.</w:t>
      </w:r>
    </w:p>
    <w:p>
      <w:pPr>
        <w:pStyle w:val="ListBullet"/>
      </w:pPr>
      <w:r>
        <w:t>Mécanisme d'action : L'huile de paraffine est un mélange d'hydrocarbures saturés liquides non absorbés (biodisponibilité &lt; 1 %) et non métabolisés. Elle agit par trois mécanismes physiques : (i) enrobage du bol fécal d'un film huileux hydrophobe qui empêche la réabsorption de l'eau par la muqueuse colique, augmentant la teneur en eau des selles et les ramollissant ; (ii) lubrification de la muqueuse colique et de la ampoule rectale, facilitant le glissement du bol fécal ; (iii) ramollissement mécanique par hydratation accrue du bol. L'huile de paraffine ne stimule pas le péristaltisme et n'irrite pas la muqueuse. Son action est purement mécanique. Le délai d'action est de 6 à 8 heures après prise orale.</w:t>
      </w:r>
    </w:p>
    <w:p>
      <w:r/>
      <w:r>
        <w:rPr>
          <w:b/>
        </w:rPr>
        <w:t>Profil Pharmacologique :</w:t>
      </w:r>
      <w:r/>
    </w:p>
    <w:p>
      <w:pPr>
        <w:pStyle w:val="ListBullet"/>
      </w:pPr>
      <w:r>
        <w:t>Indications : (1) Constipation aiguë avec selles dures ; (2) Fissure anale et maladie hémorroïdaire (ramollissement des selles) ; (3) Prévention de la constipation en post-opératoire (chirurgie anale, gynécologique, urologique, abdominale) ; (4) Sujet âgé alité ou en difficulté de poussée ; (5) Patient avec troubles de la défécation (dyssynergie anorectale) ; (6) En association avec le psyllium (Parapsyllium historique) dans la constipation chronique. L'huile de paraffine est plus appropriée pour le ramollissement des selles que pour le déclenchement d'une selle urgente.</w:t>
      </w:r>
    </w:p>
    <w:p>
      <w:pPr>
        <w:pStyle w:val="ListBullet"/>
      </w:pPr>
      <w:r>
        <w:t>Contre-indications : (i) Hypersensibilité à l'huile de paraffine ; (ii) Syndrome occlusif, iléus paralytique, fécalome ; (iii) Troubles de la déglutition (risque d'inhalation et de pneumopathie lipidique) ; (iv) Enfant de moins de 6 ans (risque d'inhalation) ; (v) Reflux gastro-œsophagien sévère (risque de pneumopathie lipidique) ; (vi) Décubitus strict et patient neurologique avec troubles de déglutition ; (vii) Perforation digestive, péritonite ; (viii) Douleurs abdominales aiguës non diagnostiquées.</w:t>
      </w:r>
    </w:p>
    <w:p>
      <w:pPr>
        <w:pStyle w:val="ListBullet"/>
      </w:pPr>
      <w:r>
        <w:t>Effets Indésirables : (i) Écoulement anal d'huile (souillure du linge, très fréquent si surdosage) ; (ii) Ballonnements modérés ; (iii) Nausées (goût désagréable, surtout pour les formes non aromatisées) ; (iv) Risque de pneumopathie lipidique (inhalation, surtout chez le sujet âgé en décubitus ou avec troubles de déglutition) — complication grave potentiellement fatale ; (v) Diminution de l'absorption des vitamines liposolubles (A, D, E, K) en cas d'usage prolongé ; (vi) Irritation périanale, prurit anal (liés à l'écoulement huileux) ; (vii) Granulomes péritonéaux ou hépatiques en cas de perforation méconnue (rarissime) ; (viii) Réactions allergiques de contact.</w:t>
      </w:r>
    </w:p>
    <w:p>
      <w:r/>
      <w:r>
        <w:rPr>
          <w:b/>
        </w:rPr>
        <w:t>Prévention et Gestion des Effets Indésirables :</w:t>
      </w:r>
      <w:r/>
    </w:p>
    <w:p>
      <w:pPr>
        <w:pStyle w:val="ListBullet"/>
      </w:pPr>
      <w:r>
        <w:t>Mesures Préventives : (i) Prendre l'huile de paraffine en position assise ou debout, jamais en décubitus (réduit le risque de reflux et d'inhalation) ; (ii) Ne pas prendre au coucher, attendre au moins 2 heures avant de s'allonger ; (iii) Limiter la durée d'utilisation à 8-10 jours en automédication ; (iv) Préférence pour les formes en gelée (Lansoyl historique, plus palatable et moins huileuse) ou aromatisées ; (v) Chez le sujet âgé : évaluer la déglutition avant prescription ; (vi) Espacer d'au moins 2 heures la prise de vitamines liposolubles et des médicaments oraux.</w:t>
      </w:r>
    </w:p>
    <w:p>
      <w:pPr>
        <w:pStyle w:val="ListBullet"/>
      </w:pPr>
      <w:r>
        <w:t>Conduite à Tenir : (i) En cas d'écoulement anal : réduire la dose ; (ii) En cas de toux, gêne respiratoire, fièvre après prise : suspicion de pneumopathie lipidique, arrêt immédiat, consultation médicale (radiographie pulmonaire, tomodensitométrie) ; (iii) En cas de troubles de la coagulation (sous AVK) : surveillance de l'INR en usage prolongé (malabsorption vitamine K).</w:t>
      </w:r>
    </w:p>
    <w:p>
      <w:r/>
      <w:r>
        <w:rPr>
          <w:b/>
        </w:rPr>
        <w:t>Interactions Importantes :</w:t>
      </w:r>
      <w:r/>
    </w:p>
    <w:p>
      <w:pPr>
        <w:pStyle w:val="ListBullet"/>
      </w:pPr>
      <w:r>
        <w:t>Huile de paraffine + Vitamines liposolubles (A, D, E, K) : diminution de leur absorption. Espacer d'au moins 2 heures.</w:t>
      </w:r>
    </w:p>
    <w:p>
      <w:pPr>
        <w:pStyle w:val="ListBullet"/>
      </w:pPr>
      <w:r>
        <w:t>Huile de paraffine + Anticoagulants oraux (AVK) : à l'usage prolongé, malabsorption de la vitamine K, déséquilibre de l'INR. Surveillance accrue.</w:t>
      </w:r>
    </w:p>
    <w:p>
      <w:pPr>
        <w:pStyle w:val="ListBullet"/>
      </w:pPr>
      <w:r>
        <w:t>Huile de paraffine + tous médicaments oraux (digoxine, contraceptifs oraux, antirétroviraux, immunosuppresseurs) : diminution possible de l'absorption. Espacer de 2 heures.</w:t>
      </w:r>
    </w:p>
    <w:p>
      <w:pPr>
        <w:pStyle w:val="ListBullet"/>
      </w:pPr>
      <w:r>
        <w:t>Huile de paraffine + autres laxatifs : risque additif de diarrhée et d'écoulement huileux ; éviter les associations systématiques.</w:t>
      </w:r>
    </w:p>
    <w:p>
      <w:pPr>
        <w:pStyle w:val="ListBullet"/>
      </w:pPr>
      <w:r>
        <w:t>Huile de paraffine + Isotrétinoïne et rétinoïdes : risque additif d'hypervitaminose A paradoxale par modification de l'absorption.</w:t>
      </w:r>
    </w:p>
    <w:p>
      <w:r/>
      <w:r>
        <w:rPr>
          <w:b/>
        </w:rPr>
        <w:t>Grossesse et Allaitement :</w:t>
      </w:r>
      <w:r/>
    </w:p>
    <w:p>
      <w:pPr>
        <w:pStyle w:val="ListBullet"/>
      </w:pPr>
      <w:r>
        <w:t>Grossesse : À éviter par prudence, en particulier au 3ème trimestre (risque théorique de pneumopathie lipidique en cas de reflux, de masquage des carences en vitamines liposolubles). Préférer macrogol ou lactulose. En cas de nécessité absolue (fissure anale gravidique, constipation rebelle), utilisation ponctuelle sous avis médical, en position assise, à distance du coucher.</w:t>
      </w:r>
    </w:p>
    <w:p>
      <w:pPr>
        <w:pStyle w:val="ListBullet"/>
      </w:pPr>
      <w:r>
        <w:t>Allaitement : À éviter par prudence en utilisation prolongée (carence en vitamines liposolubles chez la mère et le nourrisson). Utilisation ponctuelle possible.</w:t>
      </w:r>
    </w:p>
    <w:p>
      <w:pPr>
        <w:pStyle w:val="ListBullet"/>
      </w:pPr>
      <w:r>
        <w:t>Précisions : Préférer macrogol et lactulose en première intention pendant la grossesse et l'allaitement.</w:t>
      </w:r>
    </w:p>
    <w:p>
      <w:r/>
      <w:r>
        <w:rPr>
          <w:b/>
        </w:rPr>
        <w:t>Posologie et Mode d'administration (Standard) :</w:t>
      </w:r>
      <w:r/>
    </w:p>
    <w:p>
      <w:pPr>
        <w:pStyle w:val="ListBullet"/>
      </w:pPr>
      <w:r>
        <w:t>Adulte : 1 à 3 cuillères à soupe (15-45 mL) par jour, en une à trois prises, de préférence le matin à jeun ou en dehors des repas. Ne pas dépasser 45 mL/j. Pour les gels oraux : 1 à 2 cuillères à soupe par jour.</w:t>
      </w:r>
    </w:p>
    <w:p>
      <w:pPr>
        <w:pStyle w:val="ListBullet"/>
      </w:pPr>
      <w:r>
        <w:t>Enfant à partir de 6 ans : 1 à 2 cuillères à café (5-10 mL) par jour, en position assise stricte.</w:t>
      </w:r>
    </w:p>
    <w:p>
      <w:pPr>
        <w:pStyle w:val="ListBullet"/>
      </w:pPr>
      <w:r>
        <w:t>Durée : 8-10 jours maximum en automédication. Au-delà, avis médical.</w:t>
      </w:r>
    </w:p>
    <w:p>
      <w:pPr>
        <w:pStyle w:val="ListBullet"/>
      </w:pPr>
      <w:r>
        <w:t>Moment de prise : en dehors des repas, à distance du coucher (au moins 2 heures), en position assise ou debout.</w:t>
      </w:r>
    </w:p>
    <w:p>
      <w:r/>
      <w:r>
        <w:rPr>
          <w:b/>
        </w:rPr>
        <w:t>Arbitrage et Bénéfices des Formes Galéniques :</w:t>
      </w:r>
      <w:r/>
    </w:p>
    <w:p>
      <w:pPr>
        <w:pStyle w:val="ListBullet"/>
      </w:pPr>
      <w:r>
        <w:t>Solution buvable (Laxafine, Isoffine) : forme liquide classique, goût d'huile plus ou moins bien toléré selon l'aromatisation. Risque d'inhalation plus important en cas de trouble de déglutition. Forme la plus économique.</w:t>
      </w:r>
    </w:p>
    <w:p>
      <w:pPr>
        <w:pStyle w:val="ListBullet"/>
      </w:pPr>
      <w:r>
        <w:t>Gel oral (Lansoyl historique, Lubentyl) : texture plus visqueuse, palatabilité améliorée (aromatisée), moins de risque d'inhalation. Forme de préférence chez le sujet âgé et l'enfant à partir de 6 ans.</w:t>
      </w:r>
    </w:p>
    <w:p>
      <w:r/>
      <w:r>
        <w:rPr>
          <w:b/>
        </w:rPr>
        <w:t>Instructions et Conseils au Patient :</w:t>
      </w:r>
      <w:r/>
    </w:p>
    <w:p>
      <w:pPr>
        <w:pStyle w:val="ListBullet"/>
      </w:pPr>
      <w:r>
        <w:t>Communication au comptoir : "Prenez l'huile de paraffine en position assise ou debout, jamais allongé. Prenez-la en dehors des repas et au moins 2 heures avant de vous coucher. L'effet survient en 6 à 8 heures. Vous risquez d'avoir un écoulement huileux par l'anus (tâches sur le linge), c'est normal, réduisez la dose si c'est gênant. Ne l'utilisez pas plus de 8 à 10 jours sans avis médical. Si vous toussez ou avez de la fièvre après avoir pris le produit, consultez un médecin (risque rare de passage dans les poumons). Buvez de l'eau, mangez des fibres. Évitez pendant la grossesse, préférez le lactulose ou le macrogol."</w:t>
      </w:r>
    </w:p>
    <w:p>
      <w:pPr>
        <w:pStyle w:val="ListBullet"/>
      </w:pPr>
      <w:r>
        <w:t>Mode d'utilisation pratique : Bien agiter le flacon avant emploi. Mesurer la dose avec une cuillère doseuse. Pour le gel : étaler sur une cuillère, avaler sans mâcher. Boire un verre d'eau après.</w:t>
      </w:r>
    </w:p>
    <w:p>
      <w:r/>
      <w:r>
        <w:rPr>
          <w:b/>
        </w:rPr>
        <w:t>Notes, Règles d'Or &amp; Pièges au Comptoir :</w:t>
      </w:r>
      <w:r/>
    </w:p>
    <w:p>
      <w:pPr>
        <w:pStyle w:val="ListBullet"/>
      </w:pPr>
      <w:r>
        <w:t>Piège classique : (i) Sujet âgé alité ou neurologique — risque majeur de pneumopathie lipidique. (ii) Reflux gastro-œsophagien sévère — contre-indication relative. (iii) Co-prescription avec AVK — surveillance INR. (iv) Patient prenant de l'isotrétinoïne — éviter. (v) Femme enceinte — éviter, surtout au 3ème trimestre.</w:t>
      </w:r>
    </w:p>
    <w:p>
      <w:pPr>
        <w:pStyle w:val="ListBullet"/>
      </w:pPr>
      <w:r>
        <w:t>Règle de prise : en position assise, à distance des repas et du coucher, dose minimale efficace, durée 8-10 jours max.</w:t>
      </w:r>
    </w:p>
    <w:p>
      <w:pPr>
        <w:pStyle w:val="ListBullet"/>
      </w:pPr>
      <w:r>
        <w:t>Préparation et Conservation : Flacon bien fermé, température ≤ 25 °C, à l'abri de la lumière et de la chaleur (risque d'oxydation du produit).</w:t>
      </w:r>
    </w:p>
    <w:p>
      <w:pPr>
        <w:pStyle w:val="ListBullet"/>
      </w:pPr>
      <w:r>
        <w:t>Piège du surdosage / Substitution : En cas de surdosage : diarrhée huileuse profuse, écoulement anal massif, déshydratation. Arrêt, réhydratation. Substitution possible par macrogol, lactulose, psyllium en traitement chronique.</w:t>
      </w:r>
    </w:p>
    <w:p>
      <w:pPr>
        <w:pStyle w:val="Heading3"/>
      </w:pPr>
      <w:r>
        <w:t>7. DCI : Psyllium (téguments) (Seule)</w:t>
      </w:r>
    </w:p>
    <w:p>
      <w:r/>
      <w:r>
        <w:rPr>
          <w:b/>
        </w:rPr>
        <w:t>Liste des Catégories :</w:t>
      </w:r>
      <w:r>
        <w:t xml:space="preserve"> Laxatif de charge - Fibre alimentaire ; Mucilage hydrophile ; Prébiotique ; Phytothérapie (Plantago ovata).</w:t>
      </w:r>
    </w:p>
    <w:p>
      <w:r>
        <w:t xml:space="preserve">Le psyllium (ou ispaghul) est constitué des téguments mucilagineux des graines de </w:t>
      </w:r>
      <w:r>
        <w:rPr>
          <w:i/>
        </w:rPr>
        <w:t>Plantago ovata</w:t>
      </w:r>
      <w:r>
        <w:t>, plante herbacée de la famille des Plantaginacées originaire d'Inde et du Pakistan. Les téguments sont riches (environ 80 %) en polysaccharides hydrophiles — principalement du mucilage composé de xylane, arabinose, galacturonate et rhamnose — capables de fixer jusqu'à 40 fois leur poids en eau. Le mucilage forme un gel visqueux non digestible dans le tube digestif, augmentant le volume du bol fécal et stimulant le péristaltisme colique par distension mécanique des parois et activation des mécanorécepteurs. Le psyllium n'est ni absorbé (biodisponibilité systémique nulle), ni fermenté significativement par la flore (environ 30 % est fermenté en acide butyrique, court-chaîne nourrissant les colonocytes — effet prébiotique). Délai d'action : 12 à 72 heures (effet progressif). Le psyllium est considéré comme le laxatif de premier choix dans la constipation chronique et le syndrome de l'intestin irritable, et compatible avec la grossesse et l'allaitement.</w:t>
      </w:r>
    </w:p>
    <w:p>
      <w:r/>
      <w:r>
        <w:rPr>
          <w:b/>
        </w:rPr>
        <w:t>Médicaments disponibles en Algérie (Marques, Laboratoires, Formes et Dosages) :</w:t>
      </w:r>
      <w:r/>
    </w:p>
    <w:p>
      <w:pPr>
        <w:pStyle w:val="ListBullet"/>
      </w:pPr>
      <w:r/>
      <w:r>
        <w:rPr>
          <w:b/>
        </w:rPr>
        <w:t>PARAPSYLLIUM</w:t>
      </w:r>
      <w:r>
        <w:t xml:space="preserve"> (IPRAD) — Association de téguments de psyllium et d'huile de paraffine</w:t>
      </w:r>
    </w:p>
    <w:p>
      <w:pPr>
        <w:pStyle w:val="ListBullet"/>
      </w:pPr>
      <w:r>
        <w:t>Formes et Dosages : Poudre pour solution buvable en sachet-dose (Téguments mucilagineux pulvérisés de graines de psyllium 3,333 g + Paraffine liquide 3,333 g) ; boîte de 10 sachets.</w:t>
      </w:r>
    </w:p>
    <w:p>
      <w:pPr>
        <w:pStyle w:val="ListBullet"/>
      </w:pPr>
      <w:r>
        <w:t>Statut : Non renouvelable (à jour de la nomenclature 2026, formulation historique non reconduite).</w:t>
      </w:r>
    </w:p>
    <w:p>
      <w:pPr>
        <w:pStyle w:val="ListBullet"/>
      </w:pPr>
      <w:r/>
      <w:r>
        <w:rPr>
          <w:b/>
        </w:rPr>
        <w:t>PARAPSYLLIUM en pot</w:t>
      </w:r>
      <w:r>
        <w:t xml:space="preserve"> (IPRAD)</w:t>
      </w:r>
    </w:p>
    <w:p>
      <w:pPr>
        <w:pStyle w:val="ListBullet"/>
      </w:pPr>
      <w:r>
        <w:t>Formes et Dosages : Poudre pour solution buvable en pot (Téguments mucilagineux pulvérisés de graines de psyllium 3,33 g + Paraffine liquide 3,333 g) ; pot 100 g.</w:t>
      </w:r>
    </w:p>
    <w:p>
      <w:pPr>
        <w:pStyle w:val="ListBullet"/>
      </w:pPr>
      <w:r>
        <w:t>Statut : Retiré (R).</w:t>
      </w:r>
    </w:p>
    <w:p>
      <w:r>
        <w:t>À jour de la nomenclature Algérie Avril 2026, aucune spécialité industrielle de psyllium isolé (sans association à la paraffine) n'est identifiée comme active. Le psyllium isolé est néanmoins disponible en Algérie sous les formes suivantes, non répertoriées dans la nomenclature des médicaments industriels :</w:t>
      </w:r>
    </w:p>
    <w:p>
      <w:pPr>
        <w:pStyle w:val="ListBullet"/>
      </w:pPr>
      <w:r/>
      <w:r>
        <w:rPr>
          <w:b/>
        </w:rPr>
        <w:t>Compléments alimentaires à base de psyllium</w:t>
      </w:r>
      <w:r>
        <w:t xml:space="preserve"> (téguments purs ou en poudre), vendus en parapharmacie, herboristerie, et magasins diététiques : sachets, gélules, poudre en vrac.</w:t>
      </w:r>
    </w:p>
    <w:p>
      <w:pPr>
        <w:pStyle w:val="ListBullet"/>
      </w:pPr>
      <w:r/>
      <w:r>
        <w:rPr>
          <w:b/>
        </w:rPr>
        <w:t>Préparations magistrales</w:t>
      </w:r>
      <w:r>
        <w:t xml:space="preserve"> à base de téguments de psyllium pur, sur prescription médicale, en pharmacie d'officine (selon Formulaire National).</w:t>
      </w:r>
    </w:p>
    <w:p>
      <w:pPr>
        <w:pStyle w:val="ListBullet"/>
      </w:pPr>
      <w:r/>
      <w:r>
        <w:rPr>
          <w:b/>
        </w:rPr>
        <w:t>Tisanes et graines de psyllium</w:t>
      </w:r>
      <w:r>
        <w:t xml:space="preserve"> en herboristerie.</w:t>
      </w:r>
    </w:p>
    <w:p>
      <w:r/>
      <w:r>
        <w:rPr>
          <w:b/>
        </w:rPr>
        <w:t>Sous-classe et Mécanisme d'action :</w:t>
      </w:r>
      <w:r/>
    </w:p>
    <w:p>
      <w:pPr>
        <w:pStyle w:val="ListBullet"/>
      </w:pPr>
      <w:r>
        <w:t>Sous-classe : Laxatif de charge ("bulk-forming"), fibre alimentaire non digestible, mucilage hydrophile. C'est le laxatif physiologique par excellence, recommandé en première intention dans la constipation chronique avant tout laxatif chimique. Compatible avec le long terme, la grossesse, l'allaitement, et le sujet âgé.</w:t>
      </w:r>
    </w:p>
    <w:p>
      <w:pPr>
        <w:pStyle w:val="ListBullet"/>
      </w:pPr>
      <w:r>
        <w:t>Mécanisme d'action : Le psyllium est composé de polysaccharides hydrophiles formant un mucilage visqueux au contact de l'eau. Trois mécanismes d'action principaux : (i) le mucilage capte l'eau (jusqu'à 40 fois son poids), augmentant le volume du bol fécal et le ramollissant ; (ii) la distension mécanique de la paroi colique active les mécanorécepteurs et stimule le péristaltisme propulsif (réflexe de défécation) ; (iii) la fermentation colique partielle (~ 30 %) du mucilage produit des acides gras à chaîne courte (acide butyrique, propionique, acétique), qui nourrissent les colonocytes (effet trophique) et exercent un effet prébiotique en stimulant sélectivement la croissance des bifidobactéries. Le psyllium normalise la consistance des selles, augmentant leur poids et leur teneur en eau sans irriter la muqueuse. Délai d'action progressif : 12 à 72 heures.</w:t>
      </w:r>
    </w:p>
    <w:p>
      <w:r/>
      <w:r>
        <w:rPr>
          <w:b/>
        </w:rPr>
        <w:t>Profil Pharmacologique :</w:t>
      </w:r>
      <w:r/>
    </w:p>
    <w:p>
      <w:pPr>
        <w:pStyle w:val="ListBullet"/>
      </w:pPr>
      <w:r>
        <w:t>Indications : (1) Constipation chronique (laxatif de premier choix, en association aux mesures hygiéno-diététiques) ; (2) Syndrome de l'intestin irritable avec constipation (SII-C) ; (3) Maladie diverticulaire colique (prévention des complications) ; (4) Diarrhée fonctionnelle (le psyllium a un effet normalisateur du transit, pouvant ralentir une diarrhée modérée par absorption de l'eau) ; (5) Hemorroïdes, fissure anale (ramollissement des selles) ; (6) Hypercholestérolémie légère à modérée en complément du régime (effet hypocholestérolémiant par capture des sels biliaires) ; (7) Prévention des exacerbations de la maladie de Crohn selon certaines études (à valider).</w:t>
      </w:r>
    </w:p>
    <w:p>
      <w:pPr>
        <w:pStyle w:val="ListBullet"/>
      </w:pPr>
      <w:r>
        <w:t>Contre-indications : (i) Hypersensibilité au psyllium ou aux Plantaginacées ; (ii) Syndrome occlusif, iléus paralytique, fécalome ; (iii) Douleurs abdominales aiguës non diagnostiquées ; (iv) Sténose œsophagienne ou atrésie (risque de bézoard) ; (v) Mégacôlon, maladie de Hirschsprung ; (vi) Perforation digestive, péritonite ; (vii) Enfant de moins de 6 ans (forme en poudre) ; (viii) Patient incapable de boire suffisamment d'eau (risque d'occlusion par bézoard) ; (ix) Allergie respiratoire au psyllium (rare, asthme professionnel).</w:t>
      </w:r>
    </w:p>
    <w:p>
      <w:pPr>
        <w:pStyle w:val="ListBullet"/>
      </w:pPr>
      <w:r>
        <w:t>Effets Indésirables : (i) Ballonnements et météorisme (très fréquents en début de traitement, régressifs en 1-2 semaines par adaptation de la flore) ; (ii) Flatulences modérées ; (iii) Sensation de satiété précoce ; (iv) Diarrhée (à forte dose) ; (v) Occlusion intestinale par bézoard (rare mais grave, surtout en cas de prise sans eau suffisante ou de sténose digestive préexistante) ; (vi) Occlusion œsophagienne (rare, surtout chez le sujet âgé) ; (vii) Réactions allergiques (asthme, rhinite, urticaire, anaphylaxie — rares mais possibles chez les professionnels de santé exposés à la poudre) ; (viii) Réduction de l'absorption des médicaments oraux administrés simultanément (effet physique de "coat").</w:t>
      </w:r>
    </w:p>
    <w:p>
      <w:r/>
      <w:r>
        <w:rPr>
          <w:b/>
        </w:rPr>
        <w:t>Prévention et Gestion des Effets Indésirables :</w:t>
      </w:r>
      <w:r/>
    </w:p>
    <w:p>
      <w:pPr>
        <w:pStyle w:val="ListBullet"/>
      </w:pPr>
      <w:r>
        <w:t>Mesures Préventives : (i) Prendre le psyllium avec AU MOINS 200 mL d'eau (verre grand modèle), jamais à sec ; (ii) Débuter par une dose faible (3-5 g/j) et l'augmenter progressivement sur 1-2 semaines pour limiter les ballonnements initiaux ; (iii) Boire abondamment tout au long de la journée (≥ 1,5-2 L/j) ; (iv) Espacer d'au moins 2 heures la prise des médicaments oraux ; (v) Chez le sujet âgé et l'enfant : vérifier la capacité à boire suffisamment d'eau ; (vi) Ne pas prendre au coucher (risque de bézoard œsophagien) ; (vii) Manipulation de la poudre par le pharmacien avec masque si allergie respiratoire connue.</w:t>
      </w:r>
    </w:p>
    <w:p>
      <w:pPr>
        <w:pStyle w:val="ListBullet"/>
      </w:pPr>
      <w:r>
        <w:t>Conduite à Tenir : (i) En cas de ballonnements persistants &gt; 2 semaines : réduire la dose, envisager substitution par macrogol ; (ii) En cas d'arrêt des selles et de douleurs abdominales : arrêt immédiat (suspicion d'occlusion par bézoard), examen médical urgent ; (iii) En cas de réaction allergique : arrêt définitif.</w:t>
      </w:r>
    </w:p>
    <w:p>
      <w:r/>
      <w:r>
        <w:rPr>
          <w:b/>
        </w:rPr>
        <w:t>Interactions Importantes :</w:t>
      </w:r>
      <w:r/>
    </w:p>
    <w:p>
      <w:pPr>
        <w:pStyle w:val="ListBullet"/>
      </w:pPr>
      <w:r>
        <w:t>Psyllium + tous médicaments oraux (AVK, digoxine, contraceptifs oraux, antidiabétiques, antirétroviraux, anticonvulsivants, lithium, carbamazépine, antibiotiques) : diminution de l'absorption par effet de "coat" physique. Espacer d'au moins 2 heures (idéalement 4 heures pour les médicaments à marge thérapeutique étroite).</w:t>
      </w:r>
    </w:p>
    <w:p>
      <w:pPr>
        <w:pStyle w:val="ListBullet"/>
      </w:pPr>
      <w:r>
        <w:t>Psyllium + antidiabétiques oraux (metformine, sulfamides, insuline) : modification de la glycémie par ralentissement de l'absorption des glucides et amélioration de la sensibilité insulinique. Surveillance glycémique, ajustement possible.</w:t>
      </w:r>
    </w:p>
    <w:p>
      <w:pPr>
        <w:pStyle w:val="ListBullet"/>
      </w:pPr>
      <w:r>
        <w:t>Psyllium + Lithium, digoxine, carbamazépine : baisse significative de l'absorption, surveillance des taux sériques.</w:t>
      </w:r>
    </w:p>
    <w:p>
      <w:pPr>
        <w:pStyle w:val="ListBullet"/>
      </w:pPr>
      <w:r>
        <w:t>Psyllium + Anticoagulants oraux : malabsorption de la vitamine K synthétisée par les bactéries coliques, déséquilibre de l'INR possible.</w:t>
      </w:r>
    </w:p>
    <w:p>
      <w:pPr>
        <w:pStyle w:val="ListBullet"/>
      </w:pPr>
      <w:r>
        <w:t>Psyllium + autres laxatifs : risque additif de diarrhée et de ballonnements.</w:t>
      </w:r>
    </w:p>
    <w:p>
      <w:pPr>
        <w:pStyle w:val="ListBullet"/>
      </w:pPr>
      <w:r>
        <w:t>Psyllium + Isorbide dinitrate, théophylline : espacer les prises.</w:t>
      </w:r>
    </w:p>
    <w:p>
      <w:r/>
      <w:r>
        <w:rPr>
          <w:b/>
        </w:rPr>
        <w:t>Grossesse et Allaitement :</w:t>
      </w:r>
      <w:r/>
    </w:p>
    <w:p>
      <w:pPr>
        <w:pStyle w:val="ListBullet"/>
      </w:pPr>
      <w:r>
        <w:t>Grossesse : Compatible à tous les trimestres (CRAT). Le psyllium n'est pas absorbé et ne traverse pas le placenta. C'est, avec le lactulose et le macrogol, le laxatif de premier choix pendant la grossesse, en association aux mesures hygiéno-diététiques. Posologie identique à l'adulte non enceinte. Surveillance de l'hydratation (la grossesse majore les besoins hydriques).</w:t>
      </w:r>
    </w:p>
    <w:p>
      <w:pPr>
        <w:pStyle w:val="ListBullet"/>
      </w:pPr>
      <w:r>
        <w:t>Allaitement : Compatible. Le psyllium n'est pas excrété dans le lait (non absorbé). Sans risque pour le nourrisson.</w:t>
      </w:r>
    </w:p>
    <w:p>
      <w:pPr>
        <w:pStyle w:val="ListBullet"/>
      </w:pPr>
      <w:r>
        <w:t>Précisions : Le psyllium peut être poursuivi au long cours pendant la grossesse et l'allaitement sans danger. Vérifier la capacité à boire suffisamment d'eau.</w:t>
      </w:r>
    </w:p>
    <w:p>
      <w:r/>
      <w:r>
        <w:rPr>
          <w:b/>
        </w:rPr>
        <w:t>Posologie et Mode d'administration (Standard) :</w:t>
      </w:r>
      <w:r/>
    </w:p>
    <w:p>
      <w:pPr>
        <w:pStyle w:val="ListBullet"/>
      </w:pPr>
      <w:r>
        <w:t>Adulte : 5 à 15 g/jour de téguments de psyllium, en 1 à 3 prises, à diluer dans un grand verre d'eau (200 mL minimum). Commencer par 3-5 g/j et augmenter progressivement. Forme associée à la paraffine (Parapsyllium) : 1 sachet par jour dilué dans un grand verre d'eau.</w:t>
      </w:r>
    </w:p>
    <w:p>
      <w:pPr>
        <w:pStyle w:val="ListBullet"/>
      </w:pPr>
      <w:r>
        <w:t>Enfant à partir de 6 ans : 2,5 à 5 g/jour, en 1 à 2 prises, dans un grand verre d'eau.</w:t>
      </w:r>
    </w:p>
    <w:p>
      <w:pPr>
        <w:pStyle w:val="ListBullet"/>
      </w:pPr>
      <w:r>
        <w:t>Adulte (hypercholestérolémie) : 10-15 g/jour en 2-3 prises avec les repas.</w:t>
      </w:r>
    </w:p>
    <w:p>
      <w:pPr>
        <w:pStyle w:val="ListBullet"/>
      </w:pPr>
      <w:r>
        <w:t>Durée : traitement au long cours possible sous suivi médical. Effet au bout de 12-72 heures ; ajustement de la dose sur 1-2 semaines.</w:t>
      </w:r>
    </w:p>
    <w:p>
      <w:pPr>
        <w:pStyle w:val="ListBullet"/>
      </w:pPr>
      <w:r>
        <w:t>Moment de prise : au cours des repas (pour l'effet cholestérolémiant) ou en dehors (pour l'effet laxatif pur), avec un grand verre d'eau. Éviter la prise au coucher.</w:t>
      </w:r>
    </w:p>
    <w:p>
      <w:r/>
      <w:r>
        <w:rPr>
          <w:b/>
        </w:rPr>
        <w:t>Arbitrage et Bénéfices des Formes Galéniques :</w:t>
      </w:r>
      <w:r/>
    </w:p>
    <w:p>
      <w:pPr>
        <w:pStyle w:val="ListBullet"/>
      </w:pPr>
      <w:r>
        <w:t>Poudre pour solution buvable en sachet-dose : dosage précis, palatabilité moyenne (légèrement farineuse). La dissolution doit être immédiate et complète dans un grand verre d'eau. Boire immédiatement avant que le mucilage ne gélifie dans le verre.</w:t>
      </w:r>
    </w:p>
    <w:p>
      <w:pPr>
        <w:pStyle w:val="ListBullet"/>
      </w:pPr>
      <w:r>
        <w:t>Poudre en pot : économique, dosage à la cuillère.</w:t>
      </w:r>
    </w:p>
    <w:p>
      <w:pPr>
        <w:pStyle w:val="ListBullet"/>
      </w:pPr>
      <w:r>
        <w:t>Gélules : plus pratiques et moins désagréables en bouche, mais nécessitent la prise de plusieurs gélules pour atteindre la dose efficace.</w:t>
      </w:r>
    </w:p>
    <w:p>
      <w:pPr>
        <w:pStyle w:val="ListBullet"/>
      </w:pPr>
      <w:r>
        <w:t>Granulés : pratiques, à avaler avec un grand verre d'eau.</w:t>
      </w:r>
    </w:p>
    <w:p>
      <w:pPr>
        <w:pStyle w:val="ListBullet"/>
      </w:pPr>
      <w:r>
        <w:t>Forme associée à la paraffine (Parapsyllium historique) : combine l'effet de charge (fibres) et l'effet lubrifiant (paraffine), synergiques dans la constipation rebelle.</w:t>
      </w:r>
    </w:p>
    <w:p>
      <w:pPr>
        <w:pStyle w:val="ListBullet"/>
      </w:pPr>
      <w:r>
        <w:t>Pas de forme sirop ou suppositoire.</w:t>
      </w:r>
    </w:p>
    <w:p>
      <w:r/>
      <w:r>
        <w:rPr>
          <w:b/>
        </w:rPr>
        <w:t>Instructions et Conseils au Patient :</w:t>
      </w:r>
      <w:r/>
    </w:p>
    <w:p>
      <w:pPr>
        <w:pStyle w:val="ListBullet"/>
      </w:pPr>
      <w:r>
        <w:t>Communication au comptoir : "Le psyllium est une fibre naturelle qui augmente le volume de vos selles et les ramollit. C'est le laxatif le plus physiologique et le plus sûr au long cours. Prenez-le avec AU MOINS un grand verre d'eau (200 mL), jamais à sec. Vous risquez d'avoir des ballonnements les premiers jours, c'est normal et ça va s'arranger en 1 à 2 semaines. Buvez au moins 1,5 à 2 litres d'eau par jour. Si vous prenez d'autres médicaments, prenez-les à au moins 2 heures du psyllium (sinon il peut diminuer leur absorption). L'effet n'est pas immédiat, comptez 1 à 3 jours. Ne le prenez pas au coucher. Le psyllium est compatible avec la grossesse et l'allaitement."</w:t>
      </w:r>
    </w:p>
    <w:p>
      <w:pPr>
        <w:pStyle w:val="ListBullet"/>
      </w:pPr>
      <w:r>
        <w:t>Mode d'utilisation pratique : Verser la poudre dans un grand verre d'eau, mélanger vigoureusement, boire immédiatement avant que le mélange ne gélifie. Boire un deuxième verre d'eau pure immédiatement après. Ne pas conserver la suspension reconstituée. En cas d'oubli, ne pas doubler la dose. Tenir un journal des selles pendant 2-3 semaines pour ajuster la dose.</w:t>
      </w:r>
    </w:p>
    <w:p>
      <w:r/>
      <w:r>
        <w:rPr>
          <w:b/>
        </w:rPr>
        <w:t>Notes, Règles d'Or &amp; Pièges au Comptoir :</w:t>
      </w:r>
      <w:r/>
    </w:p>
    <w:p>
      <w:pPr>
        <w:pStyle w:val="ListBullet"/>
      </w:pPr>
      <w:r>
        <w:t>Piège classique : (i) Prise sans eau suffisante — risque grave d'occlusion par bézoard œsophagien ou intestinal. (ii) Co-prescription avec médicaments à marge thérapeutique étroite — espacer d'au moins 2 heures. (iii) Sujet âgé incapable de boire suffisamment — contre-indication relative. (iv) Sténose digestive méconnue — contre-indication absolue. (v) Allergie respiratoire au psyllium (rare mais possible chez les pharmaciens manipulant la poudre).</w:t>
      </w:r>
    </w:p>
    <w:p>
      <w:pPr>
        <w:pStyle w:val="ListBullet"/>
      </w:pPr>
      <w:r>
        <w:t>Règle de prise : 1 sachet ou cuillère dans un grand verre d'eau, hydratation ≥ 1,5-2 L/j, prise en dehors des autres médicaments (espacement 2 h), éviter le coucher.</w:t>
      </w:r>
    </w:p>
    <w:p>
      <w:pPr>
        <w:pStyle w:val="ListBullet"/>
      </w:pPr>
      <w:r>
        <w:t>Préparation et Conservation : Poudre au sec, à température ≤ 25 °C, à l'abri de l'humidité (le mucilage gélifie au contact de l'eau). Sachets à utiliser immédiatement après ouverture.</w:t>
      </w:r>
    </w:p>
    <w:p>
      <w:pPr>
        <w:pStyle w:val="ListBullet"/>
      </w:pPr>
      <w:r>
        <w:t>Piège du surdosage / Substitution : En cas de surdosage : occlusion par bézoard, diarrhée profuse, ballonnements massifs. Arrêt, hydratation IV si occlusion, examen médical. Substitution possible par macrogol ou lactulose si intolérance ou inefficacité.</w:t>
      </w:r>
    </w:p>
    <w:p>
      <w:pPr>
        <w:pStyle w:val="Heading3"/>
      </w:pPr>
      <w:r>
        <w:t>8. DCI : Lopéramide (Seule)</w:t>
      </w:r>
    </w:p>
    <w:p>
      <w:r/>
      <w:r>
        <w:rPr>
          <w:b/>
        </w:rPr>
        <w:t>Liste des Catégories :</w:t>
      </w:r>
      <w:r>
        <w:t xml:space="preserve"> Anti-diarrhéique - Agoniste opioïde μ périphérique ; Liste II (prescription obligatoire).</w:t>
      </w:r>
    </w:p>
    <w:p>
      <w:r>
        <w:t>Le lopéramide (4-(4-chlorophényl)-4-hydroxy-N,N-diméthyl-α,α-diphényl-1-pipéridine butyramide chlorhydrate) est un agoniste opioïde μ sélectif des récepteurs périphériques de la muqueuse intestinale et du plexus myentérique. Chimiquement apparenté à la diphénoxylate et à la codéine, le lopéramide se distingue par son excrétion intestinale active par la P-glycoprotéine (P-gp, MDR1, ABCB1) qui empêche son accumulation systémique et donc son passage dans le système nerveux central (SNC). À dose thérapeutique, le lopéramide ne provoque ni analgésie centrale, ni sédation, ni dépression respiratoire, ni dépendance physique. Il agit par trois mécanismes périphériques : (i) liaison aux récepteurs μ des entérocytes, activation des protéines Gi/o, inhibition de l'adénylate cyclase, baisse de l'AMPc intracellulaire, diminution de la sécrétion de Cl⁻ et d'eau (effet anti-sécrétoire) ; (ii) stimulation du tonus du sphincter anal interne (augmentation de la continence) ; (iii) diminution du péristaltisme propulsif colique et augmentation du péristaltisme segmentaire (mixage du bol fécal, prolongation du temps de contact avec la muqueuse et donc réabsorption accrue d'eau et d'électrolytes). Biodisponibilité orale ~ 0,3 % (extraction de premier passage intestinal + efflux P-gp). Métabolisme hépatique (CYP3A4, CYP2C8). Délai d'action : 30 minutes à 1 heure. Demi-vie : 9 à 14 heures.</w:t>
      </w:r>
    </w:p>
    <w:p>
      <w:r/>
      <w:r>
        <w:rPr>
          <w:b/>
        </w:rPr>
        <w:t>Médicaments disponibles en Algérie (Marques, Laboratoires, Formes et Dosages) :</w:t>
      </w:r>
      <w:r/>
    </w:p>
    <w:p>
      <w:r/>
      <w:r>
        <w:rPr>
          <w:i/>
        </w:rPr>
        <w:t>Lopéramide chlorhydrate seul (Liste II, prescription obligatoire) :</w:t>
      </w:r>
      <w:r/>
    </w:p>
    <w:p>
      <w:pPr>
        <w:pStyle w:val="ListBullet"/>
      </w:pPr>
      <w:r/>
      <w:r>
        <w:rPr>
          <w:b/>
        </w:rPr>
        <w:t>DIARYL</w:t>
      </w:r>
      <w:r>
        <w:t xml:space="preserve"> (NEOMEDIC) – Gélule 2 mg ; boîte de 20.</w:t>
      </w:r>
    </w:p>
    <w:p>
      <w:pPr>
        <w:pStyle w:val="ListBullet"/>
      </w:pPr>
      <w:r/>
      <w:r>
        <w:rPr>
          <w:b/>
        </w:rPr>
        <w:t>DIMEPRA</w:t>
      </w:r>
      <w:r>
        <w:t xml:space="preserve"> (PHARMALLIANCE) – Gélule 2 mg ; boîte de 20.</w:t>
      </w:r>
    </w:p>
    <w:p>
      <w:pPr>
        <w:pStyle w:val="ListBullet"/>
      </w:pPr>
      <w:r/>
      <w:r>
        <w:rPr>
          <w:b/>
        </w:rPr>
        <w:t>DYAREX</w:t>
      </w:r>
      <w:r>
        <w:t xml:space="preserve"> (LABORATOIRES MERINAL) – Gélule 2 mg ; boîte de 20.</w:t>
      </w:r>
    </w:p>
    <w:p>
      <w:pPr>
        <w:pStyle w:val="ListBullet"/>
      </w:pPr>
      <w:r/>
      <w:r>
        <w:rPr>
          <w:b/>
        </w:rPr>
        <w:t>EVOPERAMIDE</w:t>
      </w:r>
      <w:r>
        <w:t xml:space="preserve"> (SARL EVOLAB) – Gélule 2 mg ; boîte de 20.</w:t>
      </w:r>
    </w:p>
    <w:p>
      <w:pPr>
        <w:pStyle w:val="ListBullet"/>
      </w:pPr>
      <w:r/>
      <w:r>
        <w:rPr>
          <w:b/>
        </w:rPr>
        <w:t>LOPERAMIDE NS</w:t>
      </w:r>
      <w:r>
        <w:t xml:space="preserve"> (PHARMIDAL NS) – Gélule 2 mg ; boîte de 20.</w:t>
      </w:r>
    </w:p>
    <w:p>
      <w:pPr>
        <w:pStyle w:val="ListBullet"/>
      </w:pPr>
      <w:r/>
      <w:r>
        <w:rPr>
          <w:b/>
        </w:rPr>
        <w:t>LOPEREX</w:t>
      </w:r>
      <w:r>
        <w:t xml:space="preserve"> (LABORATOIRE ALGERIEN DU MEDICAMENT) – Comprimé 2 mg ; boîte de 20.</w:t>
      </w:r>
    </w:p>
    <w:p>
      <w:pPr>
        <w:pStyle w:val="ListBullet"/>
      </w:pPr>
      <w:r/>
      <w:r>
        <w:rPr>
          <w:b/>
        </w:rPr>
        <w:t>LOPERIDAL</w:t>
      </w:r>
      <w:r>
        <w:t xml:space="preserve"> (SOCIETE PHARMACEUTIQUE ALGERIENNE SOPHAL) – Gélule 2 mg ; boîte de 20.</w:t>
      </w:r>
    </w:p>
    <w:p>
      <w:pPr>
        <w:pStyle w:val="ListBullet"/>
      </w:pPr>
      <w:r/>
      <w:r>
        <w:rPr>
          <w:b/>
        </w:rPr>
        <w:t>LOPESTIN</w:t>
      </w:r>
      <w:r>
        <w:t xml:space="preserve"> (GROUPE SAIDAL) – Gélule 2 mg ; boîte de 20.</w:t>
      </w:r>
    </w:p>
    <w:p>
      <w:pPr>
        <w:pStyle w:val="ListBullet"/>
      </w:pPr>
      <w:r/>
      <w:r>
        <w:rPr>
          <w:b/>
        </w:rPr>
        <w:t>INPHADIUM</w:t>
      </w:r>
      <w:r>
        <w:t xml:space="preserve"> (INPHA-MEDIS) – Sirop 0,2 mg/mL ; flacon 125 mL + pipette doseuse graduée en kg. Forme pédiatrique adaptée au poids.</w:t>
      </w:r>
    </w:p>
    <w:p>
      <w:pPr>
        <w:pStyle w:val="ListBullet"/>
      </w:pPr>
      <w:r>
        <w:t>Statut : Actif.</w:t>
      </w:r>
    </w:p>
    <w:p>
      <w:r/>
      <w:r>
        <w:rPr>
          <w:i/>
        </w:rPr>
        <w:t>Lopéramide + Siméticone (association anti-diarrhéique + anti-ballonnement) :</w:t>
      </w:r>
      <w:r/>
    </w:p>
    <w:p>
      <w:pPr>
        <w:pStyle w:val="ListBullet"/>
      </w:pPr>
      <w:r/>
      <w:r>
        <w:rPr>
          <w:b/>
        </w:rPr>
        <w:t>ADIQRIX DUO 2/125 mg</w:t>
      </w:r>
      <w:r>
        <w:t xml:space="preserve"> (LABORATOIRES SALEM) – Comprimé 2 mg/125 mg ; boîte de 10. Lopéramide + siméticone (anti-météorique).</w:t>
      </w:r>
    </w:p>
    <w:p>
      <w:pPr>
        <w:pStyle w:val="ListBullet"/>
      </w:pPr>
      <w:r>
        <w:t>Statut : Actif.</w:t>
      </w:r>
    </w:p>
    <w:p>
      <w:r>
        <w:t>Spécialités retirées (référence historique) :</w:t>
      </w:r>
    </w:p>
    <w:p>
      <w:pPr>
        <w:pStyle w:val="ListBullet"/>
      </w:pPr>
      <w:r/>
      <w:r>
        <w:rPr>
          <w:b/>
        </w:rPr>
        <w:t>VACONTIL</w:t>
      </w:r>
      <w:r>
        <w:t xml:space="preserve"> (MEDOCHEMIE LTD) – Gélule 2 mg ; boîte de 10. Statut : Retiré (R).</w:t>
      </w:r>
    </w:p>
    <w:p>
      <w:pPr>
        <w:pStyle w:val="ListBullet"/>
      </w:pPr>
      <w:r/>
      <w:r>
        <w:rPr>
          <w:b/>
        </w:rPr>
        <w:t>DIATEX</w:t>
      </w:r>
      <w:r>
        <w:t xml:space="preserve"> (BIOCARE SARL) – Comprimé 2 mg ; boîte de 20. Statut : Retiré (R).</w:t>
      </w:r>
    </w:p>
    <w:p>
      <w:pPr>
        <w:pStyle w:val="ListBullet"/>
      </w:pPr>
      <w:r/>
      <w:r>
        <w:rPr>
          <w:b/>
        </w:rPr>
        <w:t>LOPERAMIDE BIOGARAN</w:t>
      </w:r>
      <w:r>
        <w:t xml:space="preserve"> (BIOGARAN) – Gélule 2 mg ; boîte de 20. Statut : Retiré (R).</w:t>
      </w:r>
    </w:p>
    <w:p>
      <w:pPr>
        <w:pStyle w:val="ListBullet"/>
      </w:pPr>
      <w:r/>
      <w:r>
        <w:rPr>
          <w:b/>
        </w:rPr>
        <w:t>DIASSEL</w:t>
      </w:r>
      <w:r>
        <w:t xml:space="preserve"> (CPCM SARL) – Gélule 2 mg ; boîte de 20. Statut : Retiré (R).</w:t>
      </w:r>
    </w:p>
    <w:p>
      <w:pPr>
        <w:pStyle w:val="ListBullet"/>
      </w:pPr>
      <w:r/>
      <w:r>
        <w:rPr>
          <w:b/>
        </w:rPr>
        <w:t>ALTOCEL</w:t>
      </w:r>
      <w:r>
        <w:t xml:space="preserve"> (IREX) – Gélule 2 mg ; boîte de 20. Statut : Retiré (R).</w:t>
      </w:r>
    </w:p>
    <w:p>
      <w:pPr>
        <w:pStyle w:val="ListBullet"/>
      </w:pPr>
      <w:r/>
      <w:r>
        <w:rPr>
          <w:b/>
        </w:rPr>
        <w:t>DIARCRO</w:t>
      </w:r>
      <w:r>
        <w:t xml:space="preserve"> (CROVIS PHILCOM) – Gélule 2 mg ; boîte de 20. Statut : Retiré (R).</w:t>
      </w:r>
    </w:p>
    <w:p>
      <w:pPr>
        <w:pStyle w:val="ListBullet"/>
      </w:pPr>
      <w:r/>
      <w:r>
        <w:rPr>
          <w:b/>
        </w:rPr>
        <w:t>DYSPAGON</w:t>
      </w:r>
      <w:r>
        <w:t xml:space="preserve"> (PIERRE FABRE) – Gélule 2 mg ; boîte de 6. Statut : Retiré (R).</w:t>
      </w:r>
    </w:p>
    <w:p>
      <w:pPr>
        <w:pStyle w:val="ListBullet"/>
      </w:pPr>
      <w:r/>
      <w:r>
        <w:rPr>
          <w:b/>
        </w:rPr>
        <w:t>IDIUM</w:t>
      </w:r>
      <w:r>
        <w:t xml:space="preserve"> (MODERN PHARMACEUTICAL INDUSTRIE - MPI) – Gélule 2 mg ; boîte de 20. Statut : Retiré (R).</w:t>
      </w:r>
    </w:p>
    <w:p>
      <w:pPr>
        <w:pStyle w:val="ListBullet"/>
      </w:pPr>
      <w:r/>
      <w:r>
        <w:rPr>
          <w:b/>
        </w:rPr>
        <w:t>IMODIUM</w:t>
      </w:r>
      <w:r>
        <w:t xml:space="preserve"> (JANSSEN CILAG) – Gélule 2 mg ; boîte de 20. Princeps historique. Statut : Retiré (R).</w:t>
      </w:r>
    </w:p>
    <w:p>
      <w:pPr>
        <w:pStyle w:val="ListBullet"/>
      </w:pPr>
      <w:r/>
      <w:r>
        <w:rPr>
          <w:b/>
        </w:rPr>
        <w:t>IMOTRIL</w:t>
      </w:r>
      <w:r>
        <w:t xml:space="preserve"> (HAYAT) – Gélule 2 mg ; boîte de 6. Statut : Retiré (R).</w:t>
      </w:r>
    </w:p>
    <w:p>
      <w:pPr>
        <w:pStyle w:val="ListBullet"/>
      </w:pPr>
      <w:r/>
      <w:r>
        <w:rPr>
          <w:b/>
        </w:rPr>
        <w:t>LOPERAMIDE</w:t>
      </w:r>
      <w:r>
        <w:t xml:space="preserve"> (GIFRER BARBEZAT) – Gélule 2 mg ; boîte de 20. Statut : Retiré (R).</w:t>
      </w:r>
    </w:p>
    <w:p>
      <w:pPr>
        <w:pStyle w:val="ListBullet"/>
      </w:pPr>
      <w:r/>
      <w:r>
        <w:rPr>
          <w:b/>
        </w:rPr>
        <w:t>LOPERAMIDE GGAM</w:t>
      </w:r>
      <w:r>
        <w:t xml:space="preserve"> (PHARMIDAL) – Gélule 2 mg ; boîte de 20. Statut : Retiré (R).</w:t>
      </w:r>
    </w:p>
    <w:p>
      <w:pPr>
        <w:pStyle w:val="ListBullet"/>
      </w:pPr>
      <w:r/>
      <w:r>
        <w:rPr>
          <w:b/>
        </w:rPr>
        <w:t>LOPERAMIDE-INKEY</w:t>
      </w:r>
      <w:r>
        <w:t xml:space="preserve"> (INKEY SA) – Gélule 2 mg ; boîte de 20. Statut : Retiré (R).</w:t>
      </w:r>
    </w:p>
    <w:p>
      <w:pPr>
        <w:pStyle w:val="ListBullet"/>
      </w:pPr>
      <w:r/>
      <w:r>
        <w:rPr>
          <w:b/>
        </w:rPr>
        <w:t>LOPERAMIDA BELMAC</w:t>
      </w:r>
      <w:r>
        <w:t xml:space="preserve"> (BELMAC SA) – Gélule 2 mg ; boîte de 20. Statut : Retiré (R).</w:t>
      </w:r>
    </w:p>
    <w:p>
      <w:pPr>
        <w:pStyle w:val="ListBullet"/>
      </w:pPr>
      <w:r/>
      <w:r>
        <w:rPr>
          <w:b/>
        </w:rPr>
        <w:t>LOPERIUM</w:t>
      </w:r>
      <w:r>
        <w:t xml:space="preserve"> (ELAIAPHARM) – Gélule 2 mg ; boîte de 20. Statut : Retiré (R).</w:t>
      </w:r>
    </w:p>
    <w:p>
      <w:r/>
      <w:r>
        <w:rPr>
          <w:b/>
        </w:rPr>
        <w:t>Sous-classe et Mécanisme d'action :</w:t>
      </w:r>
      <w:r/>
    </w:p>
    <w:p>
      <w:pPr>
        <w:pStyle w:val="ListBullet"/>
      </w:pPr>
      <w:r>
        <w:t>Sous-classe : Anti-diarrhéique opioïde μ périphérique. Le lopéramide est le ralentisseur du transit de référence chez l'adulte, dénué d'effets centraux (la P-glycoprotéine empêche le passage cérébral). Agit en 30-60 minutes. Délivrance sur ordonnance (Liste II en Algérie) en raison du risque d'abus (usage récréatif à très forte dose avec inhibiteurs de la P-gp) et de contre-indations majeures.</w:t>
      </w:r>
    </w:p>
    <w:p>
      <w:pPr>
        <w:pStyle w:val="ListBullet"/>
      </w:pPr>
      <w:r>
        <w:t>Mécanisme d'action : Le lopéramide est un agoniste plein des récepteurs opioïdes μ (MOR, OPRM1) exprimés à la surface des entérocytes et des neurones du plexus myentérique. La liaison μ-Gi/o provoque : (i) inhibition de l'adénylate cyclase → baisse de l'AMPc → inactivation de la PKA → fermeture des canaux CFTR (chlorure) et inhibition de la sécrétion de Cl⁻ et d'eau (effet anti-sécrétoire direct) ; (ii) augmentation du tonus du sphincter anal interne (via les récepteurs μ présents sur les fibres musculaires lisses) → amélioration de la continence ; (iii) diminution du péristaltisme propulsif et augmentation du péristaltisme segmentaire → ralentissement du transit et augmentation de la réabsorption hydroélectrolytique. Le lopéramide est inactif sur le SNC car la P-glycoprotéine (P-gp, MDR1) exprimée à la barrière hémato-encéphalique (BHE) l'expulse activement vers le sang capillaire, empêchant son passage cérébral. À très forte dose (10 à 50 fois la dose thérapeutique) ou en cas de co-administration avec un inhibiteur de la P-gp (quinidine, ritonavir, itraconazole, vérapamil, kétoconazole), le lopéramide peut traverser la BHE et induire une dépression respiratoire, une euphorie et une dépendance — abus décrit à l'international.</w:t>
      </w:r>
    </w:p>
    <w:p>
      <w:r/>
      <w:r>
        <w:rPr>
          <w:b/>
        </w:rPr>
        <w:t>Profil Pharmacologique :</w:t>
      </w:r>
      <w:r/>
    </w:p>
    <w:p>
      <w:pPr>
        <w:pStyle w:val="ListBullet"/>
      </w:pPr>
      <w:r>
        <w:t>Indications : (1) Diarrhée aiguë non spécifique de l'adulte et de l'enfant à partir de 12 ans (en complément de la réhydratation orale) ; (2) Diarrhée chronique fonctionnelle (côlon irritable avec diarrhée) ; (3) Diarrhée du voyageur en association avec une antibiothérapie si diarrhée invasive ; (4) Diarrhée iatrogène (radiothérapie pelvienne, chimiothérapie, traitement par tacrolimus ou mycophénolate) ; (5) Diarrhée chronique post-chirurgie digestive (résection iléale, court-circuit gastrique) ; (6) Forme associée au siméticone (Adiqrix Duo) : diarrhée aiguë avec ballonnements associés.</w:t>
      </w:r>
    </w:p>
    <w:p>
      <w:pPr>
        <w:pStyle w:val="ListBullet"/>
      </w:pPr>
      <w:r>
        <w:t>Contre-indications : (i) Hypersensibilité au lopéramide ; (ii) Enfant de moins de 2 ans (risque de mortalité par iléus paralytique et mégacôlon toxique) — contre-indication absolue ; (iii) Enfant de moins de 12 ans en automédication (uniquement sur prescription médicale stricte, avec forme sirop adaptée au poids) ; (iv) Colite ulcérative évolutive en poussée ; (v) Entérocolite pseudo-membraneuse à *Clostridium difficile* (risque de colectomie fulminante par mégacôlon toxique) ; (vi) Diarrhée bactérienne invasive à *Salmonella*, *Shigella*, *Campylobacter* (prolongation du portage) ; (vii) Diarrhée avec fièvre et/ou sang dans les selles (à traiter médicalement, ne pas ralentir) ; (viii) Diarrhée liée à un pathogène producteur de toxine préformée (*Staphylococcus aureus*, *Bacillus cereus*) — le ralentissement aggrave l'absorption toxique ; (ix) Iléus paralytique, syndrome occlusif ; (x) Allaitement (passage dans le lait) ; (xi) Patient avec insuffisance hépatique sévère (risque d'accumulation et de toxicité centrale) ; (xii) Pseudo-obstruction intestinale.</w:t>
      </w:r>
    </w:p>
    <w:p>
      <w:pPr>
        <w:pStyle w:val="ListBullet"/>
      </w:pPr>
      <w:r>
        <w:t>Effets Indésirables : (i) Constipation (effet dose-dépendant, fréquent) ; (ii) Iléus paralytique et distension abdominale (rare mais grave, surtout chez l'enfant) ; (iii) Mégacôlon toxique (exceptionnel mais potentiellement fatal, surtout dans les colites à *C. difficile*) ; (iv) Douleurs abdominales crampoïdes ; (v) Ballonnements, nausées, vomissements ; (vi) Éruption cutanée, prurit, urticaire (rares) ; (vii) Dépression respiratoire et sédation centrale (uniquement à très forte dose ou avec inhibiteur de la P-gp, voir abus) ; (viii) Allongement du QT et torsades de pointes (aux doses massives de surdosage) ; (ix) Rétention urinaire (effet μ sur la vessie) ; (x) Vertiges (à forte dose).</w:t>
      </w:r>
    </w:p>
    <w:p>
      <w:r/>
      <w:r>
        <w:rPr>
          <w:b/>
        </w:rPr>
        <w:t>Prévention et Gestion des Effets Indésirables :</w:t>
      </w:r>
      <w:r/>
    </w:p>
    <w:p>
      <w:pPr>
        <w:pStyle w:val="ListBullet"/>
      </w:pPr>
      <w:r>
        <w:t>Mesures Préventives : (i) Ne JAMAIS utiliser chez l'enfant de moins de 2 ans (risque vital) ; (ii) Ne pas utiliser chez l'enfant de 2-12 ans sans avis médical (préférence pour racecadotril ou diosmectite) ; (iii) Respecter la dose maximale de 16 mg/j chez l'adulte ; (iv) Ne pas traiter une diarrhée fébrile ou sanglante sans avis médical ; (v) Ne pas associer à un inhibiteur de la P-gp (ritonavir, quinidine, itraconazole, vérapamil) sans surveillance médicale ; (vi) Chez le patient insuffisant hépatique : surveillance rapprochée, dose réduite ; (vii) Ne pas prolonger au-delà de 48 heures sans avis médical en cas de diarrhée aiguë non améliorée.</w:t>
      </w:r>
    </w:p>
    <w:p>
      <w:pPr>
        <w:pStyle w:val="ListBullet"/>
      </w:pPr>
      <w:r>
        <w:t>Conduite à Tenir : (i) Constipation sévère : arrêt, hydratation ; (ii) Distension abdominale, arrêt des selles et des gaz, vomissements : suspicion d'iléus paralytique, arrêt immédiat, examen médical urgent (radiographie d'abdomen sans préparation) ; (iii) Fièvre, douleur, sang dans les selles pendant le traitement : arrêt, consultation urgente (suspicion de colite invasive ou de mégacôlon toxique) ; (iv) Dépression respiratoire (surdosage ou interaction P-gp) : naloxone IV (antagoniste μ) en urgence, surveillance hospitalière.</w:t>
      </w:r>
    </w:p>
    <w:p>
      <w:r/>
      <w:r>
        <w:rPr>
          <w:b/>
        </w:rPr>
        <w:t>Interactions Importantes :</w:t>
      </w:r>
      <w:r/>
    </w:p>
    <w:p>
      <w:pPr>
        <w:pStyle w:val="ListBullet"/>
      </w:pPr>
      <w:r>
        <w:t>Lopéramide + Inhibiteurs de la P-glycoprotéine (P-gp) : ritonavir, saquinavir, lopinavir (antirétroviraux), quinidine, vérapamil, diltiazem, itraconazole, kétoconazole, clarithromycine, érythromycine, cyclosporine, tamoxifène, fluoxétine, paroxétine. Risque majeur : augmentation du passage cérébral du lopéramide (la P-gp est normalement l'effleur de la BHE) → dépression respiratoire, sédation, euphorie, dépendance, allongement du QT, torsades de pointes potentiellement fatales. Association à éviter ou sous stricte surveillance médicale.</w:t>
      </w:r>
    </w:p>
    <w:p>
      <w:pPr>
        <w:pStyle w:val="ListBullet"/>
      </w:pPr>
      <w:r>
        <w:t>Lopéramide + Inhibiteurs du CYP3A4 (ritonavir, itraconazole, kétoconazole, clarithromycine, érythromycine, diltiazem, vérapamil, pamplemousse) : augmentation des concentrations plasmatiques du lopéramide, risque de toxicité centrale et cardiaque (QT long).</w:t>
      </w:r>
    </w:p>
    <w:p>
      <w:pPr>
        <w:pStyle w:val="ListBullet"/>
      </w:pPr>
      <w:r>
        <w:t>Lopéramide + Inhibiteurs du CYP2C8 (gémfibrozil) : augmentation des concentrations, risque similaire.</w:t>
      </w:r>
    </w:p>
    <w:p>
      <w:pPr>
        <w:pStyle w:val="ListBullet"/>
      </w:pPr>
      <w:r>
        <w:t>Lopéramide + Anticoagulants oraux (AVK) : modification de l'absorption de l'AVK (modification du transit), surveillance INR.</w:t>
      </w:r>
    </w:p>
    <w:p>
      <w:pPr>
        <w:pStyle w:val="ListBullet"/>
      </w:pPr>
      <w:r>
        <w:t>Lopéramide + autres ralentisseurs du transit (anticholinergiques, opioïdes centraux) : majoration du risque d'iléus paralytique et de constipation sévère.</w:t>
      </w:r>
    </w:p>
    <w:p>
      <w:pPr>
        <w:pStyle w:val="ListBullet"/>
      </w:pPr>
      <w:r>
        <w:t>Lopéramide + Antibiotiques (rifampicine, rifabutine) : induction enzymatique, baisse d'efficacité du lopéramide.</w:t>
      </w:r>
    </w:p>
    <w:p>
      <w:r/>
      <w:r>
        <w:rPr>
          <w:b/>
        </w:rPr>
        <w:t>Grossesse et Allaitement :</w:t>
      </w:r>
      <w:r/>
    </w:p>
    <w:p>
      <w:pPr>
        <w:pStyle w:val="ListBullet"/>
      </w:pPr>
      <w:r>
        <w:t>Grossesse : À utiliser avec prudence. Le CRAT indique que les études animales ont montré une toxicité foetale à doses très élevées, mais les données humaines sont rassurantes pour des utilisations ponctuelles au 2ème et 3ème trimestre. Le lopéramide peut être utilisé en cas de diarrhée aiguë de la femme enceinte, en cure courte (2-3 jours), à dose efficace minimale, en complément de la réhydratation orale. À éviter au 1er trimestre par prudence. Préférer diosmectite ou racecadotril si possible.</w:t>
      </w:r>
    </w:p>
    <w:p>
      <w:pPr>
        <w:pStyle w:val="ListBullet"/>
      </w:pPr>
      <w:r>
        <w:t>Allaitement : Contre-indiqué. Le lopéramide passe dans le lait maternel et peut induire une constipation et un iléus paralytique chez le nourrisson. Préférer la diosmectite pendant l'allaitement.</w:t>
      </w:r>
    </w:p>
    <w:p>
      <w:pPr>
        <w:pStyle w:val="ListBullet"/>
      </w:pPr>
      <w:r>
        <w:t>Précisions : En cas de diarrhée aiguë pendant la grossesse ou l'allaitement, privilégier la réhydratation orale (SRO) et la diosmectite en première intention.</w:t>
      </w:r>
    </w:p>
    <w:p>
      <w:r/>
      <w:r>
        <w:rPr>
          <w:b/>
        </w:rPr>
        <w:t>Posologie et Mode d'administration (Standard) :</w:t>
      </w:r>
      <w:r/>
    </w:p>
    <w:p>
      <w:pPr>
        <w:pStyle w:val="ListBullet"/>
      </w:pPr>
      <w:r>
        <w:t>Adulte : 2 gélules (4 mg) en prise initiale dès la première selle liquide, puis 1 gélule (2 mg) après chaque selle liquide supplémentaire. Ne pas dépasser 8 gélules par jour (16 mg/j). En cas de diarrhée chronique fonctionnelle : 2-6 mg/j en 2 prises, à ajuster.</w:t>
      </w:r>
    </w:p>
    <w:p>
      <w:pPr>
        <w:pStyle w:val="ListBullet"/>
      </w:pPr>
      <w:r>
        <w:t>Enfant à partir de 12 ans (poids &gt; 35 kg) : posologie adulte.</w:t>
      </w:r>
    </w:p>
    <w:p>
      <w:pPr>
        <w:pStyle w:val="ListBullet"/>
      </w:pPr>
      <w:r>
        <w:t>Enfant à partir de 2 ans et &lt; 12 ans (INPHADIUM sirop 0,2 mg/mL) : uniquement sur prescription médicale stricte. Posologie initiale : 1 mg pour la première selle liquide (5 mL de sirop pour 10 kg), puis 0,1 mg/kg après chaque selle liquide, sans dépasser 6 mg/jour pour 20-30 kg, et 8 mg/jour pour &gt; 30 kg. Forme sirop avec pipette graduée en kg.</w:t>
      </w:r>
    </w:p>
    <w:p>
      <w:pPr>
        <w:pStyle w:val="ListBullet"/>
      </w:pPr>
      <w:r>
        <w:t>Nourrisson &lt; 2 ans : CONTRE-INDICATION ABSOLUE.</w:t>
      </w:r>
    </w:p>
    <w:p>
      <w:pPr>
        <w:pStyle w:val="ListBullet"/>
      </w:pPr>
      <w:r>
        <w:t>Durée : en cas de diarrhée aiguë : maximum 48 heures sans avis médical. En cas de diarrhée chronique : traitement au long cours sous suivi médical.</w:t>
      </w:r>
    </w:p>
    <w:p>
      <w:pPr>
        <w:pStyle w:val="ListBullet"/>
      </w:pPr>
      <w:r>
        <w:t>Moment de prise : dès la première selle liquide, puis après chaque selle liquide. Ne pas prendre en l'absence de selles liquides (risque de constipation).</w:t>
      </w:r>
    </w:p>
    <w:p>
      <w:r/>
      <w:r>
        <w:rPr>
          <w:b/>
        </w:rPr>
        <w:t>Arbitrage et Bénéfices des Formes Galéniques :</w:t>
      </w:r>
      <w:r/>
    </w:p>
    <w:p>
      <w:pPr>
        <w:pStyle w:val="ListBullet"/>
      </w:pPr>
      <w:r>
        <w:t>Gélules et comprimés à 2 mg : forme standard de l'adulte et de l'enfant à partir de 12 ans. Pratique, transportable, dosage précis. Boîte de 20 (soit 10 jours max à dose maximale) pour éviter le surdosage.</w:t>
      </w:r>
    </w:p>
    <w:p>
      <w:pPr>
        <w:pStyle w:val="ListBullet"/>
      </w:pPr>
      <w:r>
        <w:t>Sirop 0,2 mg/mL avec pipette graduée en kg (INPHADIUM) : forme pédiatrique de précision, adaptée au poids de l'enfant à partir de 2 ans sous prescription médicale stricte. Indispensable pour la sécurité d'utilisation en pédiatrie.</w:t>
      </w:r>
    </w:p>
    <w:p>
      <w:pPr>
        <w:pStyle w:val="ListBullet"/>
      </w:pPr>
      <w:r>
        <w:t>Forme association lopéramide + siméticone (Adiqrix Duo 2/125 mg) : association intéressante pour la diarrhée aiguë avec météorisme et ballonnements associés. Le siméticone (anti-météorique) détruit les bulles de gaz intestinal.</w:t>
      </w:r>
    </w:p>
    <w:p>
      <w:pPr>
        <w:pStyle w:val="ListBullet"/>
      </w:pPr>
      <w:r>
        <w:t>Pas de forme suppositoire ou injectable.</w:t>
      </w:r>
    </w:p>
    <w:p>
      <w:r/>
      <w:r>
        <w:rPr>
          <w:b/>
        </w:rPr>
        <w:t>Instructions et Conseils au Patient :</w:t>
      </w:r>
      <w:r/>
    </w:p>
    <w:p>
      <w:pPr>
        <w:pStyle w:val="ListBullet"/>
      </w:pPr>
      <w:r>
        <w:t>Communication au comptoir : "Le lopéramide est un anti-diarrhéique ralentisseur du transit. Prenez 2 gélules (4 mg) dès la première selle liquide, puis 1 gélule après chaque selle liquide suivante. Ne dépassez pas 8 gélules par jour (16 mg). Buvez abondamment (eau, bouillon salé, soluté de réhydratation orale) pour compenser la perte d'eau. Ne l'utilisez pas plus de 48 heures sans consulter un médecin. Ne l'utilisez PAS si vous avez de la fièvre ou du sang dans les selles (consultez un médecin). Ne l'utilisez PAS chez un enfant de moins de 2 ans (risque vital). Si vous prenez certains médicaments (traitements contre le VIH, antifongiques, certains antibiotiques), prévenez votre médecin avant de prendre du lopéramide."</w:t>
      </w:r>
    </w:p>
    <w:p>
      <w:pPr>
        <w:pStyle w:val="ListBullet"/>
      </w:pPr>
      <w:r>
        <w:t>Mode d'utilisation pratique : Prendre les gélules avec un verre d'eau. Conserver la plaquette sur soi pour pouvoir prendre rapidement après chaque selle liquide. Tenir un compte des prises pour ne pas dépasser 16 mg/j. Pour le sirop pédiatrique : utiliser la pipette graduée en kg, administrer avec précision selon le poids.</w:t>
      </w:r>
    </w:p>
    <w:p>
      <w:r/>
      <w:r>
        <w:rPr>
          <w:b/>
        </w:rPr>
        <w:t>Notes, Règles d'Or &amp; Pièges au Comptoir :</w:t>
      </w:r>
      <w:r/>
    </w:p>
    <w:p>
      <w:pPr>
        <w:pStyle w:val="ListBullet"/>
      </w:pPr>
      <w:r>
        <w:t>Piège classique : (i) Enfant &lt; 2 ans — contre-indication absolue, risque de mortalité (iléus paralytique, mégacôlon toxique). À l'origine de retraits d'AMM pédiatriques dans plusieurs pays. (ii) Diarrhée fébrile ou sanglante — ne pas ralentir le transit, rechercher la cause (consultation médicale). (iii) Colite à *C. difficile* sous antibiotique — contre-indication absolue (mégacôlon toxique, colectomie urgente). (iv) Association avec inhibiteurs de la P-gp — risque de toxicité centrale et cardiaque (QT long, torsades de pointes). (v) Insuffisance hépatique — risque d'accumulation, dose réduite. (vi) Patient sous AVK — surveillance INR. (vii) Allaitement — contre-indiqué. (viii) Usage récréatif à très forte dose (avec inhibiteur de P-gp) — décrit à l'international, toxicité cardiaque et neurologique.</w:t>
      </w:r>
    </w:p>
    <w:p>
      <w:pPr>
        <w:pStyle w:val="ListBullet"/>
      </w:pPr>
      <w:r>
        <w:t>Règle de prise : 2 gélules (4 mg) initiales + 1 gélule (2 mg) après chaque selle liquide, maximum 16 mg/j, maximum 48 heures sans avis médical. Hydratation associée obligatoire (SRO).</w:t>
      </w:r>
    </w:p>
    <w:p>
      <w:pPr>
        <w:pStyle w:val="ListBullet"/>
      </w:pPr>
      <w:r>
        <w:t>Préparation et Conservation : Gélules à température ≤ 25 °C, à l'abri de l'humidité. Sirop à conserver après ouverture selon RCP (généralement ≤ 25 °C, durée variable selon spécialité).</w:t>
      </w:r>
    </w:p>
    <w:p>
      <w:pPr>
        <w:pStyle w:val="ListBullet"/>
      </w:pPr>
      <w:r>
        <w:t>Piège du surdosage / Substitution : En cas de surdosage : dépression respiratoire, sédation, allongement du QT, torsades de pointes. Antidote : naloxone IV (antagoniste μ). Surveillance hospitalière (réanimation). En pédiatrie, la diosmectite et le racecadotril sont les alternatives à préférer.</w:t>
      </w:r>
    </w:p>
    <w:p>
      <w:pPr>
        <w:pStyle w:val="Heading3"/>
      </w:pPr>
      <w:r>
        <w:t>9. DCI : Racecadotril (Seule)</w:t>
      </w:r>
    </w:p>
    <w:p>
      <w:r/>
      <w:r>
        <w:rPr>
          <w:b/>
        </w:rPr>
        <w:t>Liste des Catégories :</w:t>
      </w:r>
      <w:r>
        <w:t xml:space="preserve"> Anti-diarrhéique - Inhibiteur de l'enképhalinase ; Anti-sécrétoire intestinal pur ; Liste I (nourrisson et enfant), Liste II (adulte).</w:t>
      </w:r>
    </w:p>
    <w:p>
      <w:r>
        <w:t xml:space="preserve">Le racecadotril (acétorphan, N-(R,S)-acétyl-3-mercapto-propionyl-phenylalanine benzyl ester) est un anti-diarrhéique de la classe des inhibiteurs de l'enképhalinase, classe originale développée en France par les laboratoires Bioprojet dans les années 1990 pour répondre aux limites du lopéramide (ralentissement du transit, risque d'iléus paralytique, contre-indications pédiatriques). Le racecadotril est une prodrogue inactive, rapidement hydrolysée par les peptidases systémiques (dipeptidyl peptidase, aminopeptidases) en thiorphan, métabolite actif. Le thiorphan inhibe spécifiquement et de manière réversible l'enképhalinase (néprilysine, EC 3.4.24.11), métallopeptidase zinc-dépendante présente à la surface des entérocytes, qui dégrade les enképhalines endogènes (pentapeptides Tyr-Gly-Gly-Phe-Met/Leu, neuropeptides opioïdes endogènes). L'inhibition de l'enképhalinase augmente la concentration locale des enképhalines dans la paroi intestinale, qui activent les récepteurs opioïdes δ des entérocytes. Cette activation, par inhibition de l'adénylate cyclase et de la PKA, diminue la sécrétion intestinale de Cl⁻ et d'eau induite par la toxine cholérique, la toxine thermolabile de </w:t>
      </w:r>
      <w:r>
        <w:rPr>
          <w:i/>
        </w:rPr>
        <w:t>E. coli</w:t>
      </w:r>
      <w:r>
        <w:t xml:space="preserve">, les prostaglandines et les VIP. Le racecadotril est donc un </w:t>
      </w:r>
      <w:r>
        <w:rPr>
          <w:b/>
        </w:rPr>
        <w:t>anti-sécrétoire pur</w:t>
      </w:r>
      <w:r>
        <w:t xml:space="preserve"> : il réduit le volume des selles liquides sans modifier la motilité intestinale (pas d'iléus, pas de constipation, pas de mégacôlon), ce qui en fait la molécule de choix chez le nourrisson et l'enfant. Le thiorphan ne traverse pas la barrière hémato-encéphalique (effet périphérique pur, pas de sédation, pas de dépendance). Biodisponibilité orale ~ 25-30 %. Pic plasmatique à 1 heure. Demi-vie : 3 heures. Délai d'action : 30 à 60 minutes.</w:t>
      </w:r>
    </w:p>
    <w:p>
      <w:r/>
      <w:r>
        <w:rPr>
          <w:b/>
        </w:rPr>
        <w:t>Médicaments disponibles en Algérie (Marques, Laboratoires, Formes et Dosages) :</w:t>
      </w:r>
      <w:r/>
    </w:p>
    <w:p>
      <w:r/>
      <w:r>
        <w:rPr>
          <w:i/>
        </w:rPr>
        <w:t>Racecadotril nourrisson (10 mg) - Liste I :</w:t>
      </w:r>
      <w:r/>
    </w:p>
    <w:p>
      <w:pPr>
        <w:pStyle w:val="ListBullet"/>
      </w:pPr>
      <w:r/>
      <w:r>
        <w:rPr>
          <w:b/>
        </w:rPr>
        <w:t>CELOFON NOURRISSONS</w:t>
      </w:r>
      <w:r>
        <w:t xml:space="preserve"> (LABORATOIRES MERINAL) – Poudre orale en sachet-dose 10 mg ; boîte de 16.</w:t>
      </w:r>
    </w:p>
    <w:p>
      <w:pPr>
        <w:pStyle w:val="ListBullet"/>
      </w:pPr>
      <w:r/>
      <w:r>
        <w:rPr>
          <w:b/>
        </w:rPr>
        <w:t>DIACARE NOURRISSON</w:t>
      </w:r>
      <w:r>
        <w:t xml:space="preserve"> (BIOCARE) – Poudre orale en sachet-dose 10 mg ; boîte de 16.</w:t>
      </w:r>
    </w:p>
    <w:p>
      <w:pPr>
        <w:pStyle w:val="ListBullet"/>
      </w:pPr>
      <w:r/>
      <w:r>
        <w:rPr>
          <w:b/>
        </w:rPr>
        <w:t>DIARFIL NOURRISSON</w:t>
      </w:r>
      <w:r>
        <w:t xml:space="preserve"> (FRATER-RAZES FORME SECHE) – Poudre orale en sachet-dose 10 mg ; boîte de 16.</w:t>
      </w:r>
    </w:p>
    <w:p>
      <w:pPr>
        <w:pStyle w:val="ListBullet"/>
      </w:pPr>
      <w:r/>
      <w:r>
        <w:rPr>
          <w:b/>
        </w:rPr>
        <w:t>DOCATRIL NOURRISSON</w:t>
      </w:r>
      <w:r>
        <w:t xml:space="preserve"> (BIOGALENIC) – Poudre orale en sachet-dose 10 mg ; boîte de 16.</w:t>
      </w:r>
    </w:p>
    <w:p>
      <w:pPr>
        <w:pStyle w:val="ListBullet"/>
      </w:pPr>
      <w:r/>
      <w:r>
        <w:rPr>
          <w:b/>
        </w:rPr>
        <w:t>TIOPAM NOURRISSONS</w:t>
      </w:r>
      <w:r>
        <w:t xml:space="preserve"> (BIOPHARM) – Poudre orale en sachet-dose 10 mg ; boîte de 16.</w:t>
      </w:r>
    </w:p>
    <w:p>
      <w:pPr>
        <w:pStyle w:val="ListBullet"/>
      </w:pPr>
      <w:r/>
      <w:r>
        <w:rPr>
          <w:b/>
        </w:rPr>
        <w:t>TIOTRIL NOURRISSON</w:t>
      </w:r>
      <w:r>
        <w:t xml:space="preserve"> (HUPP PHARMA) – Poudre orale en sachet-dose 10 mg ; boîte de 16.</w:t>
      </w:r>
    </w:p>
    <w:p>
      <w:r/>
      <w:r>
        <w:rPr>
          <w:i/>
        </w:rPr>
        <w:t>Racecadotril enfant (30 mg) - Liste I :</w:t>
      </w:r>
      <w:r/>
    </w:p>
    <w:p>
      <w:pPr>
        <w:pStyle w:val="ListBullet"/>
      </w:pPr>
      <w:r/>
      <w:r>
        <w:rPr>
          <w:b/>
        </w:rPr>
        <w:t>CELOFON ENFANTS</w:t>
      </w:r>
      <w:r>
        <w:t xml:space="preserve"> (LABORATOIRES MERINAL) – Poudre orale en sachet-dose 30 mg ; boîte de 30.</w:t>
      </w:r>
    </w:p>
    <w:p>
      <w:pPr>
        <w:pStyle w:val="ListBullet"/>
      </w:pPr>
      <w:r/>
      <w:r>
        <w:rPr>
          <w:b/>
        </w:rPr>
        <w:t>DIACARE ENFANT</w:t>
      </w:r>
      <w:r>
        <w:t xml:space="preserve"> (BIOCARE) – Poudre orale en sachet-dose 30 mg ; boîte de 30.</w:t>
      </w:r>
    </w:p>
    <w:p>
      <w:pPr>
        <w:pStyle w:val="ListBullet"/>
      </w:pPr>
      <w:r/>
      <w:r>
        <w:rPr>
          <w:b/>
        </w:rPr>
        <w:t>DIARFIL ENFANT</w:t>
      </w:r>
      <w:r>
        <w:t xml:space="preserve"> (FRATER-RAZES FORME SECHE) – Poudre orale en sachet-dose 30 mg ; boîte de 30.</w:t>
      </w:r>
    </w:p>
    <w:p>
      <w:pPr>
        <w:pStyle w:val="ListBullet"/>
      </w:pPr>
      <w:r/>
      <w:r>
        <w:rPr>
          <w:b/>
        </w:rPr>
        <w:t>DOCATRIL ENFANT</w:t>
      </w:r>
      <w:r>
        <w:t xml:space="preserve"> (BIOGALENIC) – Poudre orale en sachet-dose 30 mg ; boîte de 30.</w:t>
      </w:r>
    </w:p>
    <w:p>
      <w:pPr>
        <w:pStyle w:val="ListBullet"/>
      </w:pPr>
      <w:r/>
      <w:r>
        <w:rPr>
          <w:b/>
        </w:rPr>
        <w:t>TIOPAM ENFANT</w:t>
      </w:r>
      <w:r>
        <w:t xml:space="preserve"> (BIOPHARM) – Poudre orale en sachet-dose 30 mg ; boîte de 30.</w:t>
      </w:r>
    </w:p>
    <w:p>
      <w:pPr>
        <w:pStyle w:val="ListBullet"/>
      </w:pPr>
      <w:r/>
      <w:r>
        <w:rPr>
          <w:b/>
        </w:rPr>
        <w:t>TIOTRIL ENFANT</w:t>
      </w:r>
      <w:r>
        <w:t xml:space="preserve"> (HUPP PHARMA) – Poudre orale en sachet-dose 30 mg ; boîte de 30.</w:t>
      </w:r>
    </w:p>
    <w:p>
      <w:r>
        <w:t>Spécialités non renouvelables (référence historique) :</w:t>
      </w:r>
    </w:p>
    <w:p>
      <w:pPr>
        <w:pStyle w:val="ListBullet"/>
      </w:pPr>
      <w:r/>
      <w:r>
        <w:rPr>
          <w:b/>
        </w:rPr>
        <w:t>TIORFAN NOURRISSON</w:t>
      </w:r>
      <w:r>
        <w:t xml:space="preserve"> (BIOPROJET PHARMA) – Poudre orale 10 mg/sachet ; boîte de 16. Liste I. Princeps historique. Statut : Non renouvelable.</w:t>
      </w:r>
    </w:p>
    <w:p>
      <w:pPr>
        <w:pStyle w:val="ListBullet"/>
      </w:pPr>
      <w:r/>
      <w:r>
        <w:rPr>
          <w:b/>
        </w:rPr>
        <w:t>TIORFAN ENFANT</w:t>
      </w:r>
      <w:r>
        <w:t xml:space="preserve"> (BIOPROJET PHARMA) – Poudre orale 30 mg/sachet ; boîte de 30. Liste I. Statut : Non renouvelable.</w:t>
      </w:r>
    </w:p>
    <w:p>
      <w:pPr>
        <w:pStyle w:val="ListBullet"/>
      </w:pPr>
      <w:r/>
      <w:r>
        <w:rPr>
          <w:b/>
        </w:rPr>
        <w:t>TIORFAN ADULTE</w:t>
      </w:r>
      <w:r>
        <w:t xml:space="preserve"> (BIOPROJET PHARMA) – Gélule 100 mg ; boîte de 20. Liste II. Statut : Non renouvelable.</w:t>
      </w:r>
    </w:p>
    <w:p>
      <w:r/>
      <w:r>
        <w:rPr>
          <w:b/>
        </w:rPr>
        <w:t>Sous-classe et Mécanisme d'action :</w:t>
      </w:r>
      <w:r/>
    </w:p>
    <w:p>
      <w:pPr>
        <w:pStyle w:val="ListBullet"/>
      </w:pPr>
      <w:r>
        <w:t>Sous-classe : Anti-diarrhéique inhibiteur de l'enképhalinase (néprilysine), anti-sécrétoire intestinal pur. Classe originale, alternative au lopéramide chez le nourrisson et l'enfant (à partir de 3 mois) en raison de l'absence de ralentissement du transit et de risque d'iléus. Prescription obligatoire (Liste I en pédiatrie, Liste II chez l'adulte).</w:t>
      </w:r>
    </w:p>
    <w:p>
      <w:pPr>
        <w:pStyle w:val="ListBullet"/>
      </w:pPr>
      <w:r>
        <w:t>Mécanisme d'action : Le racecadotril est une prodrogue rapidement hydrolysée en thiorphan par les peptidases plasmatiques et hépatiques. Le thiorphan inhibe spécifiquement et réversiblement l'enképhalinase (néprilysine, EC 3.4.24.11), métallopeptidase zinc-dépendante exprimée à la surface des entérocytes (bordure en brosse) et du système nerveux entérique. Cette enzyme dégrade les enképhalines endogènes (pentapeptides opioïdes endogènes Met-enképhaline et Leu-enképhaline) qui activent les récepteurs opioïdes δ (DOR) des entérocytes. L'inhibition de l'enképhalinase augmente la demi-vie et la concentration locale des enképhalines dans la paroi intestinale, ce qui : (i) active les récepteurs δ des entérocytes via la protéine Gi/o ; (ii) inhibe l'adénylate cyclase, diminue l'AMPc intracellulaire et la PKA ; (iii) diminue la phosphorylation et l'ouverture des canaux CFTR (chlorure) ; (iv) réduit la sécrétion active de Cl⁻ et d'eau induite par les entérotoxines bactériennes (toxine cholérique de *Vibrio cholerae*, toxine thermolabile de *E. coli*, toxine de *Bacillus cereus*), les prostaglandines E₂ et le VIP (vasoactive intestinal peptide). Le racecadotril n'agit pas sur la motilité intestinale (pas de ralentissement, pas d'iléus), ce qui le distingue fondamentalement du lopéramide. Le thiorphan ne traverse pas la BHE (effet strictement périphérique), expliquant l'absence d'effets centraux (pas de sédation, pas de dépression respiratoire, pas de dépendance, pas d'allongement du QT).</w:t>
      </w:r>
    </w:p>
    <w:p>
      <w:r/>
      <w:r>
        <w:rPr>
          <w:b/>
        </w:rPr>
        <w:t>Profil Pharmacologique :</w:t>
      </w:r>
      <w:r/>
    </w:p>
    <w:p>
      <w:pPr>
        <w:pStyle w:val="ListBullet"/>
      </w:pPr>
      <w:r>
        <w:t>Indications : (1) Diarrhée aiguë du nourrisson (à partir de 3 mois) et de l'enfant, en complément de la réhydratation orale ; (2) Diarrhée aiguë de l'adulte, en complément de la réhydratation orale (forme adulte à 100 mg historiquement disponible) ; (3) Indication pédiatrique privilégiée car absence de risque d'iléus paralytique et de mégacôlon toxique.</w:t>
      </w:r>
    </w:p>
    <w:p>
      <w:pPr>
        <w:pStyle w:val="ListBullet"/>
      </w:pPr>
      <w:r>
        <w:t>Contre-indications : (i) Hypersensibilité au racecadotril ; (ii) Nourrisson de moins de 3 mois (insuffisance de données) ; (iii) Diarrhée avec fièvre et/ou sang dans les selles (à traiter médicalement, antibiothérapie si nécessaire) ; (iv) Diarrhée à *Clostridium difficile* sous antibiotique (préférer arrêt de l'antibiotique + métronidazole ou vancomycine) ; (v) Insuffisance rénale ou hépatique sévère ; (vi) Allaitement (données limitées, préférer diosmectite) ; (vii) Intolérance au fructose (sachets contenant du saccharose ou fructose selon spécialités).</w:t>
      </w:r>
    </w:p>
    <w:p>
      <w:pPr>
        <w:pStyle w:val="ListBullet"/>
      </w:pPr>
      <w:r>
        <w:t>Effets Indésirables : (i) Très bons profil de tolérance global ; (ii) Éruption cutanée, prurit, urticaire (rares, &lt; 1 %) ; (iii) Réactions d'hypersensibilité (angio-œdème exceptionnel) ; (iv) Maux de tête occasionnels ; (v) Constipation (rare, transitoire) ; (vi) Élévation modérée et réversible des transaminases (très rare) ; (vii) À signaler : pas d'iléus paralytique, pas de mégacôlon toxique, pas d'effet central, pas de dépression respiratoire, pas de dépendance. Le racecadotril est l'anti-diarrhéique de meilleure tolérance en pédiatrie.</w:t>
      </w:r>
    </w:p>
    <w:p>
      <w:r/>
      <w:r>
        <w:rPr>
          <w:b/>
        </w:rPr>
        <w:t>Prévention et Gestion des Effets Indésirables :</w:t>
      </w:r>
      <w:r/>
    </w:p>
    <w:p>
      <w:pPr>
        <w:pStyle w:val="ListBullet"/>
      </w:pPr>
      <w:r>
        <w:t>Mesures Préventives : (i) Toujours associer à la réhydratation orale (SRO) selon les recommandations OMS et HAS — le racecadotril ne remplace pas la réhydratation ; (ii) Respecter la posologie en fonction du poids (1,5 mg/kg par prise) ; (iii) Ne pas prolonger au-delà de 7 jours sans avis médical ; (iv) Surveillance du poids, de la diurèse, de l'état d'hydratation (signes de déshydratation : bouche sèche, larmes absentes, yeux creux, pli cutané, somnolence) ; (v) Vérifier l'absence de fièvre et de sang dans les selles avant prescription ; (vi) Préférence pour la forme en sachet 10 mg chez le nourrisson et 30 mg chez l'enfant.</w:t>
      </w:r>
    </w:p>
    <w:p>
      <w:pPr>
        <w:pStyle w:val="ListBullet"/>
      </w:pPr>
      <w:r>
        <w:t>Conduite à Tenir : (i) Si diarrhée persistant au-delà de 7 jours : arrêt, consultation médicale (recherche d'étiologie, coproculture) ; (ii) Si signes de déshydratation sévère : hospitalisation, réhydratation IV ; (iii) Si fièvre, sang dans les selles, ou état général altéré : arrêt, consultation urgente ; (iv) Si réaction allergique : arrêt définitif.</w:t>
      </w:r>
    </w:p>
    <w:p>
      <w:r/>
      <w:r>
        <w:rPr>
          <w:b/>
        </w:rPr>
        <w:t>Interactions Importantes :</w:t>
      </w:r>
      <w:r/>
    </w:p>
    <w:p>
      <w:pPr>
        <w:pStyle w:val="ListBullet"/>
      </w:pPr>
      <w:r>
        <w:t>Racecadotril + Inhibiteurs de l'enzyme de conversion (IEC) : risque théorique d'addition d'effets sur le système rénine-angiotensine (la néprilysine dégrade également les peptides vasodilatateurs comme le peptide natriurétique auriculaire) — surveillance de la tension artérielle en usage prolongé.</w:t>
      </w:r>
    </w:p>
    <w:p>
      <w:pPr>
        <w:pStyle w:val="ListBullet"/>
      </w:pPr>
      <w:r>
        <w:t>Racecadotril + Antihypertenseurs, diurétiques : surveillance tension artérielle.</w:t>
      </w:r>
    </w:p>
    <w:p>
      <w:pPr>
        <w:pStyle w:val="ListBullet"/>
      </w:pPr>
      <w:r>
        <w:t>Racecadotril + autres anti-diarrhéiques (lopéramide) : association déconseillée (l'association avec un ralentisseur du transit majore le risque d'iléus paralytique).</w:t>
      </w:r>
    </w:p>
    <w:p>
      <w:pPr>
        <w:pStyle w:val="ListBullet"/>
      </w:pPr>
      <w:r>
        <w:t>Racecadotril + Soluté de Réhydratation Orale (SRO) : association SYSTÉMATIQUE et OBLIGATOIRE (selon OMS et HAS). Le SRO compense les pertes hydrosodées, le racecadotril réduit la sécrétion intestinale.</w:t>
      </w:r>
    </w:p>
    <w:p>
      <w:pPr>
        <w:pStyle w:val="ListBullet"/>
      </w:pPr>
      <w:r>
        <w:t>Racecadotril + Antibiotiques (azithromycine, métronidazole) : pas d'interaction significative, association possible dans la diarrhée invasive sous surveillance.</w:t>
      </w:r>
    </w:p>
    <w:p>
      <w:r/>
      <w:r>
        <w:rPr>
          <w:b/>
        </w:rPr>
        <w:t>Grossesse et Allaitement :</w:t>
      </w:r>
      <w:r/>
    </w:p>
    <w:p>
      <w:pPr>
        <w:pStyle w:val="ListBullet"/>
      </w:pPr>
      <w:r>
        <w:t>Grossesse : À éviter par prudence au 1er trimestre (données animales limitées). Utilisation ponctuelle possible aux 2ème et 3ème trimestres sous avis médical, en cas de diarrhée aiguë réfractaire à la réhydratation et à la diosmectite. Préférer la diosmectite en première intention pendant la grossesse.</w:t>
      </w:r>
    </w:p>
    <w:p>
      <w:pPr>
        <w:pStyle w:val="ListBullet"/>
      </w:pPr>
      <w:r>
        <w:t>Allaitement : À éviter par prudence, données limitées. Préférer la diosmectite.</w:t>
      </w:r>
    </w:p>
    <w:p>
      <w:pPr>
        <w:pStyle w:val="ListBullet"/>
      </w:pPr>
      <w:r>
        <w:t>Précisions : La HAS et le CRAT recommandent en première intention la réhydratation orale (SRO) et la diosmectite pendant la grossesse et l'allaitement. Le racecadotril reste une option de seconde ligne chez la femme enceinte présentant une diarrhée aiguë sévère.</w:t>
      </w:r>
    </w:p>
    <w:p>
      <w:r/>
      <w:r>
        <w:rPr>
          <w:b/>
        </w:rPr>
        <w:t>Posologie et Mode d'administration (Standard) :</w:t>
      </w:r>
      <w:r/>
    </w:p>
    <w:p>
      <w:pPr>
        <w:pStyle w:val="ListBullet"/>
      </w:pPr>
      <w:r>
        <w:t>Nourrisson à partir de 3 mois et enfant &lt; 9 kg : 1 sachet 10 mg par prise (soit ~1,5 mg/kg).</w:t>
      </w:r>
    </w:p>
    <w:p>
      <w:pPr>
        <w:pStyle w:val="ListBullet"/>
      </w:pPr>
      <w:r>
        <w:t>Enfant de 9 à 13 kg : 2 sachets 10 mg par prise.</w:t>
      </w:r>
    </w:p>
    <w:p>
      <w:pPr>
        <w:pStyle w:val="ListBullet"/>
      </w:pPr>
      <w:r>
        <w:t>Enfant de 13 à 27 kg : 1 sachet 30 mg par prise.</w:t>
      </w:r>
    </w:p>
    <w:p>
      <w:pPr>
        <w:pStyle w:val="ListBullet"/>
      </w:pPr>
      <w:r>
        <w:t>Enfant &gt; 27 kg et adulte : 2 sachets 30 mg ou 1 gélule 100 mg (forme adulte) par prise initiale.</w:t>
      </w:r>
    </w:p>
    <w:p>
      <w:pPr>
        <w:pStyle w:val="ListBullet"/>
      </w:pPr>
      <w:r>
        <w:t>Rythme : 1 prise avant chaque selle liquide, espacées d'au moins 6 heures, jusqu'à un maximum de 3 prises par jour chez le nourrisson et 4 prises par jour chez l'enfant et l'adulte.</w:t>
      </w:r>
    </w:p>
    <w:p>
      <w:pPr>
        <w:pStyle w:val="ListBullet"/>
      </w:pPr>
      <w:r>
        <w:t>Adulte (forme historique 100 mg) : 1 gélule 100 mg initiale, puis 1 gélule avant chaque selle liquide, maximum 3 à 4 gélules/jour.</w:t>
      </w:r>
    </w:p>
    <w:p>
      <w:pPr>
        <w:pStyle w:val="ListBullet"/>
      </w:pPr>
      <w:r>
        <w:t>Durée : maximum 7 jours. En cas de persistance au-delà de 7 jours, consultation médicale.</w:t>
      </w:r>
    </w:p>
    <w:p>
      <w:pPr>
        <w:pStyle w:val="ListBullet"/>
      </w:pPr>
      <w:r>
        <w:t>Moment de prise : à distance des repas de préférence, mais peut être pris à n'importe quel moment.</w:t>
      </w:r>
    </w:p>
    <w:p>
      <w:r/>
      <w:r>
        <w:rPr>
          <w:b/>
        </w:rPr>
        <w:t>Arbitrage et Bénéfices des Formes Galéniques :</w:t>
      </w:r>
      <w:r/>
    </w:p>
    <w:p>
      <w:pPr>
        <w:pStyle w:val="ListBullet"/>
      </w:pPr>
      <w:r>
        <w:t>Sachets 10 mg (nourrisson) : dosage précis pour les jeunes enfants, poudre à reconstituer dans l'eau, le lait ou la compote. Adapté au poids.</w:t>
      </w:r>
    </w:p>
    <w:p>
      <w:pPr>
        <w:pStyle w:val="ListBullet"/>
      </w:pPr>
      <w:r>
        <w:t>Sachets 30 mg (enfant) : pour les enfants &gt; 13 kg et adultes. Forme la plus prescrite en pédiatrie.</w:t>
      </w:r>
    </w:p>
    <w:p>
      <w:pPr>
        <w:pStyle w:val="ListBullet"/>
      </w:pPr>
      <w:r>
        <w:t>Gélules 100 mg (adulte) : dosage adulte, pratique. Forme non renouvelable actuellement en Algérie (Tiorfan adulte retiré), mais les sachets 30 mg × 3 (90 mg) peuvent s'utiliser chez l'adulte.</w:t>
      </w:r>
    </w:p>
    <w:p>
      <w:pPr>
        <w:pStyle w:val="ListBullet"/>
      </w:pPr>
      <w:r>
        <w:t>La forme en sachet permet une administration facile chez le nourrisson (mélangé au biberon) et l'enfant (dans l'eau ou le yaourt).</w:t>
      </w:r>
    </w:p>
    <w:p>
      <w:r/>
      <w:r>
        <w:rPr>
          <w:b/>
        </w:rPr>
        <w:t>Instructions et Conseils au Patient :</w:t>
      </w:r>
      <w:r/>
    </w:p>
    <w:p>
      <w:pPr>
        <w:pStyle w:val="ListBullet"/>
      </w:pPr>
      <w:r>
        <w:t>Communication au comptoir : "Le racecadotril est un anti-diarrhéique qui diminue la sécrétion d'eau dans l'intestin, sans ralentir le transit (contrairement au lopéramide). Il est particulièrement adapté au nourrisson et à l'enfant. Donnez 1 sachet avant chaque selle liquide, espacées d'au moins 6 heures, sans dépasser 3 prises par jour. Associez TOUJOURS le SRO (soluté de réhydratation orale) pour compenser la perte d'eau. Donnez à boire souvent, par petites quantités. Si la diarrhée persiste au-delà de 7 jours, ou si votre enfant a de la fièvre, du sang dans les selles, ou est très abattu, consultez en urgence un médecin. Préférez cette forme au lopéramide chez l'enfant de moins de 12 ans (le lopéramide est dangereux chez l'enfant)."</w:t>
      </w:r>
    </w:p>
    <w:p>
      <w:pPr>
        <w:pStyle w:val="ListBullet"/>
      </w:pPr>
      <w:r>
        <w:t>Mode d'utilisation pratique : Dissoudre le sachet dans un biberon d'eau, de lait, ou dans une petite quantité de compote. Administrer immédiatement. Conserver le sachet au sec, à température ambiante. Tenir un journal des selles pour adapter la dose.</w:t>
      </w:r>
    </w:p>
    <w:p>
      <w:r/>
      <w:r>
        <w:rPr>
          <w:b/>
        </w:rPr>
        <w:t>Notes, Règles d'Or &amp; Pièges au Comptoir :</w:t>
      </w:r>
      <w:r/>
    </w:p>
    <w:p>
      <w:pPr>
        <w:pStyle w:val="ListBullet"/>
      </w:pPr>
      <w:r>
        <w:t>Piège classique : (i) Oubli de la réhydratation orale associée — le racecadotril ne se substitue pas au SRO, surtout chez le nourrisson (risque de déshydratation). (ii) Nourrisson de moins de 3 mois — contre-indication. (iii) Diarrhée fébrile ou sanglante — ne pas traiter uniquement par anti-diarrhéique, consulter. (iv) Prolongation au-delà de 7 jours — rechercher une cause (coproculture, parasitologie). (v) Patient sous IEC — surveillance tension artérielle en cas d'usage prolongé. (vi) Allaitement — éviter.</w:t>
      </w:r>
    </w:p>
    <w:p>
      <w:pPr>
        <w:pStyle w:val="ListBullet"/>
      </w:pPr>
      <w:r>
        <w:t>Règle de prise : 1 sachet avant chaque selle liquide (espacement 6 h), max 3/jour nourrisson et 4/jour enfant, association SRO obligatoire, durée max 7 jours.</w:t>
      </w:r>
    </w:p>
    <w:p>
      <w:pPr>
        <w:pStyle w:val="ListBullet"/>
      </w:pPr>
      <w:r>
        <w:t>Préparation et Conservation : Sachets au sec, à température ≤ 25 °C, à l'abri de la lumière. Poudre à reconstituer immédiatement avant administration.</w:t>
      </w:r>
    </w:p>
    <w:p>
      <w:pPr>
        <w:pStyle w:val="ListBullet"/>
      </w:pPr>
      <w:r>
        <w:t>Piège du surdosage / Substitution : En cas de surdosage : rare (profil de tolérance excellent), mais surveillance en cas d'ingestion massive (transaminases, état d'hydratation). Substitution possible par diosmectite (pansement intestinal) en première intention ou en relais.</w:t>
      </w:r>
    </w:p>
    <w:p>
      <w:pPr>
        <w:pStyle w:val="Heading3"/>
      </w:pPr>
      <w:r>
        <w:t>10. DCI : Diosmectite (Smecta) (Seule)</w:t>
      </w:r>
    </w:p>
    <w:p>
      <w:r/>
      <w:r>
        <w:rPr>
          <w:b/>
        </w:rPr>
        <w:t>Liste des Catégories :</w:t>
      </w:r>
      <w:r>
        <w:t xml:space="preserve"> Anti-diarrhéique - Pansement intestinal (argile smectique) ; Adsorbant intestinal ; Protecteur de la muqueuse.</w:t>
      </w:r>
    </w:p>
    <w:p>
      <w:r>
        <w:t xml:space="preserve">La diosmectite (connue sous le nom commercial historique de Smecta, Mayoly Spindler) est une argile smectique silico-alumineuse purifiée d'origine naturelle, extraite de gisements de montmorillonite (type de smectite). Elle appartient à la famille des phyllosilicates, constituée d'une structure lamellaire en feuillets : une feuille centrale octaédrique d'oxydes de magnésium et d'aluminium prise en sandwich entre deux feuilles tétraédriques de silice (SiO₄). Cette structure lamellaire confère à la diosmectite une surface spécifique très étendue (environ 370 m²/g) et une capacité d'adsorption élevée (jusqu'à 8 fois son poids en eau). La diosmectite n'est pas absorbée par la muqueuse intestinale (biodisponibilité systémique &lt; 1 %) et est excrétée intacte dans les selles. Elle exerce son effet thérapeutique par trois mécanismes complémentaires : (i) adsorption des toxines bactériennes (toxine cholérique de </w:t>
      </w:r>
      <w:r>
        <w:rPr>
          <w:i/>
        </w:rPr>
        <w:t>Vibrio cholerae</w:t>
      </w:r>
      <w:r>
        <w:t xml:space="preserve">, toxine thermolabile et thermostable de </w:t>
      </w:r>
      <w:r>
        <w:rPr>
          <w:i/>
        </w:rPr>
        <w:t>E. coli</w:t>
      </w:r>
      <w:r>
        <w:t xml:space="preserve">, toxine A et B de </w:t>
      </w:r>
      <w:r>
        <w:rPr>
          <w:i/>
        </w:rPr>
        <w:t>Clostridium difficile</w:t>
      </w:r>
      <w:r>
        <w:t>), des virus (rotavirus, norovirus, adénovirus, calicivirus) et des gaz intestinaux à sa surface ; (ii) adsorption de l'eau luminaire exsudée par la muqueuse enflammée (effet "pansement"), ce qui diminue le volume des selles liquides ; (iii) coating (enrobage) de la muqueuse intestinale par un film protecteur, renforçant la barrière muqueuse et l'adhésion des entérocytes par interaction avec le glycocalix et les mucines. La diosmectite est indiquée dans le traitement de la diarrhée aiguë et chronique, en complément de la réhydratation orale, chez l'adulte, l'enfant et le nourrisson. Délai d'action : 12 à 24 heures.</w:t>
      </w:r>
    </w:p>
    <w:p>
      <w:r/>
      <w:r>
        <w:rPr>
          <w:b/>
        </w:rPr>
        <w:t>Médicaments disponibles en Algérie (Marques, Laboratoires, Formes et Dosages) :</w:t>
      </w:r>
      <w:r/>
    </w:p>
    <w:p>
      <w:r/>
      <w:r>
        <w:rPr>
          <w:i/>
        </w:rPr>
        <w:t>Diosmectite 3 g en sachet-dose :</w:t>
      </w:r>
      <w:r/>
    </w:p>
    <w:p>
      <w:pPr>
        <w:pStyle w:val="ListBullet"/>
      </w:pPr>
      <w:r/>
      <w:r>
        <w:rPr>
          <w:b/>
        </w:rPr>
        <w:t>SMECTA FRAISE</w:t>
      </w:r>
      <w:r>
        <w:t xml:space="preserve"> (MAYOLY SPINDLER ALGERIE) – Poudre pour suspension buvable en sachet-dose 3 g ; boîte de 30 sachets. Princeps historique, goût fraise.</w:t>
      </w:r>
    </w:p>
    <w:p>
      <w:pPr>
        <w:pStyle w:val="ListBullet"/>
      </w:pPr>
      <w:r>
        <w:t>Statut : Actif.</w:t>
      </w:r>
    </w:p>
    <w:p>
      <w:pPr>
        <w:pStyle w:val="ListBullet"/>
      </w:pPr>
      <w:r/>
      <w:r>
        <w:rPr>
          <w:b/>
        </w:rPr>
        <w:t>SMECTA ORANGE-VANILLE</w:t>
      </w:r>
      <w:r>
        <w:t xml:space="preserve"> (MAYOLY SPINDLER ALGERIE) – Poudre pour suspension buvable en sachet-dose 3 g ; boîte de 30 sachets. Goût orange-vanille.</w:t>
      </w:r>
    </w:p>
    <w:p>
      <w:pPr>
        <w:pStyle w:val="ListBullet"/>
      </w:pPr>
      <w:r>
        <w:t>Statut : Actif.</w:t>
      </w:r>
    </w:p>
    <w:p>
      <w:pPr>
        <w:pStyle w:val="ListBullet"/>
      </w:pPr>
      <w:r/>
      <w:r>
        <w:rPr>
          <w:b/>
        </w:rPr>
        <w:t>DIOSMECTA</w:t>
      </w:r>
      <w:r>
        <w:t xml:space="preserve"> (HUPP PHARMA) – Poudre pour suspension buvable en sachet-dose 3 g ; boîte de 30 sachets.</w:t>
      </w:r>
    </w:p>
    <w:p>
      <w:pPr>
        <w:pStyle w:val="ListBullet"/>
      </w:pPr>
      <w:r>
        <w:t>Statut : Actif.</w:t>
      </w:r>
    </w:p>
    <w:p>
      <w:pPr>
        <w:pStyle w:val="ListBullet"/>
      </w:pPr>
      <w:r/>
      <w:r>
        <w:rPr>
          <w:b/>
        </w:rPr>
        <w:t>SMEDYL</w:t>
      </w:r>
      <w:r>
        <w:t xml:space="preserve"> (LABORATOIRES MERINAL) – Poudre pour suspension buvable en sachet-dose 3 g ; boîte de 30 sachets.</w:t>
      </w:r>
    </w:p>
    <w:p>
      <w:pPr>
        <w:pStyle w:val="ListBullet"/>
      </w:pPr>
      <w:r>
        <w:t>Statut : Actif.</w:t>
      </w:r>
    </w:p>
    <w:p>
      <w:pPr>
        <w:pStyle w:val="ListBullet"/>
      </w:pPr>
      <w:r/>
      <w:r>
        <w:rPr>
          <w:b/>
        </w:rPr>
        <w:t>DISMECT</w:t>
      </w:r>
      <w:r>
        <w:t xml:space="preserve"> (BIOPHARM) – Suspension buvable en sachet-dose 3 g ; boîte de 15 sachets.</w:t>
      </w:r>
    </w:p>
    <w:p>
      <w:pPr>
        <w:pStyle w:val="ListBullet"/>
      </w:pPr>
      <w:r>
        <w:t>Statut : Actif.</w:t>
      </w:r>
    </w:p>
    <w:p>
      <w:r/>
      <w:r>
        <w:rPr>
          <w:i/>
        </w:rPr>
        <w:t>Montmorillonite beidellitique (argile proche de la diosmectite) :</w:t>
      </w:r>
      <w:r/>
    </w:p>
    <w:p>
      <w:pPr>
        <w:pStyle w:val="ListBullet"/>
      </w:pPr>
      <w:r/>
      <w:r>
        <w:rPr>
          <w:b/>
        </w:rPr>
        <w:t>BEDELIX</w:t>
      </w:r>
      <w:r>
        <w:t xml:space="preserve"> (MAYOLY SPINDLER ALGERIE) – Poudre orale en sachet 3 g ; boîte de 30. La montmorillonite beidellitique est une argile smectique proche de la diosmectite.</w:t>
      </w:r>
    </w:p>
    <w:p>
      <w:pPr>
        <w:pStyle w:val="ListBullet"/>
      </w:pPr>
      <w:r>
        <w:t>Statut : Actif.</w:t>
      </w:r>
    </w:p>
    <w:p>
      <w:r>
        <w:t>Spécialités retirées (référence historique) :</w:t>
      </w:r>
    </w:p>
    <w:p>
      <w:pPr>
        <w:pStyle w:val="ListBullet"/>
      </w:pPr>
      <w:r/>
      <w:r>
        <w:rPr>
          <w:b/>
        </w:rPr>
        <w:t>GELOX</w:t>
      </w:r>
      <w:r>
        <w:t xml:space="preserve"> (BEAUFOUR) – Association montmorillonite beidellitique + hydroxyde d'aluminium et de magnésium (2,5 g/sachet) ; suspension buvable en sachet, boîte de 30. Statut : Retiré (R).</w:t>
      </w:r>
    </w:p>
    <w:p>
      <w:r/>
      <w:r>
        <w:rPr>
          <w:b/>
        </w:rPr>
        <w:t>Sous-classe et Mécanisme d'action :</w:t>
      </w:r>
      <w:r/>
    </w:p>
    <w:p>
      <w:pPr>
        <w:pStyle w:val="ListBullet"/>
      </w:pPr>
      <w:r>
        <w:t>Sous-classe : Anti-diarrhéique pansement intestinal de la classe des argiles (smectites). La diosmectite et la montmorillonite beidellitique appartiennent à la famille des phyllosilicates. Ces argiles ne sont pas absorbées et agissent par adsorption physique (coating) dans la lumière intestinale. Anti-diarrhéique de premier choix chez le nourrisson, l'enfant, la femme enceinte et la femme allaitante, en raison de son excellent profil de tolérance (pas d'effet systémique, pas de ralentissement du transit).</w:t>
      </w:r>
    </w:p>
    <w:p>
      <w:pPr>
        <w:pStyle w:val="ListBullet"/>
      </w:pPr>
      <w:r>
        <w:t>Mécanisme d'action : La diosmectite est une argile smectique silico-alumineuse de structure lamellaire en feuillets (une feuille octaédrique centrale d'oxydes Mg et Al entre deux feuilles tétraédriques de silice), ce qui lui confère une surface spécifique très étendue et une capacité d'adsorption élevée. Trois mécanismes d'action : (i) Adsorption des toxines bactériennes à la surface de l'argile (la diosmectite fixe la toxine cholérique de *V. cholerae*, les toxines LT et ST de *E. coli*, les toxines A et B de *C. difficile*, la toxine de *Staphylococcus aureus*, etc.) par liaisons hydrogène et interactions électrostatiques, empêchant leur fixation aux récepteurs entérocytaires ; (ii) Adsorption des virus (rotavirus, norovirus, adénovirus) responsables de gastro-entérites virales ; (iii) Adsorption de l'eau luminaire exsudée par la muqueuse enflammée, ce qui diminue le volume des selles liquides ; (iv) Coating (enrobage) de la muqueuse intestinale par un film protecteur qui interagit avec le glycocalix et les mucines, renforçant la barrière muqueuse et empêchant l'adhésion des pathogènes ; (v) Adsorption des gaz intestinaux (effet anti-météorique). La diosmectite n'est pas absorbée (biodisponibilité systémique &lt; 1 %) et est excrétée intacte dans les selles. Elle ne modifie pas la motilité intestinale (pas de ralentissement du transit, pas d'iléus), ne provoque pas de constipation majeure, et n'a pas d'effet central.</w:t>
      </w:r>
    </w:p>
    <w:p>
      <w:r/>
      <w:r>
        <w:rPr>
          <w:b/>
        </w:rPr>
        <w:t>Profil Pharmacologique :</w:t>
      </w:r>
      <w:r/>
    </w:p>
    <w:p>
      <w:pPr>
        <w:pStyle w:val="ListBullet"/>
      </w:pPr>
      <w:r>
        <w:t>Indications : (1) Diarrhée aiguë et chronique de l'adulte, en complément de la réhydratation orale ; (2) Diarrhée aiguë de l'enfant et du nourrisson, en complément de la réhydratation orale (SRO) — diosmectite est l'anti-diarrhéique de premier choix en pédiatrie selon la HAS ; (3) Diarrhée associée aux antibiotiques (prévention et traitement) ; (4) Colopathies fonctionnelles (BALL, météorisme) ; (5) Œsophagite peptique légère (effet protecteur muqueux) ; (6) Diarrhée de la femme enceinte et allaitante (laxatif de premier choix) ; (7) Diarrhée du voyageur ; (8) Suspecté ou confirmé : peut être associé au SRO dans la prise en charge de la diarrhée aiguë de l'enfant selon l'OMS. La diosmectite est compatible avec la grossesse et l'allaitement, sans restriction.</w:t>
      </w:r>
    </w:p>
    <w:p>
      <w:pPr>
        <w:pStyle w:val="ListBullet"/>
      </w:pPr>
      <w:r>
        <w:t>Contre-indications : (i) Hypersensibilité à la diosmectite ou aux argiles smectiques ; (ii) Syndrome occlusif, iléus paralytique ; (iii) Fécalome ; (iv) Diarrhée avec fièvre élevée et sang dans les selles (à traiter médicalement) ; (v) Intolérance au fructose, syndrome de malabsorption glucose-galactose, déficit en sucrase-isomaltase (pour les formes aromatisées contenant du saccharose/glucose selon spécialité) ; (vi) Enfant de moins de 2 ans : utilisation possible mais sous surveillance médicale (la HAS recommande le SRO en première intention).</w:t>
      </w:r>
    </w:p>
    <w:p>
      <w:pPr>
        <w:pStyle w:val="ListBullet"/>
      </w:pPr>
      <w:r>
        <w:t>Effets Indésirables : (i) Constipation (fréquente, dose-dépendante, régressive à la baisse de dose ou à l'arrêt) ; (ii) Ballonnements modérés ; (iii) Éruption cutanée, prurit, urticaire (rares) ; (iv) Réactions d'hypersensibilité (angio-œdème exceptionnel) ; (v) À très forte dose ou usage prolongé : risque théorique de carence en vitamines et médicaments adsorbés (espacer les prises). Profil de tolérance excellent, en particulier chez l'enfant et la femme enceinte. La diosmectite ne provoque ni iléus paralytique, ni mégacôlon, ni dépression respiratoire, ni effets centraux.</w:t>
      </w:r>
    </w:p>
    <w:p>
      <w:r/>
      <w:r>
        <w:rPr>
          <w:b/>
        </w:rPr>
        <w:t>Prévention et Gestion des Effets Indésirables :</w:t>
      </w:r>
      <w:r/>
    </w:p>
    <w:p>
      <w:pPr>
        <w:pStyle w:val="ListBullet"/>
      </w:pPr>
      <w:r>
        <w:t>Mesures Préventives : (i) Toujours associer à la réhydratation orale (SRO) chez le nourrisson et l'enfant — la diosmectite ne remplace pas la réhydratation ; (ii) Espacer d'au moins 2 heures la prise des médicaments oraux (effet d'adsorption) ; (iii) Adapter la dose chez l'enfant en fonction de l'âge ; (iv) Réduire la dose en cas de constipation apparue sous traitement ; (v) Ne pas prolonger au-delà de 7 jours sans avis médical.</w:t>
      </w:r>
    </w:p>
    <w:p>
      <w:pPr>
        <w:pStyle w:val="ListBullet"/>
      </w:pPr>
      <w:r>
        <w:t>Conduite à Tenir : (i) Constipation sévère : arrêt transitoire, puis reprise à dose réduite ; (ii) Diarrhée persistant &gt; 7 jours : arrêt, consultation médicale (recherche étiologique) ; (iii) Fièvre, sang dans les selles, déshydratation : consultation urgente.</w:t>
      </w:r>
    </w:p>
    <w:p>
      <w:r/>
      <w:r>
        <w:rPr>
          <w:b/>
        </w:rPr>
        <w:t>Interactions Importantes :</w:t>
      </w:r>
      <w:r/>
    </w:p>
    <w:p>
      <w:pPr>
        <w:pStyle w:val="ListBullet"/>
      </w:pPr>
      <w:r>
        <w:t>Diosmectite + tous médicaments oraux : adsorption non spécifique à la surface de l'argile, diminuant l'absorption des médicaments administrés simultanément. Espacer d'au moins 2 heures (idéalement 4 heures pour les médicaments à marge thérapeutique étroite). Particulièrement important pour : AVK (acénocoumarol, warfarine), digoxine, anticonvulsivants (phénytoïne, valproate), contraceptifs oraux, antirétroviraux, immunosuppresseurs (tacrolimus, ciclosporine), antibiotiques (quinolones, tétracyclines), hormones thyroïdiennes (lévothyroxine).</w:t>
      </w:r>
    </w:p>
    <w:p>
      <w:pPr>
        <w:pStyle w:val="ListBullet"/>
      </w:pPr>
      <w:r>
        <w:t>Diosmectite + Quinolones, tétracyclines : chélation par l'argile, baisse d'absorption. Espacer de 2 heures minimum.</w:t>
      </w:r>
    </w:p>
    <w:p>
      <w:pPr>
        <w:pStyle w:val="ListBullet"/>
      </w:pPr>
      <w:r>
        <w:t>Diosmectite + Anticoagulants oraux : surveillance INR.</w:t>
      </w:r>
    </w:p>
    <w:p>
      <w:pPr>
        <w:pStyle w:val="ListBullet"/>
      </w:pPr>
      <w:r>
        <w:t>Diosmectite + SRO : association SYSTÉMATIQUE et OBLIGATOIRE chez le nourrisson et l'enfant. Le SRO compense les pertes hydrosodées.</w:t>
      </w:r>
    </w:p>
    <w:p>
      <w:pPr>
        <w:pStyle w:val="ListBullet"/>
      </w:pPr>
      <w:r>
        <w:t>Diosmectite + autres anti-diarrhéiques (lopéramide, racecadotril) : association possible, sans interaction significative. La diosmectite est souvent associée au racecadotril chez l'enfant.</w:t>
      </w:r>
    </w:p>
    <w:p>
      <w:r/>
      <w:r>
        <w:rPr>
          <w:b/>
        </w:rPr>
        <w:t>Grossesse et Allaitement :</w:t>
      </w:r>
      <w:r/>
    </w:p>
    <w:p>
      <w:pPr>
        <w:pStyle w:val="ListBullet"/>
      </w:pPr>
      <w:r>
        <w:t>Grossesse : Compatible à tous les trimestres (CRAT). La diosmectite n'est pas absorbée et ne traverse pas le placenta. C'est, avec le SRO, l'anti-diarrhéique de premier choix pendant la grossesse, en raison de son profil de tolérance excellent. Posologie identique à l'adulte non enceinte.</w:t>
      </w:r>
    </w:p>
    <w:p>
      <w:pPr>
        <w:pStyle w:val="ListBullet"/>
      </w:pPr>
      <w:r>
        <w:t>Allaitement : Compatible. La diosmectite n'est pas excrétée dans le lait maternel (non absorbée). Sans risque pour le nourrisson allaité.</w:t>
      </w:r>
    </w:p>
    <w:p>
      <w:pPr>
        <w:pStyle w:val="ListBullet"/>
      </w:pPr>
      <w:r>
        <w:t>Précisions : La diosmectite et le SRO constituent le traitement de premier choix de la diarrhée aiguë de la femme enceinte et allaitante. Le racecadotril est une alternative de seconde ligne.</w:t>
      </w:r>
    </w:p>
    <w:p>
      <w:r/>
      <w:r>
        <w:rPr>
          <w:b/>
        </w:rPr>
        <w:t>Posologie et Mode d'administration (Standard) :</w:t>
      </w:r>
      <w:r/>
    </w:p>
    <w:p>
      <w:pPr>
        <w:pStyle w:val="ListBullet"/>
      </w:pPr>
      <w:r>
        <w:t>Adulte : 3 sachets par jour, en 3 prises (soit 9 g/jour de diosmectite). Dissoudre chaque sachet dans un demi-verre d'eau.</w:t>
      </w:r>
    </w:p>
    <w:p>
      <w:pPr>
        <w:pStyle w:val="ListBullet"/>
      </w:pPr>
      <w:r>
        <w:t>Enfant à partir de 2 ans : 2 à 3 sachets par jour, en 2 à 3 prises.</w:t>
      </w:r>
    </w:p>
    <w:p>
      <w:pPr>
        <w:pStyle w:val="ListBullet"/>
      </w:pPr>
      <w:r>
        <w:t>Nourrisson de moins de 2 ans : sous surveillance médicale. Posologie usuelle : 1 à 2 sachets par jour en plusieurs prises. Dissoudre dans le biberon de lait ou dans l'eau.</w:t>
      </w:r>
    </w:p>
    <w:p>
      <w:pPr>
        <w:pStyle w:val="ListBullet"/>
      </w:pPr>
      <w:r>
        <w:t>Adulte (colopathie fonctionnelle) : 3 sachets par jour en 3 prises.</w:t>
      </w:r>
    </w:p>
    <w:p>
      <w:pPr>
        <w:pStyle w:val="ListBullet"/>
      </w:pPr>
      <w:r>
        <w:t>Durée : diarrhée aiguë : 3 à 7 jours. Diarrhée chronique et colopathie fonctionnelle : au long cours possible sous suivi médical.</w:t>
      </w:r>
    </w:p>
    <w:p>
      <w:pPr>
        <w:pStyle w:val="ListBullet"/>
      </w:pPr>
      <w:r>
        <w:t>Moment de prise : à distance des repas (de préférence en dehors des repas) et à distance des autres médicaments (espacer de 2 heures). Peut être pris en plusieurs prises réparties dans la journée.</w:t>
      </w:r>
    </w:p>
    <w:p>
      <w:r/>
      <w:r>
        <w:rPr>
          <w:b/>
        </w:rPr>
        <w:t>Arbitrage et Bénéfices des Formes Galéniques :</w:t>
      </w:r>
      <w:r/>
    </w:p>
    <w:p>
      <w:pPr>
        <w:pStyle w:val="ListBullet"/>
      </w:pPr>
      <w:r>
        <w:t>Poudre pour suspension buvable en sachet-dose 3 g : forme standard, dosage précis, à reconstituer dans un demi-verre d'eau. Plusieurs arômes disponibles (fraise, orange-vanille) pour améliorer la palatabilité chez l'enfant. Forme pratique pour le nourrisson (dans le biberon).</w:t>
      </w:r>
    </w:p>
    <w:p>
      <w:pPr>
        <w:pStyle w:val="ListBullet"/>
      </w:pPr>
      <w:r>
        <w:t>Suspension buvable en sachet (Dismect) : galénique plus facile à avaler que la poudre, moins de risque d'inhalation chez le sujet âgé.</w:t>
      </w:r>
    </w:p>
    <w:p>
      <w:pPr>
        <w:pStyle w:val="ListBullet"/>
      </w:pPr>
      <w:r>
        <w:t>Forme en sachet permet une administration facile chez le nourrisson et l'enfant, et le dosage est précis.</w:t>
      </w:r>
    </w:p>
    <w:p>
      <w:pPr>
        <w:pStyle w:val="ListBullet"/>
      </w:pPr>
      <w:r>
        <w:t>Pas de forme comprimé, gélule, sirop, suppositoire, ou injectable.</w:t>
      </w:r>
    </w:p>
    <w:p>
      <w:r/>
      <w:r>
        <w:rPr>
          <w:b/>
        </w:rPr>
        <w:t>Instructions et Conseils au Patient :</w:t>
      </w:r>
      <w:r/>
    </w:p>
    <w:p>
      <w:pPr>
        <w:pStyle w:val="ListBullet"/>
      </w:pPr>
      <w:r>
        <w:t>Communication au comptoir : "La diosmectite (Smecta) est un anti-diarrhéique qui agit en adsorbant les toxines et l'eau dans l'intestin, et en protégeant la muqueuse. Prenez 3 sachets par jour pour un adulte, à diluer dans un demi-verre d'eau. Pour les enfants et nourrissons, la dose est adaptée à l'âge. Buvez abondamment (eau, bouillon, SRO) pour compenser la perte d'eau. Si vous prenez d'autres médicaments, prenez-les à au moins 2 heures de la diosmectite (sinon elle peut diminuer leur absorption). Ne dépassez pas 7 jours de traitement sans avis médical. Si vous avez de la fièvre ou du sang dans les selles, consultez un médecin. La diosmectite est sans danger pendant la grossesse et l'allaitement."</w:t>
      </w:r>
    </w:p>
    <w:p>
      <w:pPr>
        <w:pStyle w:val="ListBullet"/>
      </w:pPr>
      <w:r>
        <w:t>Mode d'utilisation pratique : Verser la poudre dans un demi-verre d'eau, mélanger vigoureusement jusqu'à suspension homogène, boire immédiatement. Pour le nourrisson : diluer le sachet dans le biberon de lait, agiter. Boire un verre d'eau supplémentaire après la prise. Tenir un journal des selles pour adapter la dose.</w:t>
      </w:r>
    </w:p>
    <w:p>
      <w:r/>
      <w:r>
        <w:rPr>
          <w:b/>
        </w:rPr>
        <w:t>Notes, Règles d'Or &amp; Pièges au Comptoir :</w:t>
      </w:r>
      <w:r/>
    </w:p>
    <w:p>
      <w:pPr>
        <w:pStyle w:val="ListBullet"/>
      </w:pPr>
      <w:r>
        <w:t>Piège classique : (i) Oubli de la réhydratation orale associée — la diosmectite ne se substitue pas au SRO, surtout chez le nourrisson (risque de déshydratation). (ii) Co-prescription avec médicaments à marge thérapeutique étroite — espacer de 2 heures (AVK, digoxine, anticonvulsivants, antirétroviraux, lévothyroxine, antibiotiques). (iii) Diarrhée fébrile ou sanglante — consulter. (iv) Constipation apparue sous traitement — réduire la dose. (v) Forme parfumée — attention au diabète et à l'intolérance au fructose. (vi) Femme enceinte ou allaitante — c'est l'anti-diarrhéique de premier choix, sans risque. (vii) Patient sous antibiotique — diosmectite utile en prévention de la diarrhée associée aux antibiotiques.</w:t>
      </w:r>
    </w:p>
    <w:p>
      <w:pPr>
        <w:pStyle w:val="ListBullet"/>
      </w:pPr>
      <w:r>
        <w:t>Règle de prise : 3 sachets/jour adulte (2-3 chez l'enfant, 1-2 chez le nourrisson), à distance des autres médicaments (2 h), association SRO obligatoire, durée 7 jours max en cas de diarrhée aiguë.</w:t>
      </w:r>
    </w:p>
    <w:p>
      <w:pPr>
        <w:pStyle w:val="ListBullet"/>
      </w:pPr>
      <w:r>
        <w:t>Préparation et Conservation : Sachets au sec, à température ≤ 25 °C, à l'abri de la lumière. La poudre à reconstituer immédiatement avant administration ; ne pas conserver la suspension reconstituée.</w:t>
      </w:r>
    </w:p>
    <w:p>
      <w:pPr>
        <w:pStyle w:val="ListBullet"/>
      </w:pPr>
      <w:r>
        <w:t>Piège du surdosage / Substitution : En cas de surdosage : constipation sévère, distension abdominale. Arrêt, hydratation. Substitution possible par racecadotril (effet anti-sécrétoire complémentaire) ou par Saccharomyces boulardii (effet probiotique) dans la diarrhée aiguë.</w:t>
      </w:r>
    </w:p>
    <w:p>
      <w:pPr>
        <w:pStyle w:val="Heading3"/>
      </w:pPr>
      <w:r>
        <w:t>11. DCI : Saccharomyces boulardii (Seule)</w:t>
      </w:r>
    </w:p>
    <w:p>
      <w:r/>
      <w:r>
        <w:rPr>
          <w:b/>
        </w:rPr>
        <w:t>Liste des Catégories :</w:t>
      </w:r>
      <w:r>
        <w:t xml:space="preserve"> Probiotique - Levure ; Anti-diarrhéique biologique ; Prévention de la diarrhée associée aux antibiotiques.</w:t>
      </w:r>
    </w:p>
    <w:p>
      <w:r>
        <w:t xml:space="preserve">Saccharomyces boulardii est une levure non pathogène (champignon unicellulaire ascomycète) isolée pour la première fois en Indochine en 1923 par le microbiologiste français Henri Boulard à partir de la peau de litchis et de mangues fermentées. Saccharomyces boulardii appartient à la même espèce que Saccharomyces cerevisiae (levure de bière et de boulanger), mais s'en distingue par plusieurs caractéristiques : (i) sa tolérance à la température de 37 °C (température corporelle humaine, optimale pour sa croissance intestinale) ; (ii) sa résistance à l'acidité gastrique (pH 2) et aux sels biliaires, ce qui lui permet d'atteindre le côlon vivante ; (iii) sa résistance aux protéases et aux antibactériens (elle est naturellement résistante aux antibiotiques bactériostatiques et bactéricides, ce qui permet son utilisation pendant un traitement antibiotique) ; (iv) son caractère non-pathogène et non-invasive (ne colonise pas durablement le tube digestif, éliminée dans les selles en 3 à 5 jours après arrêt). Saccharomyces boulardii agit par des mécanismes multiples et originaux : (i) compétition avec les pathogènes pour les sites d'adhésion à la muqueuse intestinale (effet de barrière) ; (ii) inactivation des toxines bactériennes par une protéinase sécrétée (clivage de la toxine A de </w:t>
      </w:r>
      <w:r>
        <w:rPr>
          <w:i/>
        </w:rPr>
        <w:t>Clostridium difficile</w:t>
      </w:r>
      <w:r>
        <w:t xml:space="preserve">, de la toxine cholérique, de la toxine LT de </w:t>
      </w:r>
      <w:r>
        <w:rPr>
          <w:i/>
        </w:rPr>
        <w:t>E. coli</w:t>
      </w:r>
      <w:r>
        <w:t>) ; (iii) stimulation de la sécrétion intestinale d'IgA sécrétoires et des défenses immunitaires muqueuses ; (iv) modulation de la flore commensale (effet anti-dysbiotique) ; (v) effet antisécrétoire direct sur les entérocytes (inhibition de la PKA et de la sécrétion de Cl⁻ induite par la toxine cholérique) ; (vi) effet anti-inflammatoire (diminution de la production de cytokines pro-inflammatoires). Saccharomyces boulardii n'est pas absorbée (restant dans la lumière intestinale) et est éliminée dans les selles. Délai d'action : 24 à 48 heures.</w:t>
      </w:r>
    </w:p>
    <w:p>
      <w:r/>
      <w:r>
        <w:rPr>
          <w:b/>
        </w:rPr>
        <w:t>Médicaments disponibles en Algérie (Marques, Laboratoires, Formes et Dosages) :</w:t>
      </w:r>
      <w:r/>
    </w:p>
    <w:p>
      <w:r/>
      <w:r>
        <w:rPr>
          <w:i/>
        </w:rPr>
        <w:t>Saccharomyces boulardii pure :</w:t>
      </w:r>
      <w:r/>
    </w:p>
    <w:p>
      <w:pPr>
        <w:pStyle w:val="ListBullet"/>
      </w:pPr>
      <w:r/>
      <w:r>
        <w:rPr>
          <w:b/>
        </w:rPr>
        <w:t>ULTRA-LEVURE</w:t>
      </w:r>
      <w:r>
        <w:t xml:space="preserve"> (BIOCODEX) – Gélule 200 mg ; boîte de 10. Saccharomyces boulardii (levure lyophilisée). Princeps historique.</w:t>
      </w:r>
    </w:p>
    <w:p>
      <w:pPr>
        <w:pStyle w:val="ListBullet"/>
      </w:pPr>
      <w:r>
        <w:t>Statut : Actif.</w:t>
      </w:r>
    </w:p>
    <w:p>
      <w:pPr>
        <w:pStyle w:val="ListBullet"/>
      </w:pPr>
      <w:r/>
      <w:r>
        <w:rPr>
          <w:b/>
        </w:rPr>
        <w:t>ULTRA-LEVURE</w:t>
      </w:r>
      <w:r>
        <w:t xml:space="preserve"> (BIOCODEX) – Poudre pour solution orale 100 mg ; boîte de 14 sachets.</w:t>
      </w:r>
    </w:p>
    <w:p>
      <w:pPr>
        <w:pStyle w:val="ListBullet"/>
      </w:pPr>
      <w:r>
        <w:t>Statut : Actif.</w:t>
      </w:r>
    </w:p>
    <w:p>
      <w:r>
        <w:t>Spécialités retirées (référence historique, associations complexes) :</w:t>
      </w:r>
    </w:p>
    <w:p>
      <w:pPr>
        <w:pStyle w:val="ListBullet"/>
      </w:pPr>
      <w:r/>
      <w:r>
        <w:rPr>
          <w:b/>
        </w:rPr>
        <w:t>SOLACY PEDIATRIQUE</w:t>
      </w:r>
      <w:r>
        <w:t xml:space="preserve"> (GRIMBERG SA) – Comprimé pour suspension buvable. Composition : L-cystine 36,30 mg / Soufre précipité 11 mg / Acétate de vitamine A (1000 UI de rétinol) / Levure Saccharomyces cerevisiae 38,70 mg ; boîte de 60. Association complexe de nutrimentes. Statut : Retiré (R).</w:t>
      </w:r>
    </w:p>
    <w:p>
      <w:pPr>
        <w:pStyle w:val="ListBullet"/>
      </w:pPr>
      <w:r/>
      <w:r>
        <w:rPr>
          <w:b/>
        </w:rPr>
        <w:t>SOLACY ADULTE</w:t>
      </w:r>
      <w:r>
        <w:t xml:space="preserve"> (GRIMBERG SA) – Gélules. Composition : L-cystine 72,60 mg / Soufre précipité 22 mg / Acétate de vitamine A (1650 UI de rétinol) / Levure Saccharomyces cerevisiae 77,40 mg ; boîte de 45. Statut : Retiré (R).</w:t>
      </w:r>
    </w:p>
    <w:p>
      <w:r>
        <w:t>À jour de la nomenclature Algérie Avril 2026, l'Ultra-Levure (Biocodex) est la seule spécialité commercialisée de Saccharomyces boulardii pure, disponible en gélules 200 mg et en sachets 100 mg. Les compléments alimentaires et autres probiotiques contenant Saccharomyces boulardii sont disponibles en parapharmacie et magasins diététiques, mais ne sont pas recensés dans la nomenclature des médicaments industriels.</w:t>
      </w:r>
    </w:p>
    <w:p>
      <w:r/>
      <w:r>
        <w:rPr>
          <w:b/>
        </w:rPr>
        <w:t>Sous-classe et Mécanisme d'action :</w:t>
      </w:r>
      <w:r/>
    </w:p>
    <w:p>
      <w:pPr>
        <w:pStyle w:val="ListBullet"/>
      </w:pPr>
      <w:r>
        <w:t>Sous-classe : Probiotique de la classe des levures. Saccharomyces boulardii se distingue des probiotiques bactériens (Lactobacillus, Bifidobacterium) par sa nature eucaryote (champignon), sa résistance naturelle aux antibiotiques (permettant son administration pendant une antibiothérapie), et son profil d'action originale (inactivation enzymatique des toxines bactériennes).</w:t>
      </w:r>
    </w:p>
    <w:p>
      <w:pPr>
        <w:pStyle w:val="ListBullet"/>
      </w:pPr>
      <w:r>
        <w:t>Mécanisme d'action : Saccharomyces boulardii exerce son effet thérapeutique par six mécanismes complémentaires : (i) Compétition pour les sites d'adhésion à la muqueuse intestinale — la levure se lie aux récepteurs d'adhésion des entérocytes (glycocalix, mucines), empêchant les bactéries pathogènes (*E. coli* entéropathogène, *Salmonella*, *Shigella*, *Candida albicans*) de se fixer. Effet de "barrière physique" ; (ii) Inactivation enzymatique des toxines bactériennes — Saccharomyces boulardii sécrète une protéinase de 120 kDa qui clive la toxine A et la toxine B de *Clostridium difficile*, la toxine cholérique, et la toxine thermolabile de *E. coli*, neutralisant leur activité entérotoxique ; (iii) Stimulation de la sécrétion d'IgA sécrétoires — la levure stimule la production locale d'IgA sécrétoires par les plasmocytes de la lamina propria, renforçant l'immunité muqueuse contre les pathogènes ; (iv) Effet antisécrétoire direct — Saccharomyces boulardii diminue la sécrétion de Cl⁻ et d'eau induite par la toxine cholérique (inhibition de la PKA, de l'AMPc) ; (v) Modulation de la flore commensale — la levure restaure un microbiote équilibré après antibiothérapie ou infection, en augmentant les populations de bifidobactéries et lactobacilles ; (vi) Effet anti-inflammatoire — Saccharomyces boulardii diminue la production de cytokines pro-inflammatoires (IL-8, TNF-α) par les cellules épithéliales et les macrophages intestinaux, utile dans les maladies inflammatoires intestinales. Saccharomyces boulardii n'est pas absorbée, reste dans la lumière intestinale, et est éliminée dans les selles en 3 à 5 jours après l'arrêt du traitement (pas de colonisation durable).</w:t>
      </w:r>
    </w:p>
    <w:p>
      <w:r/>
      <w:r>
        <w:rPr>
          <w:b/>
        </w:rPr>
        <w:t>Profil Pharmacologique :</w:t>
      </w:r>
      <w:r/>
    </w:p>
    <w:p>
      <w:pPr>
        <w:pStyle w:val="ListBullet"/>
      </w:pPr>
      <w:r>
        <w:t>Indications : (1) Traitement adjuvant de la diarrhée aiguë de l'adulte et de l'enfant, en complément de la réhydratation orale ; (2) Prévention de la diarrhée associée aux antibiotiques (DAA) chez l'adulte et l'enfant ; (3) Traitement de la diarrhée associée à *Clostridium difficile* en relais ou en prévention des rechutes (en complément du métronidazole ou de la vancomycine) ; (4) Prévention de la diarrhée du voyageur ; (5) Syndrome de l'intestin irritable (effet bénéfique sur les ballonnements et la diarrhée) ; (6) Entretien de la rémission de la maladie de Crohn selon certaines recommandations HAS (effet anti-inflammatoire) ; (7) Prévention de la diarrhée nosocomiale chez le sujet âgé hospitalisé.</w:t>
      </w:r>
    </w:p>
    <w:p>
      <w:pPr>
        <w:pStyle w:val="ListBullet"/>
      </w:pPr>
      <w:r>
        <w:t>Contre-indications : (i) Hypersensibilité aux levures ou à Saccharomyces boulardii ; (ii) Patient immunodéprimé sévère (cancer sous chimiothérapie, greffe d'organe sous immunosuppresseurs, SIDA, neutropénie &lt; 500/mm³) — risque de fongémie à Saccharomyces ; (iii) Patient porteur de cathéter central (risque de contamination du cathéter et de fongémie) ; (iv) Patient nourri par sonde à débit continu (la levure peut fermenter le nutriment et provoquer un syndrome de "tube blockage" et une fongémie) ; (v) Prématuré et nouveau-né de faible poids de naissance (risque de fongémie) ; (vi) Endocardite ou valve cardiaque prothétique (risque théorique de colonisation) ; (vii) Enfant de moins de 6 mois (sauf si bénéfice/risque évalué par un médecin).</w:t>
      </w:r>
    </w:p>
    <w:p>
      <w:pPr>
        <w:pStyle w:val="ListBullet"/>
      </w:pPr>
      <w:r>
        <w:t>Effets Indésirables : (i) Ballonnements modérés (fréquents en début de traitement) ; (ii) Flatulences (la levure fermentescible peut produire des gaz) ; (iii) Constipation (rare) ; (iv) Réactions allergiques (rash, prurit, urticaire — rares) ; (v) Fungémie (fongémie) à Saccharomyces boulardii — effet indésirable rare (incidence estimée à 1 cas par million de patients traités) mais grave, presque exclusivement observé chez le patient immunodéprimé ou porteur de cathéter central. La fongémie se traduit par fièvre, sepsis, et peut être fatale ; (vi) Gêne épigastrique. Profil global de tolérance excellent chez le patient non immunodéprimé.</w:t>
      </w:r>
    </w:p>
    <w:p>
      <w:r/>
      <w:r>
        <w:rPr>
          <w:b/>
        </w:rPr>
        <w:t>Prévention et Gestion des Effets Indésirables :</w:t>
      </w:r>
      <w:r/>
    </w:p>
    <w:p>
      <w:pPr>
        <w:pStyle w:val="ListBullet"/>
      </w:pPr>
      <w:r>
        <w:t>Mesures Préventives : (i) Respecter les contre-indications absolues (immunodépression, cathéter central, prématuré) ; (ii) Ne pas ouvrir les gélules à proximité d'un cathéter central (risque de contamination aéroportée) ; (iii) Manipulation avec masque et gants par le personnel soignant chez le patient porteur de cathéter ; (iv) Information du patient sur la nécessité d'avertir le médecin en cas de fièvre pendant le traitement (suspicion de fongémie) ; (v) Lavage soigneux des mains après manipulation de la poudre.</w:t>
      </w:r>
    </w:p>
    <w:p>
      <w:pPr>
        <w:pStyle w:val="ListBullet"/>
      </w:pPr>
      <w:r>
        <w:t>Conduite à Tenir : (i) Ballonnements persistants : réduire la dose ; (ii) Suspicion de fongémie (fièvre, frissons, sepsis chez l'immunodéprimé ou le porteur de cathéter) : arrêt immédiat, hémocultures, traitement antifongique par fluconazole IV ou amphotéricine B (la Saccharomyces boulardii est sensible au fluconazole, à l'amphotéricine B, à la caspofungine, et résistante à la flucytosine) ; (iii) Réaction allergique : arrêt définitif.</w:t>
      </w:r>
    </w:p>
    <w:p>
      <w:r/>
      <w:r>
        <w:rPr>
          <w:b/>
        </w:rPr>
        <w:t>Interactions Importantes :</w:t>
      </w:r>
      <w:r/>
    </w:p>
    <w:p>
      <w:pPr>
        <w:pStyle w:val="ListBullet"/>
      </w:pPr>
      <w:r>
        <w:t>Saccharomyces boulardii + Antifongiques oraux (fluconazole, itraconazole, kétoconazole, miconazole, nystatine, amphotéricine B) : les antifongiques détruisent Saccharomyces boulardii — inefficacité du probiotique. Ne pas associer. Espacer d'au moins 2-4 heures (mais l'efficacité reste compromise).</w:t>
      </w:r>
    </w:p>
    <w:p>
      <w:pPr>
        <w:pStyle w:val="ListBullet"/>
      </w:pPr>
      <w:r>
        <w:t>Saccharomyces boulardii + Antibiotiques antibactériens (β-lactamines, macrolides, fluoroquinolones, aminoglycosides, tétracyclines, sulfamides) : Saccharomyces boulardii est naturellement résistante aux antibiotiques antibactériens (eucaryote vs bactéries procaryotes) — l'association est possible et indiquée (prévention de la diarrhée associée aux antibiotiques).</w:t>
      </w:r>
    </w:p>
    <w:p>
      <w:pPr>
        <w:pStyle w:val="ListBullet"/>
      </w:pPr>
      <w:r>
        <w:t>Saccharomyces boulardii + Antidiabétiques oraux : pas d'interaction significative, mais surveillance de la glycémie (la levure peut modifier la flore intestinale et l'absorption des glucides).</w:t>
      </w:r>
    </w:p>
    <w:p>
      <w:pPr>
        <w:pStyle w:val="ListBullet"/>
      </w:pPr>
      <w:r>
        <w:t>Saccharomyces boulardii + Anticoagulants oraux (AVK) : pas d'interaction significative en utilisation ponctuelle.</w:t>
      </w:r>
    </w:p>
    <w:p>
      <w:pPr>
        <w:pStyle w:val="ListBullet"/>
      </w:pPr>
      <w:r>
        <w:t>Saccharomyces boulardii + autres probiotiques : pas de contre-indication, associations possibles.</w:t>
      </w:r>
    </w:p>
    <w:p>
      <w:r/>
      <w:r>
        <w:rPr>
          <w:b/>
        </w:rPr>
        <w:t>Grossesse et Allaitement :</w:t>
      </w:r>
      <w:r/>
    </w:p>
    <w:p>
      <w:pPr>
        <w:pStyle w:val="ListBullet"/>
      </w:pPr>
      <w:r>
        <w:t>Grossesse : Compatible à tous les trimestres (CRAT). Saccharomyces boulardii n'est pas absorbée et ne traverse pas le placenta. Utilisable en cas de diarrhée aiguë ou de prévention de la diarrhée associée aux antibiotiques pendant la grossesse. Posologie identique à l'adulte non enceinte. Préférer la forme gélule (200 mg) à la poudre en sachet pour la praticité.</w:t>
      </w:r>
    </w:p>
    <w:p>
      <w:pPr>
        <w:pStyle w:val="ListBullet"/>
      </w:pPr>
      <w:r>
        <w:t>Allaitement : Compatible. Saccharomyces boulardii n'est pas excrétée dans le lait maternel (non absorbée). Sans risque pour le nourrisson allaité. Les gélules peuvent être ouvertes et la poudre mélangée à une petite quantité de lait pour administration chez la mère allaitante.</w:t>
      </w:r>
    </w:p>
    <w:p>
      <w:pPr>
        <w:pStyle w:val="ListBullet"/>
      </w:pPr>
      <w:r>
        <w:t>Précisions : Saccharomyces boulardii est, avec la diosmectite, l'anti-diarrhéique de premier choix pendant la grossesse et l'allaitement.</w:t>
      </w:r>
    </w:p>
    <w:p>
      <w:r/>
      <w:r>
        <w:rPr>
          <w:b/>
        </w:rPr>
        <w:t>Posologie et Mode d'administration (Standard) :</w:t>
      </w:r>
      <w:r/>
    </w:p>
    <w:p>
      <w:pPr>
        <w:pStyle w:val="ListBullet"/>
      </w:pPr>
      <w:r>
        <w:t>Adulte et enfant de plus de 6 ans : 1 gélule de 200 mg par jour, ou 2 sachets de 100 mg par jour (soit 200 mg/jour), en 1 à 2 prises.</w:t>
      </w:r>
    </w:p>
    <w:p>
      <w:pPr>
        <w:pStyle w:val="ListBullet"/>
      </w:pPr>
      <w:r>
        <w:t>Enfant à partir de 2 ans : 1 sachet de 100 mg par jour dans l'eau ou le lait.</w:t>
      </w:r>
    </w:p>
    <w:p>
      <w:pPr>
        <w:pStyle w:val="ListBullet"/>
      </w:pPr>
      <w:r>
        <w:t>Enfant à partir de 6 mois : 1 sachet de 100 mg par jour, sous surveillance médicale.</w:t>
      </w:r>
    </w:p>
    <w:p>
      <w:pPr>
        <w:pStyle w:val="ListBullet"/>
      </w:pPr>
      <w:r>
        <w:t>Nourrisson de moins de 6 mois : usage déconseillé sauf avis médical.</w:t>
      </w:r>
    </w:p>
    <w:p>
      <w:pPr>
        <w:pStyle w:val="ListBullet"/>
      </w:pPr>
      <w:r>
        <w:t>Adulte (diarrhée aiguë) : 1 gélule 200 mg le matin, ou 2 sachets 100 mg matin et soir, pendant 5 à 7 jours.</w:t>
      </w:r>
    </w:p>
    <w:p>
      <w:pPr>
        <w:pStyle w:val="ListBullet"/>
      </w:pPr>
      <w:r>
        <w:t>Adulte (prévention DAA) : commencer dès le début de l'antibiothérapie, 1 gélule 200 mg/jour pendant toute la durée de l'antibiothérapie + 7 à 15 jours après l'arrêt.</w:t>
      </w:r>
    </w:p>
    <w:p>
      <w:pPr>
        <w:pStyle w:val="ListBullet"/>
      </w:pPr>
      <w:r>
        <w:t>Adulte (prévention rechute C. difficile) : 500 mg/jour (2 à 3 gélules) pendant 4 semaines selon les recommandations.</w:t>
      </w:r>
    </w:p>
    <w:p>
      <w:pPr>
        <w:pStyle w:val="ListBullet"/>
      </w:pPr>
      <w:r>
        <w:t>Durée : diarrhée aiguë : 5 à 7 jours. Prévention DAA : pendant l'antibiothérapie + 7 à 15 jours après. Au long cours possible dans la maladie de Crohn selon suivi spécialisé.</w:t>
      </w:r>
    </w:p>
    <w:p>
      <w:pPr>
        <w:pStyle w:val="ListBullet"/>
      </w:pPr>
      <w:r>
        <w:t>Moment de prise : à distance des repas de préférence (matin à jeun ou 1 heure avant les repas), mais peut être pris à n'importe quel moment. Ne pas prendre avec une boisson très chaude (&gt; 50 °C) ou glacée, ni alcoolisée (risque de destruction de la levure).</w:t>
      </w:r>
    </w:p>
    <w:p>
      <w:r/>
      <w:r>
        <w:rPr>
          <w:b/>
        </w:rPr>
        <w:t>Arbitrage et Bénéfices des Formes Galéniques :</w:t>
      </w:r>
      <w:r/>
    </w:p>
    <w:p>
      <w:pPr>
        <w:pStyle w:val="ListBullet"/>
      </w:pPr>
      <w:r>
        <w:t>Gélules 200 mg (Ultra-Levure) : forme standard de l'adulte et de l'enfant à partir de 6 ans. Pratique, dosage précis. La gélule doit être avalée entière avec un verre d'eau. Pour l'enfant incapable d'avaler une gélule, ouvrir et mélanger la poudre dans une petite quantité d'eau ou de compote.</w:t>
      </w:r>
    </w:p>
    <w:p>
      <w:pPr>
        <w:pStyle w:val="ListBullet"/>
      </w:pPr>
      <w:r>
        <w:t>Poudre pour solution orale en sachets 100 mg (Ultra-Levure) : forme pédiatrique adaptée à l'enfant à partir de 6 mois. À diluer dans l'eau, le lait, ou la compote. À administrer immédiatement après reconstitution.</w:t>
      </w:r>
    </w:p>
    <w:p>
      <w:pPr>
        <w:pStyle w:val="ListBullet"/>
      </w:pPr>
      <w:r>
        <w:t>Forme lyophilisée (levure inactive lyophilisée) : garantit la stabilité de la levure pendant la conservation, qui se réactive au contact de l'eau intestinale.</w:t>
      </w:r>
    </w:p>
    <w:p>
      <w:pPr>
        <w:pStyle w:val="ListBullet"/>
      </w:pPr>
      <w:r>
        <w:t>Pas de forme suppositoire ou injectable.</w:t>
      </w:r>
    </w:p>
    <w:p>
      <w:r/>
      <w:r>
        <w:rPr>
          <w:b/>
        </w:rPr>
        <w:t>Instructions et Conseils au Patient :</w:t>
      </w:r>
      <w:r/>
    </w:p>
    <w:p>
      <w:pPr>
        <w:pStyle w:val="ListBullet"/>
      </w:pPr>
      <w:r>
        <w:t>Communication au comptoir : "Saccharomyces boulardii (Ultra-Levure) est une levure probiotique qui restaure l'équilibre de votre flore intestinale et traite la diarrhée. Prenez 1 gélule par jour (ou 2 sachets pour enfant), à distance des repas, avec un verre d'eau. Si vous êtes sous antibiotique, vous pouvez prendre Saccharomyces boulardii en même temps (la levure est résistante aux antibiotiques), c'est même recommandé pour prévenir la diarrhée associée. Ne prenez pas d'antifongiques en même temps (cela détruirait la levure). Si vous êtes immunodéprimé ou porteur d'un cathéter, signalez-le avant la prise. Si vous faites de la fièvre pendant le traitement, arrêtez et consultez. Le traitement dure 5 à 7 jours en cas de diarrhée aiguë, ou pendant toute la durée de l'antibiothérapie + 1 semaine pour la prévention."</w:t>
      </w:r>
    </w:p>
    <w:p>
      <w:pPr>
        <w:pStyle w:val="ListBullet"/>
      </w:pPr>
      <w:r>
        <w:t>Mode d'utilisation pratique : Pour la gélule : avaler entière avec un verre d'eau. Pour le sachet : verser la poudre dans un demi-verre d'eau tiède (pas chaude), mélanger, boire immédiatement. Ne pas conserver la suspension reconstituée. Conserver le produit au sec, à température ambiante ≤ 25 °C, à l'abri de la lumière.</w:t>
      </w:r>
    </w:p>
    <w:p>
      <w:r/>
      <w:r>
        <w:rPr>
          <w:b/>
        </w:rPr>
        <w:t>Notes, Règles d'Or &amp; Pièges au Comptoir :</w:t>
      </w:r>
      <w:r/>
    </w:p>
    <w:p>
      <w:pPr>
        <w:pStyle w:val="ListBullet"/>
      </w:pPr>
      <w:r>
        <w:t>Piège classique : (i) Patient immunodéprimé ou porteur de cathéter central — risque rare mais grave de fongémie (1 cas/million), contre-indication absolue. (ii) Co-prescription avec antifongiques oraux (fluconazole, itraconazole, nystatine) — destruction de la levure, inefficacité. (iii) Prise avec une boisson très chaude ou glacée — destruction de la levure. (iv) Nourrisson prématuré ou de faible poids — éviter par prudence. (v) Manipulation de la poudre par le personnel soignant porteur de cathéter central — risque de contamination aéroportée (mesures d'hygiène strictes). (vi) Patient sous antibiotique — au contraire, indication de prescription (prévention DAA).</w:t>
      </w:r>
    </w:p>
    <w:p>
      <w:pPr>
        <w:pStyle w:val="ListBullet"/>
      </w:pPr>
      <w:r>
        <w:t>Règle de prise : 1 gélule 200 mg/jour adulte (ou 1 sachet 100 mg chez l'enfant), à distance des repas, avec eau tempérée, pendant 5-7 jours (diarrhée aiguë) ou pendant l'antibiothérapie + 1 semaine (prévention DAA).</w:t>
      </w:r>
    </w:p>
    <w:p>
      <w:pPr>
        <w:pStyle w:val="ListBullet"/>
      </w:pPr>
      <w:r>
        <w:t>Préparation et Conservation : Gélules et sachets au sec, à température ≤ 25 °C, à l'abri de la lumière. Ne pas congeler. La levure lyophilisée reste stable jusqu'à la date de péremption. Ne pas conserver la suspension reconstituée.</w:t>
      </w:r>
    </w:p>
    <w:p>
      <w:pPr>
        <w:pStyle w:val="ListBullet"/>
      </w:pPr>
      <w:r>
        <w:t>Piège du surdosage / Substitution : En cas de surdosage massif chez l'immunodéprimé : risque de fongémie (fièvre, sepsis) — arrêt, hémocultures, traitement antifongique IV (fluconazole). Substitution possible par un probiotique bactérien (Lactobacillus rhamnosus GG) ou par diosmectite, selon l'indication.</w:t>
      </w:r>
    </w:p>
    <w:p>
      <w:pPr>
        <w:pStyle w:val="Heading2"/>
      </w:pPr>
      <w:r>
        <w:t>Tableau Comparatif Synthétique des 11 DCI</w:t>
      </w:r>
    </w:p>
    <w:p>
      <w:r>
        <w:t>Le tableau ci-dessous résume les éléments pharmacologiques essentiels des onze DCI traitées dans ce chapitre. Il est destiné à un usage synthétique au comptoir ou en consultation, et doit être complété par la lecture détaillée des fiches précédentes pour les situations cliniques particulières.</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Mécanisme d'action principal</w:t>
            </w:r>
          </w:p>
        </w:tc>
        <w:tc>
          <w:tcPr>
            <w:tcW w:type="dxa" w:w="1169"/>
          </w:tcPr>
          <w:p>
            <w:r>
              <w:rPr>
                <w:b/>
                <w:sz w:val="20"/>
              </w:rPr>
              <w:t>Délai d'action</w:t>
            </w:r>
          </w:p>
        </w:tc>
        <w:tc>
          <w:tcPr>
            <w:tcW w:type="dxa" w:w="1169"/>
          </w:tcPr>
          <w:p>
            <w:r>
              <w:rPr>
                <w:b/>
                <w:sz w:val="20"/>
              </w:rPr>
              <w:t>Posologie adulte standard</w:t>
            </w:r>
          </w:p>
        </w:tc>
        <w:tc>
          <w:tcPr>
            <w:tcW w:type="dxa" w:w="1169"/>
          </w:tcPr>
          <w:p>
            <w:r>
              <w:rPr>
                <w:b/>
                <w:sz w:val="20"/>
              </w:rPr>
              <w:t>Effet indésirable majeur</w:t>
            </w:r>
          </w:p>
        </w:tc>
        <w:tc>
          <w:tcPr>
            <w:tcW w:type="dxa" w:w="1169"/>
          </w:tcPr>
          <w:p>
            <w:r>
              <w:rPr>
                <w:b/>
                <w:sz w:val="20"/>
              </w:rPr>
              <w:t>Contre-indication majeure</w:t>
            </w:r>
          </w:p>
        </w:tc>
        <w:tc>
          <w:tcPr>
            <w:tcW w:type="dxa" w:w="1169"/>
          </w:tcPr>
          <w:p>
            <w:r>
              <w:rPr>
                <w:b/>
                <w:sz w:val="20"/>
              </w:rPr>
              <w:t>Grossesse</w:t>
            </w:r>
          </w:p>
        </w:tc>
      </w:tr>
      <w:tr>
        <w:tc>
          <w:tcPr>
            <w:tcW w:type="dxa" w:w="1169"/>
          </w:tcPr>
          <w:p>
            <w:r>
              <w:rPr>
                <w:sz w:val="20"/>
              </w:rPr>
              <w:t>**Lactulose**</w:t>
            </w:r>
          </w:p>
        </w:tc>
        <w:tc>
          <w:tcPr>
            <w:tcW w:type="dxa" w:w="1169"/>
          </w:tcPr>
          <w:p>
            <w:r>
              <w:rPr>
                <w:sz w:val="20"/>
              </w:rPr>
              <w:t>Laxatif osmotique disaccharide</w:t>
            </w:r>
          </w:p>
        </w:tc>
        <w:tc>
          <w:tcPr>
            <w:tcW w:type="dxa" w:w="1169"/>
          </w:tcPr>
          <w:p>
            <w:r>
              <w:rPr>
                <w:sz w:val="20"/>
              </w:rPr>
              <w:t>Fermentation colique → acides organiques → osmolarité ↑ + acidification (NH₃ → NH₄⁺)</w:t>
            </w:r>
          </w:p>
        </w:tc>
        <w:tc>
          <w:tcPr>
            <w:tcW w:type="dxa" w:w="1169"/>
          </w:tcPr>
          <w:p>
            <w:r>
              <w:rPr>
                <w:sz w:val="20"/>
              </w:rPr>
              <w:t>24-48 h</w:t>
            </w:r>
          </w:p>
        </w:tc>
        <w:tc>
          <w:tcPr>
            <w:tcW w:type="dxa" w:w="1169"/>
          </w:tcPr>
          <w:p>
            <w:r>
              <w:rPr>
                <w:sz w:val="20"/>
              </w:rPr>
              <w:t>10-30 g/j en 1-2 prises vespérales</w:t>
            </w:r>
          </w:p>
        </w:tc>
        <w:tc>
          <w:tcPr>
            <w:tcW w:type="dxa" w:w="1169"/>
          </w:tcPr>
          <w:p>
            <w:r>
              <w:rPr>
                <w:sz w:val="20"/>
              </w:rPr>
              <w:t>Flatulences, ballonnements</w:t>
            </w:r>
          </w:p>
        </w:tc>
        <w:tc>
          <w:tcPr>
            <w:tcW w:type="dxa" w:w="1169"/>
          </w:tcPr>
          <w:p>
            <w:r>
              <w:rPr>
                <w:sz w:val="20"/>
              </w:rPr>
              <w:t>Galactosémie, occlusion</w:t>
            </w:r>
          </w:p>
        </w:tc>
        <w:tc>
          <w:tcPr>
            <w:tcW w:type="dxa" w:w="1169"/>
          </w:tcPr>
          <w:p>
            <w:r>
              <w:rPr>
                <w:sz w:val="20"/>
              </w:rPr>
              <w:t>Compatible (référence)</w:t>
            </w:r>
          </w:p>
        </w:tc>
      </w:tr>
      <w:tr>
        <w:tc>
          <w:tcPr>
            <w:tcW w:type="dxa" w:w="1169"/>
          </w:tcPr>
          <w:p>
            <w:r>
              <w:rPr>
                <w:sz w:val="20"/>
              </w:rPr>
              <w:t>**Macrogol (PEG)**</w:t>
            </w:r>
          </w:p>
        </w:tc>
        <w:tc>
          <w:tcPr>
            <w:tcW w:type="dxa" w:w="1169"/>
          </w:tcPr>
          <w:p>
            <w:r>
              <w:rPr>
                <w:sz w:val="20"/>
              </w:rPr>
              <w:t>Laxatif osmotique polymère</w:t>
            </w:r>
          </w:p>
        </w:tc>
        <w:tc>
          <w:tcPr>
            <w:tcW w:type="dxa" w:w="1169"/>
          </w:tcPr>
          <w:p>
            <w:r>
              <w:rPr>
                <w:sz w:val="20"/>
              </w:rPr>
              <w:t>Rétention hydrique luminale par liaisons H (osmose pure, sans fermentation)</w:t>
            </w:r>
          </w:p>
        </w:tc>
        <w:tc>
          <w:tcPr>
            <w:tcW w:type="dxa" w:w="1169"/>
          </w:tcPr>
          <w:p>
            <w:r>
              <w:rPr>
                <w:sz w:val="20"/>
              </w:rPr>
              <w:t>24-48 h (constipation) ; 1-4 h (préparation colique)</w:t>
            </w:r>
          </w:p>
        </w:tc>
        <w:tc>
          <w:tcPr>
            <w:tcW w:type="dxa" w:w="1169"/>
          </w:tcPr>
          <w:p>
            <w:r>
              <w:rPr>
                <w:sz w:val="20"/>
              </w:rPr>
              <w:t>10-20 g/j (constipation) ; 4 L (prép. colique)</w:t>
            </w:r>
          </w:p>
        </w:tc>
        <w:tc>
          <w:tcPr>
            <w:tcW w:type="dxa" w:w="1169"/>
          </w:tcPr>
          <w:p>
            <w:r>
              <w:rPr>
                <w:sz w:val="20"/>
              </w:rPr>
              <w:t>Diarrhée dose-dépendante</w:t>
            </w:r>
          </w:p>
        </w:tc>
        <w:tc>
          <w:tcPr>
            <w:tcW w:type="dxa" w:w="1169"/>
          </w:tcPr>
          <w:p>
            <w:r>
              <w:rPr>
                <w:sz w:val="20"/>
              </w:rPr>
              <w:t>Occlusion, RCH en poussée</w:t>
            </w:r>
          </w:p>
        </w:tc>
        <w:tc>
          <w:tcPr>
            <w:tcW w:type="dxa" w:w="1169"/>
          </w:tcPr>
          <w:p>
            <w:r>
              <w:rPr>
                <w:sz w:val="20"/>
              </w:rPr>
              <w:t>Compatible (référence)</w:t>
            </w:r>
          </w:p>
        </w:tc>
      </w:tr>
      <w:tr>
        <w:tc>
          <w:tcPr>
            <w:tcW w:type="dxa" w:w="1169"/>
          </w:tcPr>
          <w:p>
            <w:r>
              <w:rPr>
                <w:sz w:val="20"/>
              </w:rPr>
              <w:t>**Bisacodyl**</w:t>
            </w:r>
          </w:p>
        </w:tc>
        <w:tc>
          <w:tcPr>
            <w:tcW w:type="dxa" w:w="1169"/>
          </w:tcPr>
          <w:p>
            <w:r>
              <w:rPr>
                <w:sz w:val="20"/>
              </w:rPr>
              <w:t>Laxatif stimulant diphénolique</w:t>
            </w:r>
          </w:p>
        </w:tc>
        <w:tc>
          <w:tcPr>
            <w:tcW w:type="dxa" w:w="1169"/>
          </w:tcPr>
          <w:p>
            <w:r>
              <w:rPr>
                <w:sz w:val="20"/>
              </w:rPr>
              <w:t>Déacétylation → BHPM : stimulation plexus myentérique, inhibition Na⁺/K⁺-ATPase, induction PGE₂</w:t>
            </w:r>
          </w:p>
        </w:tc>
        <w:tc>
          <w:tcPr>
            <w:tcW w:type="dxa" w:w="1169"/>
          </w:tcPr>
          <w:p>
            <w:r>
              <w:rPr>
                <w:sz w:val="20"/>
              </w:rPr>
              <w:t>6-12 h (oral) ; 15-60 min (rectal)</w:t>
            </w:r>
          </w:p>
        </w:tc>
        <w:tc>
          <w:tcPr>
            <w:tcW w:type="dxa" w:w="1169"/>
          </w:tcPr>
          <w:p>
            <w:r>
              <w:rPr>
                <w:sz w:val="20"/>
              </w:rPr>
              <w:t>5-10 mg/j le soir HS (oral) ; 5-10 mg rectal</w:t>
            </w:r>
          </w:p>
        </w:tc>
        <w:tc>
          <w:tcPr>
            <w:tcW w:type="dxa" w:w="1169"/>
          </w:tcPr>
          <w:p>
            <w:r>
              <w:rPr>
                <w:sz w:val="20"/>
              </w:rPr>
              <w:t>Mélanose colique, cathartic colon, hypokaliémie</w:t>
            </w:r>
          </w:p>
        </w:tc>
        <w:tc>
          <w:tcPr>
            <w:tcW w:type="dxa" w:w="1169"/>
          </w:tcPr>
          <w:p>
            <w:r>
              <w:rPr>
                <w:sz w:val="20"/>
              </w:rPr>
              <w:t>Occlusion, enfant &lt; 6 ans, grossesse</w:t>
            </w:r>
          </w:p>
        </w:tc>
        <w:tc>
          <w:tcPr>
            <w:tcW w:type="dxa" w:w="1169"/>
          </w:tcPr>
          <w:p>
            <w:r>
              <w:rPr>
                <w:sz w:val="20"/>
              </w:rPr>
              <w:t>À éviter</w:t>
            </w:r>
          </w:p>
        </w:tc>
      </w:tr>
      <w:tr>
        <w:tc>
          <w:tcPr>
            <w:tcW w:type="dxa" w:w="1169"/>
          </w:tcPr>
          <w:p>
            <w:r>
              <w:rPr>
                <w:sz w:val="20"/>
              </w:rPr>
              <w:t>**Picosulfate**</w:t>
            </w:r>
          </w:p>
        </w:tc>
        <w:tc>
          <w:tcPr>
            <w:tcW w:type="dxa" w:w="1169"/>
          </w:tcPr>
          <w:p>
            <w:r>
              <w:rPr>
                <w:sz w:val="20"/>
              </w:rPr>
              <w:t>Laxatif stimulant triarylméthane</w:t>
            </w:r>
          </w:p>
        </w:tc>
        <w:tc>
          <w:tcPr>
            <w:tcW w:type="dxa" w:w="1169"/>
          </w:tcPr>
          <w:p>
            <w:r>
              <w:rPr>
                <w:sz w:val="20"/>
              </w:rPr>
              <w:t>Activation bactérienne colique → BHPM (mécanisme identique au bisacodyl)</w:t>
            </w:r>
          </w:p>
        </w:tc>
        <w:tc>
          <w:tcPr>
            <w:tcW w:type="dxa" w:w="1169"/>
          </w:tcPr>
          <w:p>
            <w:r>
              <w:rPr>
                <w:sz w:val="20"/>
              </w:rPr>
              <w:t>6-12 h</w:t>
            </w:r>
          </w:p>
        </w:tc>
        <w:tc>
          <w:tcPr>
            <w:tcW w:type="dxa" w:w="1169"/>
          </w:tcPr>
          <w:p>
            <w:r>
              <w:rPr>
                <w:sz w:val="20"/>
              </w:rPr>
              <w:t>10-20 gouttes (5-10 mg) le soir HS</w:t>
            </w:r>
          </w:p>
        </w:tc>
        <w:tc>
          <w:tcPr>
            <w:tcW w:type="dxa" w:w="1169"/>
          </w:tcPr>
          <w:p>
            <w:r>
              <w:rPr>
                <w:sz w:val="20"/>
              </w:rPr>
              <w:t>Identique au bisacodyl</w:t>
            </w:r>
          </w:p>
        </w:tc>
        <w:tc>
          <w:tcPr>
            <w:tcW w:type="dxa" w:w="1169"/>
          </w:tcPr>
          <w:p>
            <w:r>
              <w:rPr>
                <w:sz w:val="20"/>
              </w:rPr>
              <w:t>Identique au bisacodyl</w:t>
            </w:r>
          </w:p>
        </w:tc>
        <w:tc>
          <w:tcPr>
            <w:tcW w:type="dxa" w:w="1169"/>
          </w:tcPr>
          <w:p>
            <w:r>
              <w:rPr>
                <w:sz w:val="20"/>
              </w:rPr>
              <w:t>À éviter</w:t>
            </w:r>
          </w:p>
        </w:tc>
      </w:tr>
      <w:tr>
        <w:tc>
          <w:tcPr>
            <w:tcW w:type="dxa" w:w="1169"/>
          </w:tcPr>
          <w:p>
            <w:r>
              <w:rPr>
                <w:sz w:val="20"/>
              </w:rPr>
              <w:t>**Sennosides (séné)**</w:t>
            </w:r>
          </w:p>
        </w:tc>
        <w:tc>
          <w:tcPr>
            <w:tcW w:type="dxa" w:w="1169"/>
          </w:tcPr>
          <w:p>
            <w:r>
              <w:rPr>
                <w:sz w:val="20"/>
              </w:rPr>
              <w:t>Laxatif stimulant anthracénique</w:t>
            </w:r>
          </w:p>
        </w:tc>
        <w:tc>
          <w:tcPr>
            <w:tcW w:type="dxa" w:w="1169"/>
          </w:tcPr>
          <w:p>
            <w:r>
              <w:rPr>
                <w:sz w:val="20"/>
              </w:rPr>
              <w:t>Hydrolyse bactérienne → anthrones : stimulation myentérique, inhibition Na⁺/K⁺-ATPase, activation CFTR</w:t>
            </w:r>
          </w:p>
        </w:tc>
        <w:tc>
          <w:tcPr>
            <w:tcW w:type="dxa" w:w="1169"/>
          </w:tcPr>
          <w:p>
            <w:r>
              <w:rPr>
                <w:sz w:val="20"/>
              </w:rPr>
              <w:t>8-12 h</w:t>
            </w:r>
          </w:p>
        </w:tc>
        <w:tc>
          <w:tcPr>
            <w:tcW w:type="dxa" w:w="1169"/>
          </w:tcPr>
          <w:p>
            <w:r>
              <w:rPr>
                <w:sz w:val="20"/>
              </w:rPr>
              <w:t>12-36 mg/j le soir HS</w:t>
            </w:r>
          </w:p>
        </w:tc>
        <w:tc>
          <w:tcPr>
            <w:tcW w:type="dxa" w:w="1169"/>
          </w:tcPr>
          <w:p>
            <w:r>
              <w:rPr>
                <w:sz w:val="20"/>
              </w:rPr>
              <w:t>Mélanose colique, cathartic colon, urine colorée</w:t>
            </w:r>
          </w:p>
        </w:tc>
        <w:tc>
          <w:tcPr>
            <w:tcW w:type="dxa" w:w="1169"/>
          </w:tcPr>
          <w:p>
            <w:r>
              <w:rPr>
                <w:sz w:val="20"/>
              </w:rPr>
              <w:t>Occlusion, enfant &lt; 12 ans, grossesse, allaitement</w:t>
            </w:r>
          </w:p>
        </w:tc>
        <w:tc>
          <w:tcPr>
            <w:tcW w:type="dxa" w:w="1169"/>
          </w:tcPr>
          <w:p>
            <w:r>
              <w:rPr>
                <w:sz w:val="20"/>
              </w:rPr>
              <w:t>À éviter</w:t>
            </w:r>
          </w:p>
        </w:tc>
      </w:tr>
      <w:tr>
        <w:tc>
          <w:tcPr>
            <w:tcW w:type="dxa" w:w="1169"/>
          </w:tcPr>
          <w:p>
            <w:r>
              <w:rPr>
                <w:sz w:val="20"/>
              </w:rPr>
              <w:t>**Huile de paraffine**</w:t>
            </w:r>
          </w:p>
        </w:tc>
        <w:tc>
          <w:tcPr>
            <w:tcW w:type="dxa" w:w="1169"/>
          </w:tcPr>
          <w:p>
            <w:r>
              <w:rPr>
                <w:sz w:val="20"/>
              </w:rPr>
              <w:t>Laxatif émollient/lubrifiant</w:t>
            </w:r>
          </w:p>
        </w:tc>
        <w:tc>
          <w:tcPr>
            <w:tcW w:type="dxa" w:w="1169"/>
          </w:tcPr>
          <w:p>
            <w:r>
              <w:rPr>
                <w:sz w:val="20"/>
              </w:rPr>
              <w:t>Lubrification physique du bol fécal, enrobage hydrophobe anti-réabsorption</w:t>
            </w:r>
          </w:p>
        </w:tc>
        <w:tc>
          <w:tcPr>
            <w:tcW w:type="dxa" w:w="1169"/>
          </w:tcPr>
          <w:p>
            <w:r>
              <w:rPr>
                <w:sz w:val="20"/>
              </w:rPr>
              <w:t>6-8 h</w:t>
            </w:r>
          </w:p>
        </w:tc>
        <w:tc>
          <w:tcPr>
            <w:tcW w:type="dxa" w:w="1169"/>
          </w:tcPr>
          <w:p>
            <w:r>
              <w:rPr>
                <w:sz w:val="20"/>
              </w:rPr>
              <w:t>15-45 mL/j en 1-3 prises</w:t>
            </w:r>
          </w:p>
        </w:tc>
        <w:tc>
          <w:tcPr>
            <w:tcW w:type="dxa" w:w="1169"/>
          </w:tcPr>
          <w:p>
            <w:r>
              <w:rPr>
                <w:sz w:val="20"/>
              </w:rPr>
              <w:t>Pneumopathie lipidique (inhalation), carence vit. liposolubles</w:t>
            </w:r>
          </w:p>
        </w:tc>
        <w:tc>
          <w:tcPr>
            <w:tcW w:type="dxa" w:w="1169"/>
          </w:tcPr>
          <w:p>
            <w:r>
              <w:rPr>
                <w:sz w:val="20"/>
              </w:rPr>
              <w:t>Troubles de déglutition, enfant &lt; 6 ans, décubitus</w:t>
            </w:r>
          </w:p>
        </w:tc>
        <w:tc>
          <w:tcPr>
            <w:tcW w:type="dxa" w:w="1169"/>
          </w:tcPr>
          <w:p>
            <w:r>
              <w:rPr>
                <w:sz w:val="20"/>
              </w:rPr>
              <w:t>À éviter</w:t>
            </w:r>
          </w:p>
        </w:tc>
      </w:tr>
      <w:tr>
        <w:tc>
          <w:tcPr>
            <w:tcW w:type="dxa" w:w="1169"/>
          </w:tcPr>
          <w:p>
            <w:r>
              <w:rPr>
                <w:sz w:val="20"/>
              </w:rPr>
              <w:t>**Psyllium**</w:t>
            </w:r>
          </w:p>
        </w:tc>
        <w:tc>
          <w:tcPr>
            <w:tcW w:type="dxa" w:w="1169"/>
          </w:tcPr>
          <w:p>
            <w:r>
              <w:rPr>
                <w:sz w:val="20"/>
              </w:rPr>
              <w:t>Laxatif de charge (fibres)</w:t>
            </w:r>
          </w:p>
        </w:tc>
        <w:tc>
          <w:tcPr>
            <w:tcW w:type="dxa" w:w="1169"/>
          </w:tcPr>
          <w:p>
            <w:r>
              <w:rPr>
                <w:sz w:val="20"/>
              </w:rPr>
              <w:t>Hydratation du mucilage → augmentation volume fécal → stimulation mécanorécepteurs</w:t>
            </w:r>
          </w:p>
        </w:tc>
        <w:tc>
          <w:tcPr>
            <w:tcW w:type="dxa" w:w="1169"/>
          </w:tcPr>
          <w:p>
            <w:r>
              <w:rPr>
                <w:sz w:val="20"/>
              </w:rPr>
              <w:t>12-72 h</w:t>
            </w:r>
          </w:p>
        </w:tc>
        <w:tc>
          <w:tcPr>
            <w:tcW w:type="dxa" w:w="1169"/>
          </w:tcPr>
          <w:p>
            <w:r>
              <w:rPr>
                <w:sz w:val="20"/>
              </w:rPr>
              <w:t>5-15 g/j en 1-3 prises avec 200 mL eau</w:t>
            </w:r>
          </w:p>
        </w:tc>
        <w:tc>
          <w:tcPr>
            <w:tcW w:type="dxa" w:w="1169"/>
          </w:tcPr>
          <w:p>
            <w:r>
              <w:rPr>
                <w:sz w:val="20"/>
              </w:rPr>
              <w:t>Bézoard si prise sans eau, ballonnements</w:t>
            </w:r>
          </w:p>
        </w:tc>
        <w:tc>
          <w:tcPr>
            <w:tcW w:type="dxa" w:w="1169"/>
          </w:tcPr>
          <w:p>
            <w:r>
              <w:rPr>
                <w:sz w:val="20"/>
              </w:rPr>
              <w:t>Sténose œsophagienne, occlusion, enfant &lt; 6 ans</w:t>
            </w:r>
          </w:p>
        </w:tc>
        <w:tc>
          <w:tcPr>
            <w:tcW w:type="dxa" w:w="1169"/>
          </w:tcPr>
          <w:p>
            <w:r>
              <w:rPr>
                <w:sz w:val="20"/>
              </w:rPr>
              <w:t>Compatible (référence)</w:t>
            </w:r>
          </w:p>
        </w:tc>
      </w:tr>
      <w:tr>
        <w:tc>
          <w:tcPr>
            <w:tcW w:type="dxa" w:w="1169"/>
          </w:tcPr>
          <w:p>
            <w:r>
              <w:rPr>
                <w:sz w:val="20"/>
              </w:rPr>
              <w:t>**Lopéramide**</w:t>
            </w:r>
          </w:p>
        </w:tc>
        <w:tc>
          <w:tcPr>
            <w:tcW w:type="dxa" w:w="1169"/>
          </w:tcPr>
          <w:p>
            <w:r>
              <w:rPr>
                <w:sz w:val="20"/>
              </w:rPr>
              <w:t>Anti-diarrhéique opioïde μ périphérique</w:t>
            </w:r>
          </w:p>
        </w:tc>
        <w:tc>
          <w:tcPr>
            <w:tcW w:type="dxa" w:w="1169"/>
          </w:tcPr>
          <w:p>
            <w:r>
              <w:rPr>
                <w:sz w:val="20"/>
              </w:rPr>
              <w:t>Agoniste μ entérocytaire → ↓ sécrétion Cl⁻/H₂O + ↑ tonus sphincter anal + ↓ péristaltisme</w:t>
            </w:r>
          </w:p>
        </w:tc>
        <w:tc>
          <w:tcPr>
            <w:tcW w:type="dxa" w:w="1169"/>
          </w:tcPr>
          <w:p>
            <w:r>
              <w:rPr>
                <w:sz w:val="20"/>
              </w:rPr>
              <w:t>30-60 min</w:t>
            </w:r>
          </w:p>
        </w:tc>
        <w:tc>
          <w:tcPr>
            <w:tcW w:type="dxa" w:w="1169"/>
          </w:tcPr>
          <w:p>
            <w:r>
              <w:rPr>
                <w:sz w:val="20"/>
              </w:rPr>
              <w:t>4 mg initiale + 2 mg/selle liquide, max 16 mg/j</w:t>
            </w:r>
          </w:p>
        </w:tc>
        <w:tc>
          <w:tcPr>
            <w:tcW w:type="dxa" w:w="1169"/>
          </w:tcPr>
          <w:p>
            <w:r>
              <w:rPr>
                <w:sz w:val="20"/>
              </w:rPr>
              <w:t>Iléus paralytique, mégacôlon toxique, allongement QT</w:t>
            </w:r>
          </w:p>
        </w:tc>
        <w:tc>
          <w:tcPr>
            <w:tcW w:type="dxa" w:w="1169"/>
          </w:tcPr>
          <w:p>
            <w:r>
              <w:rPr>
                <w:sz w:val="20"/>
              </w:rPr>
              <w:t>Enfant &lt; 2 ans, colite C. difficile, diarrhée fébrile/sanglante</w:t>
            </w:r>
          </w:p>
        </w:tc>
        <w:tc>
          <w:tcPr>
            <w:tcW w:type="dxa" w:w="1169"/>
          </w:tcPr>
          <w:p>
            <w:r>
              <w:rPr>
                <w:sz w:val="20"/>
              </w:rPr>
              <w:t>Possible (court terme, 2e-3e trimestres) ; CI allaitement</w:t>
            </w:r>
          </w:p>
        </w:tc>
      </w:tr>
      <w:tr>
        <w:tc>
          <w:tcPr>
            <w:tcW w:type="dxa" w:w="1169"/>
          </w:tcPr>
          <w:p>
            <w:r>
              <w:rPr>
                <w:sz w:val="20"/>
              </w:rPr>
              <w:t>**Racecadotril**</w:t>
            </w:r>
          </w:p>
        </w:tc>
        <w:tc>
          <w:tcPr>
            <w:tcW w:type="dxa" w:w="1169"/>
          </w:tcPr>
          <w:p>
            <w:r>
              <w:rPr>
                <w:sz w:val="20"/>
              </w:rPr>
              <w:t>Anti-diarrhéique inhibiteur de l'enképhalinase</w:t>
            </w:r>
          </w:p>
        </w:tc>
        <w:tc>
          <w:tcPr>
            <w:tcW w:type="dxa" w:w="1169"/>
          </w:tcPr>
          <w:p>
            <w:r>
              <w:rPr>
                <w:sz w:val="20"/>
              </w:rPr>
              <w:t>Prodrogue → thiorphan → inhibition néprilysine → ↑ enképhalines → activation μδ → ↓ sécrétion Cl⁻/H₂O</w:t>
            </w:r>
          </w:p>
        </w:tc>
        <w:tc>
          <w:tcPr>
            <w:tcW w:type="dxa" w:w="1169"/>
          </w:tcPr>
          <w:p>
            <w:r>
              <w:rPr>
                <w:sz w:val="20"/>
              </w:rPr>
              <w:t>30-60 min</w:t>
            </w:r>
          </w:p>
        </w:tc>
        <w:tc>
          <w:tcPr>
            <w:tcW w:type="dxa" w:w="1169"/>
          </w:tcPr>
          <w:p>
            <w:r>
              <w:rPr>
                <w:sz w:val="20"/>
              </w:rPr>
              <w:t>1,5 mg/kg/prise avant chaque selle liquide, max 3-4/j, 7 jours max</w:t>
            </w:r>
          </w:p>
        </w:tc>
        <w:tc>
          <w:tcPr>
            <w:tcW w:type="dxa" w:w="1169"/>
          </w:tcPr>
          <w:p>
            <w:r>
              <w:rPr>
                <w:sz w:val="20"/>
              </w:rPr>
              <w:t>Très rare : éruption cutanée</w:t>
            </w:r>
          </w:p>
        </w:tc>
        <w:tc>
          <w:tcPr>
            <w:tcW w:type="dxa" w:w="1169"/>
          </w:tcPr>
          <w:p>
            <w:r>
              <w:rPr>
                <w:sz w:val="20"/>
              </w:rPr>
              <w:t>Nourrisson &lt; 3 mois, diarrhée fébrile/sanglante</w:t>
            </w:r>
          </w:p>
        </w:tc>
        <w:tc>
          <w:tcPr>
            <w:tcW w:type="dxa" w:w="1169"/>
          </w:tcPr>
          <w:p>
            <w:r>
              <w:rPr>
                <w:sz w:val="20"/>
              </w:rPr>
              <w:t>Possible (2e-3e trimestres) ; éviter allaitement</w:t>
            </w:r>
          </w:p>
        </w:tc>
      </w:tr>
      <w:tr>
        <w:tc>
          <w:tcPr>
            <w:tcW w:type="dxa" w:w="1169"/>
          </w:tcPr>
          <w:p>
            <w:r>
              <w:rPr>
                <w:sz w:val="20"/>
              </w:rPr>
              <w:t>**Diosmectite**</w:t>
            </w:r>
          </w:p>
        </w:tc>
        <w:tc>
          <w:tcPr>
            <w:tcW w:type="dxa" w:w="1169"/>
          </w:tcPr>
          <w:p>
            <w:r>
              <w:rPr>
                <w:sz w:val="20"/>
              </w:rPr>
              <w:t>Anti-diarrhéique pansement intestinal (argile)</w:t>
            </w:r>
          </w:p>
        </w:tc>
        <w:tc>
          <w:tcPr>
            <w:tcW w:type="dxa" w:w="1169"/>
          </w:tcPr>
          <w:p>
            <w:r>
              <w:rPr>
                <w:sz w:val="20"/>
              </w:rPr>
              <w:t>Adsorption toxines/virus/gaz + coating muqueuse + adsorption eau</w:t>
            </w:r>
          </w:p>
        </w:tc>
        <w:tc>
          <w:tcPr>
            <w:tcW w:type="dxa" w:w="1169"/>
          </w:tcPr>
          <w:p>
            <w:r>
              <w:rPr>
                <w:sz w:val="20"/>
              </w:rPr>
              <w:t>12-24 h</w:t>
            </w:r>
          </w:p>
        </w:tc>
        <w:tc>
          <w:tcPr>
            <w:tcW w:type="dxa" w:w="1169"/>
          </w:tcPr>
          <w:p>
            <w:r>
              <w:rPr>
                <w:sz w:val="20"/>
              </w:rPr>
              <w:t>3 sachets (9 g)/j en 3 prises</w:t>
            </w:r>
          </w:p>
        </w:tc>
        <w:tc>
          <w:tcPr>
            <w:tcW w:type="dxa" w:w="1169"/>
          </w:tcPr>
          <w:p>
            <w:r>
              <w:rPr>
                <w:sz w:val="20"/>
              </w:rPr>
              <w:t>Constipation dose-dépendante</w:t>
            </w:r>
          </w:p>
        </w:tc>
        <w:tc>
          <w:tcPr>
            <w:tcW w:type="dxa" w:w="1169"/>
          </w:tcPr>
          <w:p>
            <w:r>
              <w:rPr>
                <w:sz w:val="20"/>
              </w:rPr>
              <w:t>Occlusion, fécalome</w:t>
            </w:r>
          </w:p>
        </w:tc>
        <w:tc>
          <w:tcPr>
            <w:tcW w:type="dxa" w:w="1169"/>
          </w:tcPr>
          <w:p>
            <w:r>
              <w:rPr>
                <w:sz w:val="20"/>
              </w:rPr>
              <w:t>Compatible (référence)</w:t>
            </w:r>
          </w:p>
        </w:tc>
      </w:tr>
      <w:tr>
        <w:tc>
          <w:tcPr>
            <w:tcW w:type="dxa" w:w="1169"/>
          </w:tcPr>
          <w:p>
            <w:r>
              <w:rPr>
                <w:sz w:val="20"/>
              </w:rPr>
              <w:t>**Saccharomyces boulardii**</w:t>
            </w:r>
          </w:p>
        </w:tc>
        <w:tc>
          <w:tcPr>
            <w:tcW w:type="dxa" w:w="1169"/>
          </w:tcPr>
          <w:p>
            <w:r>
              <w:rPr>
                <w:sz w:val="20"/>
              </w:rPr>
              <w:t>Probiotique levure</w:t>
            </w:r>
          </w:p>
        </w:tc>
        <w:tc>
          <w:tcPr>
            <w:tcW w:type="dxa" w:w="1169"/>
          </w:tcPr>
          <w:p>
            <w:r>
              <w:rPr>
                <w:sz w:val="20"/>
              </w:rPr>
              <w:t>Compétition sites adhésion + inactivation toxines (protéinase) + IgA scret + anti-inflammatoire</w:t>
            </w:r>
          </w:p>
        </w:tc>
        <w:tc>
          <w:tcPr>
            <w:tcW w:type="dxa" w:w="1169"/>
          </w:tcPr>
          <w:p>
            <w:r>
              <w:rPr>
                <w:sz w:val="20"/>
              </w:rPr>
              <w:t>24-48 h</w:t>
            </w:r>
          </w:p>
        </w:tc>
        <w:tc>
          <w:tcPr>
            <w:tcW w:type="dxa" w:w="1169"/>
          </w:tcPr>
          <w:p>
            <w:r>
              <w:rPr>
                <w:sz w:val="20"/>
              </w:rPr>
              <w:t>200 mg/j en 1 prise (1 gélule ou 2 sachets)</w:t>
            </w:r>
          </w:p>
        </w:tc>
        <w:tc>
          <w:tcPr>
            <w:tcW w:type="dxa" w:w="1169"/>
          </w:tcPr>
          <w:p>
            <w:r>
              <w:rPr>
                <w:sz w:val="20"/>
              </w:rPr>
              <w:t>Ballonnements, fongémie (immunodéprimé)</w:t>
            </w:r>
          </w:p>
        </w:tc>
        <w:tc>
          <w:tcPr>
            <w:tcW w:type="dxa" w:w="1169"/>
          </w:tcPr>
          <w:p>
            <w:r>
              <w:rPr>
                <w:sz w:val="20"/>
              </w:rPr>
              <w:t>Immunodépression, cathéter central, prématuré</w:t>
            </w:r>
          </w:p>
        </w:tc>
        <w:tc>
          <w:tcPr>
            <w:tcW w:type="dxa" w:w="1169"/>
          </w:tcPr>
          <w:p>
            <w:r>
              <w:rPr>
                <w:sz w:val="20"/>
              </w:rPr>
              <w:t>Compatible</w:t>
            </w:r>
          </w:p>
        </w:tc>
      </w:tr>
    </w:tbl>
    <w:p/>
    <w:p>
      <w:pPr>
        <w:pStyle w:val="Heading2"/>
      </w:pPr>
      <w:r>
        <w:t>Récapitulatif des indications privilégiées par situation clinique</w:t>
      </w:r>
    </w:p>
    <w:p>
      <w:pPr>
        <w:pStyle w:val="Heading3"/>
      </w:pPr>
      <w:r>
        <w:t>Constipation</w:t>
      </w:r>
    </w:p>
    <w:p>
      <w:pPr>
        <w:pStyle w:val="ListBullet"/>
      </w:pPr>
      <w:r/>
      <w:r>
        <w:rPr>
          <w:b/>
        </w:rPr>
        <w:t>Femme enceinte ou allaitante</w:t>
      </w:r>
      <w:r>
        <w:t xml:space="preserve"> : Lactulose ou Macrogol ou Psyllium (compatibles, CRAT). Éviter les stimulants.</w:t>
      </w:r>
    </w:p>
    <w:p>
      <w:pPr>
        <w:pStyle w:val="ListBullet"/>
      </w:pPr>
      <w:r/>
      <w:r>
        <w:rPr>
          <w:b/>
        </w:rPr>
        <w:t>Sujet âgé</w:t>
      </w:r>
      <w:r>
        <w:t xml:space="preserve"> : Lactulose, Macrogol (sans risque d'inhalation, contrairement à l'huile de paraffine). Psyllium si hydratation suffisante. Éviter les stimulants au long cours.</w:t>
      </w:r>
    </w:p>
    <w:p>
      <w:pPr>
        <w:pStyle w:val="ListBullet"/>
      </w:pPr>
      <w:r/>
      <w:r>
        <w:rPr>
          <w:b/>
        </w:rPr>
        <w:t>Enfant</w:t>
      </w:r>
      <w:r>
        <w:t xml:space="preserve"> : Macrogol (Forlax 4G à partir de 6 mois), Lactulose. Éviter les stimulants avant 6 ans. Désimpaction fécale : Macrogol 3350 avec électrolytes.</w:t>
      </w:r>
    </w:p>
    <w:p>
      <w:pPr>
        <w:pStyle w:val="ListBullet"/>
      </w:pPr>
      <w:r/>
      <w:r>
        <w:rPr>
          <w:b/>
        </w:rPr>
        <w:t>Constipation aiguë</w:t>
      </w:r>
      <w:r>
        <w:t xml:space="preserve"> : Bisacodyl, Picosulfate, Sennosides — cure courte (8-10 jours max).</w:t>
      </w:r>
    </w:p>
    <w:p>
      <w:pPr>
        <w:pStyle w:val="ListBullet"/>
      </w:pPr>
      <w:r/>
      <w:r>
        <w:rPr>
          <w:b/>
        </w:rPr>
        <w:t>Constipation chronique</w:t>
      </w:r>
      <w:r>
        <w:t xml:space="preserve"> : Psyllium, Macrogol, Lactulose au long cours possible.</w:t>
      </w:r>
    </w:p>
    <w:p>
      <w:pPr>
        <w:pStyle w:val="ListBullet"/>
      </w:pPr>
      <w:r/>
      <w:r>
        <w:rPr>
          <w:b/>
        </w:rPr>
        <w:t>Fissure anale, hémorroïdes</w:t>
      </w:r>
      <w:r>
        <w:t xml:space="preserve"> : Huile de paraffine, Psyllium (ramollissement des selles).</w:t>
      </w:r>
    </w:p>
    <w:p>
      <w:pPr>
        <w:pStyle w:val="ListBullet"/>
      </w:pPr>
      <w:r/>
      <w:r>
        <w:rPr>
          <w:b/>
        </w:rPr>
        <w:t>Post-opératoire</w:t>
      </w:r>
      <w:r>
        <w:t xml:space="preserve"> : Lactulose, Macrogol (sans irritation).</w:t>
      </w:r>
    </w:p>
    <w:p>
      <w:pPr>
        <w:pStyle w:val="ListBullet"/>
      </w:pPr>
      <w:r/>
      <w:r>
        <w:rPr>
          <w:b/>
        </w:rPr>
        <w:t>Préparation colique</w:t>
      </w:r>
      <w:r>
        <w:t xml:space="preserve"> : Macrogol + électrolytes (Fortrans, 4 L), ou Picoprep (faible volume), ou association PEG + bisacodyl.</w:t>
      </w:r>
    </w:p>
    <w:p>
      <w:pPr>
        <w:pStyle w:val="Heading3"/>
      </w:pPr>
      <w:r>
        <w:t>Diarrhée</w:t>
      </w:r>
    </w:p>
    <w:p>
      <w:pPr>
        <w:pStyle w:val="ListBullet"/>
      </w:pPr>
      <w:r/>
      <w:r>
        <w:rPr>
          <w:b/>
        </w:rPr>
        <w:t>Femme enceinte ou allaitante</w:t>
      </w:r>
      <w:r>
        <w:t xml:space="preserve"> : Diosmectite + SRO (premier choix). Racecadotril possible au 2e-3e trimestre. Lopéramide à éviter.</w:t>
      </w:r>
    </w:p>
    <w:p>
      <w:pPr>
        <w:pStyle w:val="ListBullet"/>
      </w:pPr>
      <w:r/>
      <w:r>
        <w:rPr>
          <w:b/>
        </w:rPr>
        <w:t>Nourrisson (&lt; 2 ans)</w:t>
      </w:r>
      <w:r>
        <w:t xml:space="preserve"> : SRO + Diosmectite + Racecadotril (à partir de 3 mois). </w:t>
      </w:r>
      <w:r>
        <w:rPr>
          <w:b/>
        </w:rPr>
        <w:t>Lopéramide CONTRE-INDIQUÉ</w:t>
      </w:r>
      <w:r>
        <w:t xml:space="preserve"> (risque vital).</w:t>
      </w:r>
    </w:p>
    <w:p>
      <w:pPr>
        <w:pStyle w:val="ListBullet"/>
      </w:pPr>
      <w:r/>
      <w:r>
        <w:rPr>
          <w:b/>
        </w:rPr>
        <w:t>Enfant 2-12 ans</w:t>
      </w:r>
      <w:r>
        <w:t xml:space="preserve"> : SRO + Diosmectite + Racecadotril. Lopéramide sur prescription stricte uniquement (forme sirop INPHADIUM).</w:t>
      </w:r>
    </w:p>
    <w:p>
      <w:pPr>
        <w:pStyle w:val="ListBullet"/>
      </w:pPr>
      <w:r/>
      <w:r>
        <w:rPr>
          <w:b/>
        </w:rPr>
        <w:t>Adulte jeune</w:t>
      </w:r>
      <w:r>
        <w:t xml:space="preserve"> : Diosmectite ou Racecadotril en première intention. Lopéramide possible (court terme, max 48 h).</w:t>
      </w:r>
    </w:p>
    <w:p>
      <w:pPr>
        <w:pStyle w:val="ListBullet"/>
      </w:pPr>
      <w:r/>
      <w:r>
        <w:rPr>
          <w:b/>
        </w:rPr>
        <w:t>Diarrhée fébrile ou sanglante</w:t>
      </w:r>
      <w:r>
        <w:t xml:space="preserve"> : Pas d'anti-diarrhéique ralentisseur. Consultation médicale urgente, coproculture, antibiothérapie adaptée.</w:t>
      </w:r>
    </w:p>
    <w:p>
      <w:pPr>
        <w:pStyle w:val="ListBullet"/>
      </w:pPr>
      <w:r/>
      <w:r>
        <w:rPr>
          <w:b/>
        </w:rPr>
        <w:t>Diarrhée associée aux antibiotiques</w:t>
      </w:r>
      <w:r>
        <w:t xml:space="preserve"> : Saccharomyces boulardii (prévention), Diosmectite (traitement). Suspicion C. difficile : arrêt antibiotique, métronidazole ou vancomycine, </w:t>
      </w:r>
      <w:r>
        <w:rPr>
          <w:b/>
        </w:rPr>
        <w:t>Lopéramide CONTRE-INDIQUÉ</w:t>
      </w:r>
      <w:r>
        <w:t>.</w:t>
      </w:r>
    </w:p>
    <w:p>
      <w:pPr>
        <w:pStyle w:val="ListBullet"/>
      </w:pPr>
      <w:r/>
      <w:r>
        <w:rPr>
          <w:b/>
        </w:rPr>
        <w:t>Diarrhée du voyageur</w:t>
      </w:r>
      <w:r>
        <w:t xml:space="preserve"> : SRO + Lopéramide (si adulte, non fébrile, non sanglant) ± antibiothérapie (azithromycine, fluoroquinolone).</w:t>
      </w:r>
    </w:p>
    <w:p>
      <w:pPr>
        <w:pStyle w:val="ListBullet"/>
      </w:pPr>
      <w:r/>
      <w:r>
        <w:rPr>
          <w:b/>
        </w:rPr>
        <w:t>Diarrhée chronique fonctionnelle</w:t>
      </w:r>
      <w:r>
        <w:t xml:space="preserve"> : Lopéramide à faible dose chronique (2-6 mg/j), sous suivi médical.</w:t>
      </w:r>
    </w:p>
    <w:p>
      <w:pPr>
        <w:pStyle w:val="Heading2"/>
      </w:pPr>
      <w:r>
        <w:t>Points clés pour la pratique au comptoir</w:t>
      </w:r>
    </w:p>
    <w:p>
      <w:pPr>
        <w:pStyle w:val="ListNumber"/>
      </w:pPr>
      <w:r/>
      <w:r>
        <w:rPr>
          <w:b/>
        </w:rPr>
        <w:t>Toujours rechercher les drapeaux rouges</w:t>
      </w:r>
      <w:r>
        <w:t xml:space="preserve"> avant de délivrer un anti-diarrhéique ou un laxatif sans ordonnance : fièvre, sang dans les selles, altération de l'état général, déshydratation, durée &gt; 7 jours, douleurs abdominales violentes, enfant &lt; 2 ans, immunodépression. → Orientation médicale.</w:t>
      </w:r>
    </w:p>
    <w:p>
      <w:pPr>
        <w:pStyle w:val="ListNumber"/>
      </w:pPr>
      <w:r/>
      <w:r>
        <w:rPr>
          <w:b/>
        </w:rPr>
        <w:t>Toujours associer la réhydratation orale (SRO)</w:t>
      </w:r>
      <w:r>
        <w:t xml:space="preserve"> à tout anti-diarrhéique chez le nourrisson et l'enfant, et chez l'adulte en cas de diarrhée abondante. Le SRO de l'OMS (NaCl 2,6 g + KCl 1,5 g + citrate trisodique 2,9 g + glucose 13,5 g/L) ou les SRO commerciaux sont disponibles en pharmacie d'officine.</w:t>
      </w:r>
    </w:p>
    <w:p>
      <w:pPr>
        <w:pStyle w:val="ListNumber"/>
      </w:pPr>
      <w:r/>
      <w:r>
        <w:rPr>
          <w:b/>
        </w:rPr>
        <w:t>Éducation du patient sur la durée d'utilisation</w:t>
      </w:r>
      <w:r>
        <w:t xml:space="preserve"> : tous les laxatifs stimulants (bisacodyl, picosulfate, sennosides) doivent être limités à 8-10 jours en auto-médication ; l'usage chronique expose à la mélanose colique, au cathartic colon, à l'hypokaliémie et aux troubles du rythme. Préférer en traitement chronique les osmotiques (macrogol, lactulose) ou les fibres (psyllium).</w:t>
      </w:r>
    </w:p>
    <w:p>
      <w:pPr>
        <w:pStyle w:val="ListNumber"/>
      </w:pPr>
      <w:r/>
      <w:r>
        <w:rPr>
          <w:b/>
        </w:rPr>
        <w:t>Vérifier les associations médicamenteuses</w:t>
      </w:r>
      <w:r>
        <w:t xml:space="preserve"> : tous les laxatifs et pansements intestinaux peuvent diminuer l'absorption des médicaments oraux (espacer d'au moins 2 heures). Lopéramide + inhibiteurs de la P-gp (ritonavir, itraconazole, etc.) = risque létal de torsades de pointes. Saccharomyces boulardii + antifongiques oraux = inefficacité.</w:t>
      </w:r>
    </w:p>
    <w:p>
      <w:pPr>
        <w:pStyle w:val="ListNumber"/>
      </w:pPr>
      <w:r/>
      <w:r>
        <w:rPr>
          <w:b/>
        </w:rPr>
        <w:t>Respecter les contre-indications pédiatriques absolues</w:t>
      </w:r>
      <w:r>
        <w:t xml:space="preserve"> : Lopéramide &lt; 2 ans (risque vital), Huile de paraffine &lt; 6 ans (pneumopathie lipidique), Bisacodyl &lt; 6 ans (oral), Sennosides &lt; 12 ans en auto-médication.</w:t>
      </w:r>
    </w:p>
    <w:p>
      <w:pPr>
        <w:pStyle w:val="ListNumber"/>
      </w:pPr>
      <w:r/>
      <w:r>
        <w:rPr>
          <w:b/>
        </w:rPr>
        <w:t>Hydratation et hygiène de vie</w:t>
      </w:r>
      <w:r>
        <w:t xml:space="preserve"> sont toujours la base du traitement de la constipation et de la diarrhée : eau (≥ 1,5-2 L/j), fibres alimentaires (fruits, légumes, céréales complètes), activité physique régulière, horaires réguliers des repas et de la défécation.</w:t>
      </w:r>
    </w:p>
    <w:p>
      <w:pPr>
        <w:pStyle w:val="ListNumber"/>
      </w:pPr>
      <w:r/>
      <w:r>
        <w:rPr>
          <w:b/>
        </w:rPr>
        <w:t>Penser au SRO en pédiatrie</w:t>
      </w:r>
      <w:r>
        <w:t xml:space="preserve"> : le SRO reste le traitement de première intention de la diarrhée aiguë du nourrisson et de l'enfant, en complément des anti-diarrhéiques (racecadotril, diosmectite). Le SRO réduit la mortalité par déshydratation de manière démontrée (OMS).</w:t>
      </w:r>
    </w:p>
    <w:p>
      <w:pPr>
        <w:pStyle w:val="ListNumber"/>
      </w:pPr>
      <w:r/>
      <w:r>
        <w:rPr>
          <w:b/>
        </w:rPr>
        <w:t>Suivre l'évolution clinique</w:t>
      </w:r>
      <w:r>
        <w:t xml:space="preserve"> : tout traitement anti-diarrhéique ou laxatif non amélioré après 7 jours doit faire consulter un médecin pour recherche étiologique (coproculture, parasitologie, examen proctologique, coloscopie).</w:t>
      </w:r>
    </w:p>
    <w:p>
      <w:pPr>
        <w:pStyle w:val="Heading2"/>
      </w:pPr>
      <w:r>
        <w:t>Conclusion du chapitre</w:t>
      </w:r>
    </w:p>
    <w:p>
      <w:r>
        <w:t xml:space="preserve">Les laxatifs et anti-diarrhéiques constituent l'arsenal thérapeutique de base du transit intestinal. Leur maîtrise pharmacologique permet au pharmacien d'officine et au médecin de proposer une prise en charge graduée et personnalisée, en tenant compte de l'âge, du terrain, de la grossesse, de l'allaitement, et des comorbidités. La tendance actuelle est à la prescription privilégiée des traitements "physiologiques" (fibres, osmotiques) et à la limitation stricte des stimulants en cures courtes. Pour les diarrhées, le SRO et la diosmectite sont les piliers de la prise en charge pédiatrique, tandis que le racecadotril offre une alternative originale par son mécanisme anti-sécrétoire pur. Le lopéramide reste utile chez l'adulte en cure très courte, mais ses contre-indications absolues (enfant &lt; 2 ans, colite à </w:t>
      </w:r>
      <w:r>
        <w:rPr>
          <w:i/>
        </w:rPr>
        <w:t>C. difficile</w:t>
      </w:r>
      <w:r>
        <w:t>, diarrhée invasive) doivent être connues de tout professionnel de santé. Saccharomyces boulardii occupe une place de choix dans la prévention de la diarrhée associée aux antibiotiques, avec un profil de tolérance excellent chez le patient immunocompétent. La collaboration pharmacien-médecin-patient est essentielle pour assurer un usage rationnel, sécurisé et efficace de ces médicaments.</w:t>
      </w:r>
    </w:p>
    <w:p>
      <w:pPr>
        <w:pStyle w:val="Heading1"/>
      </w:pPr>
      <w:r>
        <w:t>Fascicule VI – Gastro-entérologie</w:t>
      </w:r>
    </w:p>
    <w:p>
      <w:pPr>
        <w:pStyle w:val="Heading2"/>
      </w:pPr>
      <w:r>
        <w:t>Chapitre 55 — Hépato-protecteurs, Acides biliaires, Enzymes digestives et Véno-actifs</w:t>
      </w:r>
    </w:p>
    <w:p>
      <w:pPr>
        <w:pStyle w:val="Heading3"/>
      </w:pPr>
      <w:r>
        <w:t>Introduction générale du chapitre</w:t>
      </w:r>
    </w:p>
    <w:p>
      <w:r>
        <w:t>La gastro-entérologie couvre un champ thérapeutique très vaste, qui dépasse largement le seul transit intestinal traité au chapitre précédent. Le présent chapitre aborde quatre familles thérapeutiques distinctes mais complémentaires, organisées autour de la prise en charge des pathologies hépatiques, pancréatiques exocrines, et veineuses abdomino-pelviennes, ainsi que de l'urgence hémorragique digestive. Il s'agit : (i) des acides biliaires litholytiques et cholérétiques, représentés en Algérie par l'acide ursodésoxycholique (AUDC) ; (ii) des hépato-protecteurs métaboliques (amino-acides) et membranaires (citicoline) ; (iii) des enzymes digestives substitutives (pancréatine, polyenzymes) ; (iv) des véno-actifs flavonoïques (diosmine + hespéridine) et de leurs associations anti-hémorroïdaires (tribénoside + lidocaïne) ; (v) enfin des analogues de la somatostatine, dont l'octréotide représente l'outil pharmacologique majeur de l'hémorragie digestive par rupture de varices œsophagiennes chez le cirrhotique.</w:t>
      </w:r>
    </w:p>
    <w:p>
      <w:r>
        <w:t>Pour chaque DCI, le lecteur trouvera la liste exhaustive des spécialités commerciales disponibles sur le marché algérien (nomenclature Avril 2026), avec distinction des statuts Actif, Non Renouvelable, et Retiré (R). Le mécanisme d'action moléculaire est détaillé, ainsi que le profil pharmacocinétique, les indications validées par l'ANSM, la HAS, l'EASL (European Association for the Study of the Liver) et l'ACG (American College of Gastroenterology), les contre-indications, les effets indésirables, les interactions médicamenteuses pertinentes, et les recommandations chez la femme enceinte et allaitante selon le Centre de Renseignements sur les Agents Tératogènes (CRAT). Les sources mobilisées comprennent le VIDAL, la base Thériaque, les Résumés des Caractéristiques du Produit (RCP) de l'ANSM, les recommandations de la HAS, les guidelines EASL et Baveno VII sur l'hypertension portale, ainsi que les revues UpToDate et Cochrane.</w:t>
      </w:r>
    </w:p>
    <w:p>
      <w:r>
        <w:t>Sur le plan pharmacologique, ces classes diffèrent radicalement : l'</w:t>
      </w:r>
      <w:r>
        <w:rPr>
          <w:b/>
        </w:rPr>
        <w:t>AUDC</w:t>
      </w:r>
      <w:r>
        <w:t xml:space="preserve"> agit par modification qualitative du pool des acides biliaires (baisse de la cholotoxicité), par litholyse par diminution du cholestérol biliaire (inhibition de la HMG-CoA réductase hépatique et de la sécrétion canaliculaire de cholestérol), et par cytoprotection cholangio-entérocytaire (mitochondries, apoptose) ; la </w:t>
      </w:r>
      <w:r>
        <w:rPr>
          <w:b/>
        </w:rPr>
        <w:t>citicoline</w:t>
      </w:r>
      <w:r>
        <w:t xml:space="preserve"> est un précurseur de la phosphatidylcholine membranaire, impliqué dans la synthèse des phospholipides et la réparation membranaire ; l'</w:t>
      </w:r>
      <w:r>
        <w:rPr>
          <w:b/>
        </w:rPr>
        <w:t>arginine aspartate</w:t>
      </w:r>
      <w:r>
        <w:t xml:space="preserve"> intervient dans le cycle de l'urée (détoxification ammoniacale hépatique) et la production de monoxyde d'azote (NO) ; la </w:t>
      </w:r>
      <w:r>
        <w:rPr>
          <w:b/>
        </w:rPr>
        <w:t>pancréatine</w:t>
      </w:r>
      <w:r>
        <w:t xml:space="preserve"> assure la substitution des enzymes pancréatiques exocrines (lipase, amylase, trypsine, chymotrypsine) dans l'insuffisance pancréatique exocrine (mucoviscidose, pancréatite chronique, chirurgie pancréatique) ; les </w:t>
      </w:r>
      <w:r>
        <w:rPr>
          <w:b/>
        </w:rPr>
        <w:t>polyenzymes</w:t>
      </w:r>
      <w:r>
        <w:t xml:space="preserve"> (alpha-amylase, chymotrypsine) sont essentiellement utilisées comme anti-inflammatoires et mucolytiques dans les affections ORL ; la </w:t>
      </w:r>
      <w:r>
        <w:rPr>
          <w:b/>
        </w:rPr>
        <w:t>diosmine + hespéridine</w:t>
      </w:r>
      <w:r>
        <w:t xml:space="preserve"> (Daflon) est le traitement de référence de l'insuffisance veineuse chronique et de la crise hémorroïdaire, par augmentation du tonus veineux, diminution de la perméabilité capillaire et amélioration du retour lymphatique ; le </w:t>
      </w:r>
      <w:r>
        <w:rPr>
          <w:b/>
        </w:rPr>
        <w:t>tribénoside + lidocaïne</w:t>
      </w:r>
      <w:r>
        <w:t xml:space="preserve"> est utilisé en formulations rectales pour la symptomatologie hémorroïdaire douloureuse ; enfin l'</w:t>
      </w:r>
      <w:r>
        <w:rPr>
          <w:b/>
        </w:rPr>
        <w:t>octréotide</w:t>
      </w:r>
      <w:r>
        <w:t>, analogue synthétique de la somatostatine, exerce un effet vasoconstricteur splanchnique puissant utilisé en urgence dans l'hémorragie digestive par rupture de varices œsophagiennes.</w:t>
      </w:r>
    </w:p>
    <w:p>
      <w:r>
        <w:t>La démarche pédagogique vise à fournir à l'étudiant en pharmacie un référentiel académique directement mobilisable en officine et à l'hôpital. Le pharmacien d'officine joue un rôle central dans la délivrance de ces molécules au long cours (AUDC, pancréatine, diosmine, citicoline), tandis que l'octréotide relève exclusivement du contexte hospitalier d'urgence. Les drapeaux rouges à reconnaître sont : ictère, décompensation œdémato-ascitique, hémorragie digestive haute, douleur pancréatique chronique avec stéatorrhée, altération de l'état général, amaigrissement, et fièvre chez le cirrhotique (risque d'infection bactérienne spontanée du liquide d'ascite).</w:t>
      </w:r>
    </w:p>
    <w:p>
      <w:pPr>
        <w:pStyle w:val="Heading3"/>
      </w:pPr>
      <w:r>
        <w:t>1. Sous-classe : Acides biliaires - Litholytiques et cholérétiques</w:t>
      </w:r>
    </w:p>
    <w:p>
      <w:r>
        <w:t>Les acides biliaires sont des dérivés du cholestérol synthétisés dans le foie, conjugués à la glycine ou à la taurine, sécrétés dans la bile et stockés dans la vésicule biliaire. Ils jouent un rôle physiologique essentiel dans la solubilisation du cholestérol biliaire (formation de micelles mixtes acides biliaires – phospholipides – cholestérol) et dans l'absorption intestinale des lipides alimentaires et des vitamines liposolubles (A, D, E, K). Le pool des acides biliaires humains comprend principalement l'acide chenique (chénodésoxycholique), l'acide cholique, l'acide désoxycholique (formé par déshydroxylation bactérienne 7-α de l'acide cholique) et l'acide lithocholique (formé par déshydroxylation 7-α de l'acide chénique). L'</w:t>
      </w:r>
      <w:r>
        <w:rPr>
          <w:b/>
        </w:rPr>
        <w:t>acide ursodésoxycholique (AUDC)</w:t>
      </w:r>
      <w:r>
        <w:t xml:space="preserve"> est un acide biliaire tertiaire présent naturellement en faible proportion dans la bile humaine (&lt; 5 % du pool), mais dominant dans la bile de l'ours noir d'Asie (</w:t>
      </w:r>
      <w:r>
        <w:rPr>
          <w:i/>
        </w:rPr>
        <w:t>Ursus thibetanus</w:t>
      </w:r>
      <w:r>
        <w:t>), d'où son nom (ursodeoxycholic acid). Il a été introduit en thérapeutique dans les années 1970 pour la litholyse non chirurgicale des calculs biliaires cholestéroliques, puis ses indications ont été étendues à la cholangite biliaire primitive (CBP, anciennement cirrhose biliaire primitive), à la cholestase gravidique, à la cholangite sclérosante primitive (CSP), et à certaines cholestases intrahépatiques pédiatriques (atriésie biliaire, cholestase intrahépatique familiale progressive). Son mécanisme d'action combine plusieurs effets : (i) modification qualitative du pool biliaire par enrichissement en AUDC, acide biliaire hydrophile non cytotoxique qui dilue les acides biliaires hydrophobes cytotoxiques (acide chénique, désoxycholique, lithocholique) ; (ii) inhibition de la HMG-CoA réductase hépatique, diminuant la synthèse de novo du cholestérol ; (iii) inhibition de la sécrétion canaliculaire du cholestérol par diminution de l'expression du transporteur ABCG5/G8 ; (iv) effet cytoprotecteur cholangio-entérocytaire par prévention de l'apoptose mitochondriale (inhibition de la perméabilisation de la membrane externe mitochondriale par Bax, cytochrome c, caspases) ; (v) effet immunomodulateur par diminution de l'expression des antigènes HLA de classe I à la surface des cholangiocytes et de l'IL-2, IL-4, IL-6, TNF-α. Cette sous-classe est représentée en Algérie par cinq spécialités disponibles en comprimés ou gélules de 200 ou 250 mg.</w:t>
      </w:r>
    </w:p>
    <w:p>
      <w:pPr>
        <w:pStyle w:val="Heading3"/>
      </w:pPr>
      <w:r>
        <w:t>2. Sous-classe : Hépato-protecteurs - Plantes</w:t>
      </w:r>
    </w:p>
    <w:p>
      <w:r>
        <w:t xml:space="preserve">Les hépato-protecteurs d'origine végétale constituent une catégorie historique dont l'usage remonte à la médecine traditionnelle arabe, grecque et indienne. Le représentant pharmacologique le mieux documenté est le </w:t>
      </w:r>
      <w:r>
        <w:rPr>
          <w:b/>
        </w:rPr>
        <w:t>silymarine</w:t>
      </w:r>
      <w:r>
        <w:t xml:space="preserve">, extrait flavonolignanique purifié des fruits de </w:t>
      </w:r>
      <w:r>
        <w:rPr>
          <w:i/>
        </w:rPr>
        <w:t>Silybum marianum</w:t>
      </w:r>
      <w:r>
        <w:t xml:space="preserve"> (chardon-marie), composé principalement de silybine (silymarine A et B), isosilybine, silychristine et silydianine. Les mécanismes d'action attribués à la silymarine incluent : (i) effet antioxydant par piégeage des radicaux libres (ROO•, OH•) et restauration du glutathion hépatique ; (ii) stabilisation membranaire des hépatocytes par interaction avec les phospholipides ; (iii) stimulation de la synthèse de l'ARN ribosomal et de la régénération hépatique ; (iv) inhibition de la 5-lipoxygénase et de la cyclooxygénase-2 (effet anti-inflammatoire) ; (v) inhibition de la fibrogenèse par réduction de l'expression du TGF-β et de la prolifération des cellules de Ito (hépatocytes étoilés). Les indications revendiquées traditionnellement sont l'hépatotoxicité médicamenteuse (paracétamol, anti-tuberculeux), l'hépatite alcoolique chronique, et la stéatose hépatique métabolique. Toutefois, le niveau de preuve clinique reste modeste selon les revues Cochrane, qui concluent à une absence d'effet significatif sur la mortalité ou la morbidité des hépatopathies chroniques, malgré une bonne tolérance. D'autres extraits végétaux comme le </w:t>
      </w:r>
      <w:r>
        <w:rPr>
          <w:i/>
        </w:rPr>
        <w:t>Curcuma longa</w:t>
      </w:r>
      <w:r>
        <w:t xml:space="preserve"> (curcumine), le </w:t>
      </w:r>
      <w:r>
        <w:rPr>
          <w:i/>
        </w:rPr>
        <w:t>Glycyrrhiza glabra</w:t>
      </w:r>
      <w:r>
        <w:t xml:space="preserve"> (glycyrrhizine, utilisé dans certaines hépatites chroniques au Japon), ou le </w:t>
      </w:r>
      <w:r>
        <w:rPr>
          <w:i/>
        </w:rPr>
        <w:t>Phyllanthus niruri</w:t>
      </w:r>
      <w:r>
        <w:t xml:space="preserve"> sont moins documentés. En Algérie, les spécialités à base de plantes hépato-protectrices sont limitées et ce chapitre ne traite pas de DCI végétale spécifique faute de spécialité listée dans la nomenclature ; le lecteur se reportera aux chapitres correspondants des pharmacognosies.</w:t>
      </w:r>
    </w:p>
    <w:p>
      <w:pPr>
        <w:pStyle w:val="Heading3"/>
      </w:pPr>
      <w:r>
        <w:t>3. Sous-classe : Hépato-protecteurs - Amino-acides</w:t>
      </w:r>
    </w:p>
    <w:p>
      <w:r>
        <w:t xml:space="preserve">Les hépato-protecteurs de la famille des amino-acides visent à soutenir les voies métaboliques hépatiques de détoxification ammoniacale (cycle de l'urée), de gluconéogenèse, et de synthèse protéique. Le foie est le siège principal du cycle de l'urée, qui convertit l'ammoniac NH₃ (neurotoxique produit par la déamination des amino-acides et par la flore bactérienne intestinale) en urée (mécanisme final : NH₃ + CO₂ + aspartate → urée + fumarate). Cinq enzymes interviennent : carbamyl-phosphate synthétase I (CPS-I), ornithine-carbamyl-transférase (OCT), argininosuccinate-synthétase (ASS), argininosuccinate-lyase (ASL), arginase. La </w:t>
      </w:r>
      <w:r>
        <w:rPr>
          <w:b/>
        </w:rPr>
        <w:t>L-arginine</w:t>
      </w:r>
      <w:r>
        <w:t xml:space="preserve"> et la </w:t>
      </w:r>
      <w:r>
        <w:rPr>
          <w:b/>
        </w:rPr>
        <w:t>L-ornithine</w:t>
      </w:r>
      <w:r>
        <w:t xml:space="preserve"> sont des intermédiaires clés de ce cycle : l'ornithine est carbamylée en citrulline par l'OCT, et l'arginine est clivée par l'arginase en ornithine + urée. La supplémentation en arginine ou en ornithine vise théoriquement à soutenir le flux du cycle de l'urée et à favoriser l'élimination de l'ammoniac, en particulier dans les encéphalopathies hépatiques hyperammoniémiques. La L-arginine est également le précurseur du monoxyde d'azote (NO) via la NO-synthase endothéliale (eNOS), avec un effet vasodilatateur et antiagrégant plaquettaire. L'aspartate intervient dans le cycle de l'urée en tant que donneur d'azote pour la synthèse de l'argininosuccinate, et participe au cycle de Krebs (malate-aspartate shuttle). Cette sous-classe est également censée améliorer la récupération après effort musculaire et réduire la fatigue. Toutefois, le niveau de preuve clinique de l'effet hépato-protecteur reste modeste, et ces molécules sont souvent prescrites comme adjuvants dans les hépatopathies chroniques, l'asthénie fonctionnelle, et la convalescence post-opératoire ou post-infectieuse. En Algérie, les amino-acides hépato-protecteurs sont principalement représentés par l'arginine aspartate, traitée dans la sous-classe suivante (amino-acides métaboliques), tandis que d'autres amino-acides comme la L-carnitine, la bétaïne ou la S-adénosyl-méthionine (SAMe) ne disposent pas de spécialité inscrite dans la présente nomenclature.</w:t>
      </w:r>
    </w:p>
    <w:p>
      <w:pPr>
        <w:pStyle w:val="Heading3"/>
      </w:pPr>
      <w:r>
        <w:t>4. Sous-classe : Hépato-protecteurs - Amino-acides métaboliques</w:t>
      </w:r>
    </w:p>
    <w:p>
      <w:r>
        <w:t>La sous-classe des amino-acides métaboliques regroupe les associations d'acides aminés médiatisés pour soutenir spécifiquement le métabolisme hépatique de détoxification ammoniacale et le métabolisme énergétique mitochondrial. Le représentant pharmacologique principal est l'</w:t>
      </w:r>
      <w:r>
        <w:rPr>
          <w:b/>
        </w:rPr>
        <w:t>arginine aspartate</w:t>
      </w:r>
      <w:r>
        <w:t xml:space="preserve"> (sel d'arginine et d'acide aspartique), commercialisé sous les marques Sargenor (MEDA PHARMA) et Arginor (LAD PHARMA) en Algérie. Cette molécule associe deux substrats clés du métabolisme : (i) la L-arginine, précurseur du NO (vasodilatation endothéliale) et substrat du cycle de l'urée (détoxification ammoniacale hépatique) ; (ii) l'acide L-aspartique, métabolite intermédiaire du cycle de Krebs (régeneration de l'ATP mitochondrial) et cosubstrat du cycle de l'urée (donneur d'azote pour la synthèse d'argininosuccinate). L'indication principale revendiquée est l'asthénie fonctionnelle de l'adulte, en particulier chez le sujet âgé ou en convalescence. Une association avec la vitamine C (acide ascorbique) existe sous les formes Arginor + C et Sargenor Vitamine C, justifiée par le rôle antioxydant de la vitamine C et son implication dans la synthèse de la carnitine, de la noradrénaline et du collagène. Une forme pédiatrique dosée à 0,5 g/5 mL existe (Arginor Enfant, Sargenor Enfant). Les présentations en ampoules buvables s'expliquent par la demi-vie courte de ces amino-acides (métabolisme hépatique rapide) et par la nécessité d'une absorption rapide. Bien que l'efficacité clinique de ces produits soit modeste selon les standards EBM, ils bénéficient d'une excellente tolérance, sans effet indésirable notable aux doses thérapeutiques, et sont largement prescrits en médecine générale pour l'asthénie, la convalescence, et parfois en complément des hépatopathies chroniques non décompensées.</w:t>
      </w:r>
    </w:p>
    <w:p>
      <w:pPr>
        <w:pStyle w:val="Heading3"/>
      </w:pPr>
      <w:r>
        <w:t>5. Sous-classe : Hépato-protecteurs - Précurseurs membranaires</w:t>
      </w:r>
    </w:p>
    <w:p>
      <w:r>
        <w:t xml:space="preserve">Les précurseurs membranaires sont des molécules qui fournissent à la cellule les éléments structuraux nécessaires à la synthèse ou à la réparation des membranes biologiques, en particulier des phospholipides de la bicouche lipidique. Le représentant principal de cette sous-classe est la </w:t>
      </w:r>
      <w:r>
        <w:rPr>
          <w:b/>
        </w:rPr>
        <w:t>citicoline</w:t>
      </w:r>
      <w:r>
        <w:t xml:space="preserve"> (cytidine 5'-diphosphocholine, CDP-choline), un intermédiaire naturel de la voie de Kennedy (voie de biosynthèse des phosphoglycérides). La citicoline est un nucléotide composé de cytidine, de pyrophosphate et de choline, qui se convertit in vivo en phosphatidylcholine (lécithine), le phospholipide majeur des membranes cellulaires (notamment neuronales et hépatiques). Le mécanisme d'action hépato-protecteur de la citicoline est supposé impliquer : (i) la reconstitution des réserves de phospholipides membranaires hépatocytaires altérés par les agressions oxydatives, métaboliques (stéatose) ou toxiques (alcool, médicaments) ; (ii) la stimulation de la synthèse de l'acide sialique et des glycoprotéines membranaires ; (iii) un effet antioxydant direct par piégeage des radicaux libres ; (iv) la modulation de l'apoptose et la stimulation des facteurs de croissance neurale (effets surtout étudiés en neurologie). Initialement développée et utilisée en neurologie (accident vasculaire cérébral ischémique, traumatisme crânien, maladie de Parkinson, glaucome, troubles cognitifs du sujet âgé), la citicoline est également prescrite dans les hépatopathies chroniques (hépatites toxiques, médicamenteuses, alcooliques, stéatose métabolique) en tant qu'adjuvant. En Algérie, elle est disponible en solution buvable et en solution injectable IM/IV, sous de nombreuses marques génériques. Sa prescription se fait essentiellement en Liste I (sur ordonnance), témoignant de son rang dans la pharmacopée médicale.</w:t>
      </w:r>
    </w:p>
    <w:p>
      <w:pPr>
        <w:pStyle w:val="Heading3"/>
      </w:pPr>
      <w:r>
        <w:t>6. Sous-classe : Enzymes digestives - Pancréatine</w:t>
      </w:r>
    </w:p>
    <w:p>
      <w:r>
        <w:t xml:space="preserve">La pancréatine est un extrait pancréatique enzymatique d'origine porcine ou bovine, contenant les trois enzymes principales sécrétées par le pancréas exocrine : (i) la </w:t>
      </w:r>
      <w:r>
        <w:rPr>
          <w:b/>
        </w:rPr>
        <w:t>lipase</w:t>
      </w:r>
      <w:r>
        <w:t xml:space="preserve"> pancréatique (triacylglycérol-acyl-hydrolase, EC 3.1.1.3), qui hydrolyse les triglycérides alimentaires en monoacylglycérols et acides gras libres ; (ii) l'</w:t>
      </w:r>
      <w:r>
        <w:rPr>
          <w:b/>
        </w:rPr>
        <w:t>α-amylase</w:t>
      </w:r>
      <w:r>
        <w:t xml:space="preserve"> pancréatique (1,4-α-D-glucane glucanohydrolase, EC 3.2.1.1), qui hydrolyse l'α-1,4 amidon en maltose, maltotriose et dextrines limites ; (iii) les </w:t>
      </w:r>
      <w:r>
        <w:rPr>
          <w:b/>
        </w:rPr>
        <w:t>protéases</w:t>
      </w:r>
      <w:r>
        <w:t xml:space="preserve"> : trypsine, chymotrypsine, carboxypeptidases et élastases, qui hydrolysent les protéines alimentaires en peptides et acides aminés. La pancréatine est indiquée en substitution de l'insuffisance pancréatique exocrine (IPE), définie par une perte de plus de 90 % de la fonction sécrétoire du pancréas exocrine. Les principales étiologies d'IPE sont : (a) la mucoviscidose (fibrose kystique du pancréas, principale cause pédiatrique) ; (b) la pancréatite chronique calcifiante, le plus souvent alcoolique ; (c) la chirurgie pancréatique (duodéno-pancréatectomie céphalique, pancréatectomie partielle ou totale) ; (d) le cancer du pancréas ; (e) les Pancréatites Aiguës Sévères (après nécrose étendue) ; (f) le diabète type 3c (diabète post-pancréatite). La posologie est exprimée en unités Ph.Eur. de lipase (1 unité = quantité d'enzyme hydrolysant 1 μeq de liaison ester par minute à pH 9.4 et 37 °C). La dose quotidienne recommandée chez l'adulte est de 25 000 à 40 000 UI de lipase par repas principal, et 10 000 à 25 000 UI par collation, soit 75 000 à 200 000 UI/jour. La forme galénique de référence est la </w:t>
      </w:r>
      <w:r>
        <w:rPr>
          <w:b/>
        </w:rPr>
        <w:t>gélule à microgranules gastro-résistants</w:t>
      </w:r>
      <w:r>
        <w:t xml:space="preserve"> (Creon 25 000, Creon 10 000), qui protège les enzymes de la dénaturation acide gastrique et libère les microgranules à pH &gt; 5,5 dans le duodénum, où ils se mêlent au chyme alimentaire. Le non-respect de la gastro-résistance entraîne une dégradation des enzymes par le suc gastrique et un échec thérapeutique. La pancréatine ne se substitue pas aux enzymes intracellulaires mais agit dans la lumière intestinale, d'où l'obligation de prise pendant les repas.</w:t>
      </w:r>
    </w:p>
    <w:p>
      <w:pPr>
        <w:pStyle w:val="Heading3"/>
      </w:pPr>
      <w:r>
        <w:t>7. Sous-classe : Enzymes digestives - Polyenzymes</w:t>
      </w:r>
    </w:p>
    <w:p>
      <w:r>
        <w:t>La sous-classe des polyenzymes digestives regroupe des associations ou monothérapies enzymatiques d'origines végétale, animale ou fongique, destinées à compléter la digestion des sucres, des protéines ou des graisses en cas d'insuffisance digestive fonctionnelle ou de troubles dyspeptiques. Les enzymes les plus couramment utilisées sont : (i) l'</w:t>
      </w:r>
      <w:r>
        <w:rPr>
          <w:b/>
        </w:rPr>
        <w:t>α-amylase</w:t>
      </w:r>
      <w:r>
        <w:t xml:space="preserve"> (issue d'</w:t>
      </w:r>
      <w:r>
        <w:rPr>
          <w:i/>
        </w:rPr>
        <w:t>Aspergillus oryzae</w:t>
      </w:r>
      <w:r>
        <w:t xml:space="preserve"> ou de pancreas porcin), hydrolysant l'amidon ; (ii) la </w:t>
      </w:r>
      <w:r>
        <w:rPr>
          <w:b/>
        </w:rPr>
        <w:t>papaïne</w:t>
      </w:r>
      <w:r>
        <w:t xml:space="preserve"> (extrait de </w:t>
      </w:r>
      <w:r>
        <w:rPr>
          <w:i/>
        </w:rPr>
        <w:t>Carica papaya</w:t>
      </w:r>
      <w:r>
        <w:t xml:space="preserve">), protéase cystéine hydrolase à large spectre ; (iii) la </w:t>
      </w:r>
      <w:r>
        <w:rPr>
          <w:b/>
        </w:rPr>
        <w:t>broméline</w:t>
      </w:r>
      <w:r>
        <w:t xml:space="preserve"> (extrait d'</w:t>
      </w:r>
      <w:r>
        <w:rPr>
          <w:i/>
        </w:rPr>
        <w:t>Ananas comosus</w:t>
      </w:r>
      <w:r>
        <w:t xml:space="preserve">), protéase cystéine ; (iv) la </w:t>
      </w:r>
      <w:r>
        <w:rPr>
          <w:b/>
        </w:rPr>
        <w:t>chymotrypsine</w:t>
      </w:r>
      <w:r>
        <w:t xml:space="preserve"> (bovine ou porcine), protéase sérique ; (v) la </w:t>
      </w:r>
      <w:r>
        <w:rPr>
          <w:b/>
        </w:rPr>
        <w:t>pancréatine</w:t>
      </w:r>
      <w:r>
        <w:t xml:space="preserve"> (voir sous-classe précédente) ; (vi) la </w:t>
      </w:r>
      <w:r>
        <w:rPr>
          <w:b/>
        </w:rPr>
        <w:t>cellulase</w:t>
      </w:r>
      <w:r>
        <w:t xml:space="preserve"> (issue de </w:t>
      </w:r>
      <w:r>
        <w:rPr>
          <w:i/>
        </w:rPr>
        <w:t>Trichoderma reesei</w:t>
      </w:r>
      <w:r>
        <w:t xml:space="preserve">), hydrolysant la cellulose végétale ; (vii) la </w:t>
      </w:r>
      <w:r>
        <w:rPr>
          <w:b/>
        </w:rPr>
        <w:t>pancréatine + séné + polysaccharides</w:t>
      </w:r>
      <w:r>
        <w:t xml:space="preserve"> dans certaines associations. En Algérie, l'α-amylase est principalement commercialisée sous forme de sirop (Maxilase, Megamylase, Lamylase, Alfalase), indiquée traditionnellement comme mucolytique dans les toux grasses et les encombrements bronchiques de l'enfant et de l'adulte — la justification pharmacologique étant la supposée diminution de la viscosité du mucus par hydrolyse des glycoprotéines mucine-like. La chymotrypsine existe sous forme injectable IM (Alphachymotrypsine, Alpha-Trypsine) pour usage anti-inflammatoire en ORL et ophtalmologie. Le niveau de preuve clinique de l'α-amylase comme mucolytique est modeste et son usage relève davantage d'une tradition pharmaceutique française et maghrébine que d'une pharmacologie basée sur les preuves. Le pharmacien d'officina doit néanmoins connaître ces spécialités car elles restent très prescrites en pédiatrie pour les affections respiratoires hautes (rhinopharyngites, bronchites aiguës). Les polyenzymes sont généralement contre-indiqués en cas d'hypersensibilité, d'ulcère gastro-duodénal en poussée, et de mucoviscidose (où la pancréatine gastro-résistante est la référence).</w:t>
      </w:r>
    </w:p>
    <w:p>
      <w:pPr>
        <w:pStyle w:val="Heading3"/>
      </w:pPr>
      <w:r>
        <w:t>8. Sous-classe : Veno-actifs - Flavonoïdes (hémorroïdes, insuffisance veineuse)</w:t>
      </w:r>
    </w:p>
    <w:p>
      <w:r>
        <w:t xml:space="preserve">Les véno-actifs flavonoïques constituent la pierre angulaire du traitement médical de l'insuffisance veineuse chronique des membres inférieurs (IVC) et de la maladie hémorroïdaire. Les flavonoïdes sont des métabolites secondaires des plantes vasculaires, dérivés du noyau flavane (C6-C3-C6 : deux cycles aromatiques liés par une chaîne à trois carbones). La sous-classe pharmaceutique est dominée par la </w:t>
      </w:r>
      <w:r>
        <w:rPr>
          <w:b/>
        </w:rPr>
        <w:t>fraction flavonoïque purifiée et micronisée</w:t>
      </w:r>
      <w:r>
        <w:t xml:space="preserve"> (FFPM), composée de 90 % de diosmine et de 10 % de flavonoïdes exprimés en hespéridine, commercialisée sous le nom de Daflon (LES LABORATOIRES SERVIER). La </w:t>
      </w:r>
      <w:r>
        <w:rPr>
          <w:b/>
        </w:rPr>
        <w:t>diosmine</w:t>
      </w:r>
      <w:r>
        <w:t xml:space="preserve"> est un flavonoïde naturel extrait de </w:t>
      </w:r>
      <w:r>
        <w:rPr>
          <w:i/>
        </w:rPr>
        <w:t>Citrus sinensis</w:t>
      </w:r>
      <w:r>
        <w:t xml:space="preserve"> et </w:t>
      </w:r>
      <w:r>
        <w:rPr>
          <w:i/>
        </w:rPr>
        <w:t>Citrus reticulata</w:t>
      </w:r>
      <w:r>
        <w:t xml:space="preserve"> (agrumes). La </w:t>
      </w:r>
      <w:r>
        <w:rPr>
          <w:b/>
        </w:rPr>
        <w:t>hespéridine</w:t>
      </w:r>
      <w:r>
        <w:t xml:space="preserve"> est un hétéroside flavanonique présent dans les écorces d'orange douce. Le mécanisme d'action des flavonoïdes veino-actifs est plurimodal : (i) augmentation du tonus veineux par stimulation de la noradrénaline au niveau des jonctions neuromusculaires de la paroi veineuse (effet sympathomimétique indirect), avec raccourcissement des cellules musculaires lisses ; (ii) diminution de la perméabilité capillaire et amélioration de la résistance capillaire par inhibition de la libération d'histamine, de bradykinine et de prostaglandines pro-inflammatoires, et par stabilisation de la matrice extracellulaire péricapillaire (inhibition de l'hyaluronidase) ; (iii) amélioration du drainage lymphatique par augmentation de la fréquence et de l'amplitude des contractions lymphatiques ; (iv) effet antioxydant par piégeage des radicaux libres (réduction de l'oxydation des LDL et du stress oxydatif endothélial) ; (v) effet anti-inflammatoire par inhibition de la prostaglandine synthase et de la 5-LOX. La micronisation (réduction de la taille des particules à &lt; 2 µm) améliore considérablement la biodisponibilité orale (absorption multipliée par 2 à 3). Les indications validées par l'ANSM sont : traitement des symptômes fonctionnels de l'insuffisance veineuse chronique (jambes lourdes, douleurs, œdèmes, impatience) ; traitement de la maladie hémorroïdaire (crise aiguë, fond) ; traitement adjuvant de la congestion pelvienne féminine.</w:t>
      </w:r>
    </w:p>
    <w:p>
      <w:pPr>
        <w:pStyle w:val="Heading3"/>
      </w:pPr>
      <w:r>
        <w:t>9. Sous-classe : Veno-actifs - Associations hémorroïdaires</w:t>
      </w:r>
    </w:p>
    <w:p>
      <w:r>
        <w:t xml:space="preserve">Les associations hémorroïdaires visent à combiner l'effet veinotonique (vasculaire) d'un flavonoïde ou d'un dérivé glucidique avec l'effet anesthésique local (antalgique) d'un amino-amide ou amino-ester, et parfois avec un corticoïde (anti-inflammatoire). La maladie hémorroïdaire est une pathologie très fréquente (prévalencelifetime 40-50 % en Occident) caractérisée par la congestion et la dilatation des plexus veineux hémorroïdaires (internes sus-pectiné et externes sous-pectiné), avec œdème, inflammation, thrombose et prolapsus possible. Le représentant algérien est le </w:t>
      </w:r>
      <w:r>
        <w:rPr>
          <w:b/>
        </w:rPr>
        <w:t>tribénoside + lidocaïne</w:t>
      </w:r>
      <w:r>
        <w:t xml:space="preserve">, commercialisé sous le nom de Proctolon Neo (LABORATOIRES SALEM) en suppositoires. Le </w:t>
      </w:r>
      <w:r>
        <w:rPr>
          <w:b/>
        </w:rPr>
        <w:t>tribénoside</w:t>
      </w:r>
      <w:r>
        <w:t xml:space="preserve"> est un dérivé glucidique synthétique (3,5,6-tri-O-éthyl-D-glucofuranose) qui agit en : (i) augmentant le tonus veineux ; (ii) diminuant la perméabilité capillaire ; (iii) exerçant une action anti-inflammatoire et anti-œdémateuse ; (iv) améliorant la microcirculation ; (v) ayant un léger effet anti-aggrégant plaquettaire. La </w:t>
      </w:r>
      <w:r>
        <w:rPr>
          <w:b/>
        </w:rPr>
        <w:t>lidocaïne</w:t>
      </w:r>
      <w:r>
        <w:t xml:space="preserve"> (chlorhydrate) est un anesthésique local de la famille des amino-amides, qui bloque les canaux sodiques voltage-dépendants des fibres nerveuses sensitives périanales, assurant un soulagement rapide de la douleur. L'association en suppositoire permet une application locale combinée : action systémique par absorption rectale du tribénoside, action topique anesthésiante de la lidocaïne. Les indications sont le traitement symptomatique de la crise hémorroïdaire douloureuse. La durée recommandée est courte (7-10 jours), en raison du risque d'évolution vers une thrombose hémorroïdaire nécessitant une chirugie. Les autres associations disponibles historiquement incluaient des associations avec des corticoïdes (hydrocortisone, prednisolone) et des vasoprotecteurs (ruscus, troxerutine) — dont certaines ont été retirées du marché algérien (Cyclo 3 Fort, Ginkor Fort).</w:t>
      </w:r>
    </w:p>
    <w:p>
      <w:pPr>
        <w:pStyle w:val="Heading3"/>
      </w:pPr>
      <w:r>
        <w:t>10. Sous-classe : Analogues somatostatine - Saignement varices/hémorragie</w:t>
      </w:r>
    </w:p>
    <w:p>
      <w:r>
        <w:t>La somatostatine est une peptide neuroendocrine de 14 amino-acides (SRIF-14) sécrétée par les cellules D de l'estomac, du duodénum, du pancréas endocrine et du système nerveux central, ainsi que sous forme allongée SRIF-28 dans l'intestin. Elle exerce des effets inhibiteurs endocrines (inhibition de la GH, de la TSH, de l'insuline, du glucagon, de la gastrine, de la sécrétine, du VIP, de la motiline), exocrines (inhibition de la sécrétion gastrique, pancréatique exocrine et biliaire), et moteurs (ralentissement du transit, diminution du flux sanguin splanchnique). La somatostatine native a une demi-vie très courte (2-3 minutes), ce qui a motivé la synthèse d'analogues stables. L'</w:t>
      </w:r>
      <w:r>
        <w:rPr>
          <w:b/>
        </w:rPr>
        <w:t>octréotide</w:t>
      </w:r>
      <w:r>
        <w:t xml:space="preserve"> (Sandostatine, OCTREOTIDE BIOINDUSTRIA) est un octapeptide synthétique (8 amino-acides) qui reproduit les effets pharmacologiques de la somatostatine, avec une demi-vie d'environ 90-120 minutes après injection sous-cutanée ou intraveineuse, et une puissance 45 fois supérieure à la somatostatine native sur l'inhibition de la GH. Les indications de l'octréotide couvrent quatre grands domaines : (i) endocrinologie : acromégalie, tumeurs neuroendocrines (carcinoïdes, gastrinomes, insulinomes, VIPomes, glucagonomes) ; (ii) gastro-entérologie d'urgence : </w:t>
      </w:r>
      <w:r>
        <w:rPr>
          <w:b/>
        </w:rPr>
        <w:t>hémorragie digestive par rupture de varices œsophagiennes</w:t>
      </w:r>
      <w:r>
        <w:t xml:space="preserve"> chez le cirrhotique (réduction du flux veineux porte par vasoconstriction splanchnique, via inhibition de la libération de glucagon et de VIP) ; fistules digestives (pancréatiques, biliaires, entéro-cutanées) ; (iii) radiologie : préparation à la scintigraphie des tumeurs neuroendocrines (Octreoscan) ; (iv) pédiatrie : hypoglycémies hyperinsulinémiques congenitales. Dans le contexte des </w:t>
      </w:r>
      <w:r>
        <w:rPr>
          <w:b/>
        </w:rPr>
        <w:t>varices œsophagiennes hémorragiques</w:t>
      </w:r>
      <w:r>
        <w:t>, l'octréotide est administré en perfusion IV continue de 25-50 µg/h pendant 3 à 5 jours, après un bolus de 50 µg IV. Selon les recommandations Baveno VII (2022) et les guidelines EASL, l'octréotide est une alternative à la terlipressine (non disponible en Algérie) en association à l'endoscopie diagnostique et thérapeutique (ligature élastique, sclérothérapie). Le traitement antibiotique prophylactique systématique (céftriaxone IV) y est associé pour prévenir l'infection bactérienne spontanée du liquide d'ascite, qui complique un tiers des hémorragies digestives chez le cirrhotique.</w:t>
      </w:r>
    </w:p>
    <w:p>
      <w:pPr>
        <w:pStyle w:val="Heading3"/>
      </w:pPr>
      <w:r>
        <w:t>1. DCI : Acide ursodésoxycholique (AUDC) (Seule)</w:t>
      </w:r>
    </w:p>
    <w:p>
      <w:r/>
      <w:r>
        <w:rPr>
          <w:b/>
        </w:rPr>
        <w:t>Liste des Catégories :</w:t>
      </w:r>
      <w:r>
        <w:t xml:space="preserve"> Acide biliaire litholytique ; Cholérétique-hydrocholérétique ; Cytoprotecteur cholangio-entérocytaire ; Immunomodulateur cholangio-hépatique.</w:t>
      </w:r>
    </w:p>
    <w:p>
      <w:r>
        <w:t>L'acide ursodésoxycholique (AUDC, 3α,7β-dihydroxy-5β-cholan-24-oïque acid) est un acide biliaire tertiaire naturellement présent en faible quantité dans la bile humaine (1 à 5 % du pool total), mais constituant majeur (&gt; 90 %) de la bile de l'ours noir asiatique (</w:t>
      </w:r>
      <w:r>
        <w:rPr>
          <w:i/>
        </w:rPr>
        <w:t>Ursus thibetanus</w:t>
      </w:r>
      <w:r>
        <w:t>), traditionnellement utilisé en médecine chinoise (Yutan) pour les affections hépatobiliaires. Isolé et caractérisé chimiquement en 1927 par Shoda, l'AUDC a été introduit en thérapeutique au Japon (1975) puis en Europe (1980) pour la litholyse orale des calculs biliaires cholestéroliques. Son absorption intestinale est passive (40 à 60 % de la dose), avec un premier passage hépatique quasi complet. L'AUDC subit une conjugaison hépatique à la glycine et à la taurine (tauro-ursodésoxycholyl-glycine, TUDC), sécrétée dans la bile, et subit un cycle entéro-hépatique (95 % de réabsorption iléale active par ASBT). La demi-vie d'élimination est de 3 à 4 jours. L'AUDC atteint une concentration stationnaire dans la bile en 3 à 4 semaines. Son élimination est principalement fécale après déconjugaison bactérienne colique en AUDC libre, qui est lui-même transformé en acide lithocholique (toxique) et surtout en 7-keto-lithocholique, puis en acide isolithocholique inactif. La prise orale à la dose de 10-15 mg/kg/jour enrichit progressivement le pool biliaire en AUDC jusqu'à 40-60 % du pool total, ce qui confère à la bile un caractère saturé hydrophile et non cytotoxique.</w:t>
      </w:r>
    </w:p>
    <w:p>
      <w:r/>
      <w:r>
        <w:rPr>
          <w:b/>
        </w:rPr>
        <w:t>Médicaments disponibles en Algérie (Marques, Laboratoires, Formes et Dosages) :</w:t>
      </w:r>
      <w:r/>
    </w:p>
    <w:p>
      <w:pPr>
        <w:pStyle w:val="ListBullet"/>
      </w:pPr>
      <w:r/>
      <w:r>
        <w:rPr>
          <w:b/>
        </w:rPr>
        <w:t>TIALYZ</w:t>
      </w:r>
      <w:r>
        <w:t xml:space="preserve"> (BIOLOGIE ET VITAMINE D'ALGERIE BIOVITAL)</w:t>
      </w:r>
    </w:p>
    <w:p>
      <w:pPr>
        <w:pStyle w:val="ListBullet"/>
      </w:pPr>
      <w:r>
        <w:t>Formes et Dosages : Comprimé 200 mg, boîte de 30.</w:t>
      </w:r>
    </w:p>
    <w:p>
      <w:pPr>
        <w:pStyle w:val="ListBullet"/>
      </w:pPr>
      <w:r>
        <w:t>Statut : Actif (Liste I).</w:t>
      </w:r>
    </w:p>
    <w:p>
      <w:pPr>
        <w:pStyle w:val="ListBullet"/>
      </w:pPr>
      <w:r/>
      <w:r>
        <w:rPr>
          <w:b/>
        </w:rPr>
        <w:t>URSA</w:t>
      </w:r>
      <w:r>
        <w:t xml:space="preserve"> (WORLD MEDECINE LIMITED)</w:t>
      </w:r>
    </w:p>
    <w:p>
      <w:pPr>
        <w:pStyle w:val="ListBullet"/>
      </w:pPr>
      <w:r>
        <w:t>Formes et Dosages : Gélule 200 mg, boîtes de 30 et de 90.</w:t>
      </w:r>
    </w:p>
    <w:p>
      <w:pPr>
        <w:pStyle w:val="ListBullet"/>
      </w:pPr>
      <w:r>
        <w:t>Statut : Actif (Liste I).</w:t>
      </w:r>
    </w:p>
    <w:p>
      <w:pPr>
        <w:pStyle w:val="ListBullet"/>
      </w:pPr>
      <w:r/>
      <w:r>
        <w:rPr>
          <w:b/>
        </w:rPr>
        <w:t>URSOLYSE</w:t>
      </w:r>
      <w:r>
        <w:t xml:space="preserve"> (LABORATOIRES SALEM)</w:t>
      </w:r>
    </w:p>
    <w:p>
      <w:pPr>
        <w:pStyle w:val="ListBullet"/>
      </w:pPr>
      <w:r>
        <w:t>Formes et Dosages : Gélule 200 mg, boîte de 30.</w:t>
      </w:r>
    </w:p>
    <w:p>
      <w:pPr>
        <w:pStyle w:val="ListBullet"/>
      </w:pPr>
      <w:r>
        <w:t>Statut : Actif (Liste I).</w:t>
      </w:r>
    </w:p>
    <w:p>
      <w:pPr>
        <w:pStyle w:val="ListBullet"/>
      </w:pPr>
      <w:r/>
      <w:r>
        <w:rPr>
          <w:b/>
        </w:rPr>
        <w:t>CHOLURSO</w:t>
      </w:r>
      <w:r>
        <w:t xml:space="preserve"> (MAYOLY PHARMA FRANCE)</w:t>
      </w:r>
    </w:p>
    <w:p>
      <w:pPr>
        <w:pStyle w:val="ListBullet"/>
      </w:pPr>
      <w:r>
        <w:t>Formes et Dosages : Comprimé pelliculé 250 mg, boîte de 60.</w:t>
      </w:r>
    </w:p>
    <w:p>
      <w:pPr>
        <w:pStyle w:val="ListBullet"/>
      </w:pPr>
      <w:r>
        <w:t>Statut : Actif (Liste I).</w:t>
      </w:r>
    </w:p>
    <w:p>
      <w:pPr>
        <w:pStyle w:val="ListBullet"/>
      </w:pPr>
      <w:r/>
      <w:r>
        <w:rPr>
          <w:b/>
        </w:rPr>
        <w:t>URSOLVAN</w:t>
      </w:r>
      <w:r>
        <w:t xml:space="preserve"> (SANOFI AVENTIS FRANCE)</w:t>
      </w:r>
    </w:p>
    <w:p>
      <w:pPr>
        <w:pStyle w:val="ListBullet"/>
      </w:pPr>
      <w:r>
        <w:t>Formes et Dosages : Gélule 200 mg, boîte de 30.</w:t>
      </w:r>
    </w:p>
    <w:p>
      <w:pPr>
        <w:pStyle w:val="ListBullet"/>
      </w:pPr>
      <w:r>
        <w:t>Statut : Retiré (R).</w:t>
      </w:r>
    </w:p>
    <w:p>
      <w:r/>
      <w:r>
        <w:rPr>
          <w:b/>
        </w:rPr>
        <w:t>Sous-classe et Mécanisme d'action :</w:t>
      </w:r>
      <w:r/>
    </w:p>
    <w:p>
      <w:pPr>
        <w:pStyle w:val="ListBullet"/>
      </w:pPr>
      <w:r>
        <w:t>Sous-classe : Acide biliaire litholytique et cholérétique de la famille des acides biliaires tertiaires, positionné comme traitement de fond de la cholangite biliaire primitive (CBP), de la cholestase gravidique, et de certaines cholangites sclérosantes primitives (CSP). C'est la seule molécule démontrant une efficacité sur la mortalité et la transplantation hépatique dans la CBP (niveau de preuve A, EASL 2017).</w:t>
      </w:r>
    </w:p>
    <w:p>
      <w:pPr>
        <w:pStyle w:val="ListBullet"/>
      </w:pPr>
      <w:r>
        <w:t xml:space="preserve">Mécanisme d'action : (i) </w:t>
      </w:r>
      <w:r>
        <w:rPr>
          <w:b/>
        </w:rPr>
        <w:t>Modification qualitative du pool biliaire</w:t>
      </w:r>
      <w:r>
        <w:t xml:space="preserve"> : enrichment progressif du pool en AUDC hydrophile (jusqu'à 40-60 % du pool), qui dilue et remplace les acides biliaires hydrophobes cytotoxiques (acide chénodésoxycholique, acide désoxycholique, acide lithocholique), responsables de l'apoptose cholangio-entérocytaire par activation de la caspase-8, des Bax et de la cascade mitochondriale ; (ii) </w:t>
      </w:r>
      <w:r>
        <w:rPr>
          <w:b/>
        </w:rPr>
        <w:t>Litholyse par diminution du cholestérol biliaire</w:t>
      </w:r>
      <w:r>
        <w:t xml:space="preserve"> : inhibition compétitive de l'absorption iléale du cholestérol, inhibition de la HMG-CoA réductase hépatique (baisse de la synthèse de novo), et inhibition de la sécrétion canaliculaire du cholestérol par diminution de l'expression du co-transporteur ABCG5/ABCG8 ; l'AUDC forme des micelles liquides mixtes (acide biliaire/phospholipide/cholestérol) plutôt que des cristaux de cholestérol monohydratés ; (iii) </w:t>
      </w:r>
      <w:r>
        <w:rPr>
          <w:b/>
        </w:rPr>
        <w:t>Cytoprotection cholangio-entérocytaire</w:t>
      </w:r>
      <w:r>
        <w:t xml:space="preserve"> : stabilisation des membranes mitochondriales (prévention de la transition de perméabilité mitochondriale MPT, de la libération du cytochrome c et de l'apoptose) ; réduction de l'expression des antigènes HLA de classe I à la surface des cholangiocytes (effet immunomodulateur) ; inhibition de la production d'IL-2, IL-4, IL-6, TNF-α et IFN-γ ; (iv) </w:t>
      </w:r>
      <w:r>
        <w:rPr>
          <w:b/>
        </w:rPr>
        <w:t>Cholérèse hydrocholérétique</w:t>
      </w:r>
      <w:r>
        <w:t xml:space="preserve"> : stimulation de la sécrétion biliaire par induction de l'expression des transporteurs canaliculaires BSEP (bile salt export pump, ABCB11) et MRP2 (ABCC2), et de la sous-unité basolatérique AE2 (Cl⁻/HCO₃⁻ exchanger), d'où une cholérèse bicarbonatée augmentée qui "lave" les canaux biliaires ; (v) </w:t>
      </w:r>
      <w:r>
        <w:rPr>
          <w:b/>
        </w:rPr>
        <w:t>Effet anti-fibrosant</w:t>
      </w:r>
      <w:r>
        <w:t xml:space="preserve"> : inhibition de la prolifération et de l'activation des cellules de Ito (hépatocytes étoilés) par diminution du TGF-β1 et de la synthèse de collagène I et III.</w:t>
      </w:r>
    </w:p>
    <w:p>
      <w:r/>
      <w:r>
        <w:rPr>
          <w:b/>
        </w:rPr>
        <w:t>Profil Pharmacologique :</w:t>
      </w:r>
      <w:r/>
    </w:p>
    <w:p>
      <w:pPr>
        <w:pStyle w:val="ListBullet"/>
      </w:pPr>
      <w:r>
        <w:t>Indications : (1) Dissolution des calculs biliaires cholestéroliques (radiotransparents, &lt; 15 mm, vésicule fonctionnelle) chez les patients refusant ou ne pouvant bénéficier de la cholécystectomie ; (2) Prévention de la lithogenèse biliaire chez les patients en perte de poids rapide (chirurgie bariatrique, VLCD très hypocalorique) ; (3) Cholangite biliaire primitive (CBP) — indication orpheline de référence, à la dose de 13-15 mg/kg/j, qui ralentit la progression de la fibrose et diminue le risque de transplantation hépatique ( recommandations EASL 2017, niveau A) ; (4) Cholestase gravidique intra-hépatique (CGIH) — AUDC = molécule de choix selon le CRAT, à 10-15 mg/kg/j, qui améliore le prurit et les transaminases maternelles et semble réduire les complications fœtales (prématurité, mort in utero) selon plusieurs essais randomisés ; (5) Cholangite sclérosante primitive (CSP) — efficacité modeste sur la biochimie mais effet discuté sur la survie sans transplantation, non recommandé en monothérapie selon EASL 2009 ; (6) Mucoviscidose hépatique (cholangite sclérosante focale) ; (7) Atrésie des voies biliaires post-Kasai ; (8) Cholestase prolongée nutrition parentérale ; (9) GVH (réaction du greffon contre l'hôte) hépatique post-greffe de moelle ; (10) Prévention des lésions de conservation hépatique post-transplantation hépatique.</w:t>
      </w:r>
    </w:p>
    <w:p>
      <w:pPr>
        <w:pStyle w:val="ListBullet"/>
      </w:pPr>
      <w:r>
        <w:t>Contre-indications : (i) Calculs biliaires calcifiés (radiologiquement opaques) ou mixtes &gt; 20 mm (échec de litholyse) ; (ii) Vésicule biliaire non fonctionnelle (absence de contraction vésiculaire à la cholangio-IRM au repas gras ou échographie de contrat) ; (iii) Calculs biliaires asymptomatiques sans indication de traitement (CI relative) ; (iv) Cholangite aiguë non drainée ; (v) Cirrhose décompensée Child-Pugh C sévère (sauf CBP) ; (vi) Insuffisance hépatique sévère ; (vii) Insuffisance rénale sévère ; (viii) Obstruction complète des voies biliaires (lithiase de la voie biliaire principale non drainée, tumeur pancréatique) ; (ix) Hypersensibilité à l'AUDC ou aux acides biliaires ; (x) Ulcère gastro-duodénal en évolution (CI relative, l'AUDC à forte dose pouvant irriter).</w:t>
      </w:r>
    </w:p>
    <w:p>
      <w:pPr>
        <w:pStyle w:val="ListBullet"/>
      </w:pPr>
      <w:r>
        <w:t>Effets Indésirables : (i) Diarrhée (5 à 10 %), liée à l'effet osmotique colique des acides biliaires non réabsorbés, dose-dépendante et transitoire ; (ii) Douleurs abdominales hautes (colique biliaire transitoire par migration lithiasique lors de la litholyse) ; (iii) Hypertransaminasémie transitoire (3 à 5 %), modérée (&lt; 3 × LSN), régressive spontanément ; rarement, hépatite cholestatique d'hypersensibilité imposant l'arrêt ; (iv) Calculs calcifiés en cours de traitement (1 à 2 %, échec de litholyse) ; (v) Nausées, dyspepsie, ballonnements (peu fréquents) ; (vi) Élévation du cholestérol total et LDL modérée (3-5 %), généralement transitoire ; (vii) Prurit (paradoxalement, dans la cholangite gravidique, l'AUDC diminue le prurit) ; (viii) Réactions cutanées allergiques (rash, urticaire, prurit — rares) ; (ix) Alopécie (très rare, &lt; 0,1 %) ; (x) Asthénie, céphalées (rares). Profil global de tolérance excellent, drogue généralement considérée comme très sûre à long terme.</w:t>
      </w:r>
    </w:p>
    <w:p>
      <w:r/>
      <w:r>
        <w:rPr>
          <w:b/>
        </w:rPr>
        <w:t>Prévention et Gestion des Effets Indésirables :</w:t>
      </w:r>
      <w:r/>
    </w:p>
    <w:p>
      <w:pPr>
        <w:pStyle w:val="ListBullet"/>
      </w:pPr>
      <w:r>
        <w:t>Mesures Préventives : (i) Vérifier avant prescription l'indication (calculs radiotransparents, vésicule fonctionnelle) par échographie hépatobiliaire et bilan hépatique complet (ALAT, ASAT, GGT, PAL, bilirubine totale et conjuguée) ; (ii) Surveillance biologique : ALAT, ASAT, GGT, PAL, bilirubine tous les 3 mois pendant la première année, puis tous les 6 mois ; arrêt si élévation &gt; 3 × LSN confirmée à deux contrôles ; (iii) Surveillance échographique : contrôle échographique à 6 mois pour vérifier la diminution du volume lithiasique (litholyse) ; à 12 mois, évaluation de la réponse (taille calcul &lt; 50 % de la taille initiale = réponse ; taille stable = échec, arrêt) ; (iv) Prise pendant les repas pour optimiser l'absorption et la contraction vésiculaire pulsatile ; (v) Répartition en 2-3 prises par jour pour optimiser l'enrichissement du pool ; (vi) Information du patient sur le délai d'action (3 à 6 mois pour une litholyse complète ; 6 à 24 mois pour les calculs de 10-15 mm).</w:t>
      </w:r>
    </w:p>
    <w:p>
      <w:pPr>
        <w:pStyle w:val="ListBullet"/>
      </w:pPr>
      <w:r>
        <w:t>Conduite à Tenir : (i) Diarrhée : réduire la dose unitaire en multipliant les prises (ex : 500 mg/j → 250 mg matin et soir) ;(ii) Élévation des transaminases &gt; 3 × LSN persistante : arrêt temporaire 1 à 2 semaines, reprise à dose réduite si normalisation ; arrêt définitif si récidive ; (iii) Douleurs biliaires : ne pas confondre avec colique lithiasique vraie nécessitant chirurgie ; avis chirurgical si douleur &gt; 6 heures, fébrile, ou avec signes de cholangite (ictère, fièvre, frissons) ; (iv) Calculs calcifiés à l'échographie de contrôle : arrêt (échec), chirugie discutée ; (v) Réaction allergique : arrêt définitif, déclaration de pharmacovigilance.</w:t>
      </w:r>
    </w:p>
    <w:p>
      <w:r/>
      <w:r>
        <w:rPr>
          <w:b/>
        </w:rPr>
        <w:t>Interactions Importantes :</w:t>
      </w:r>
      <w:r/>
    </w:p>
    <w:p>
      <w:pPr>
        <w:pStyle w:val="ListBullet"/>
      </w:pPr>
      <w:r/>
      <w:r>
        <w:rPr>
          <w:b/>
        </w:rPr>
        <w:t>AUDC + Cholestyramine, colestipol ou colesevelam</w:t>
      </w:r>
      <w:r>
        <w:t xml:space="preserve"> (résines échangeuses d'anions) : les résines fixent l'AUDC dans la lumière intestinale et empêchent son absorption (réduction de 60-80 % de la biodisponibilité). Espacer d'au moins 4-5 heures entre la prise de résine et l'AUDC.</w:t>
      </w:r>
    </w:p>
    <w:p>
      <w:pPr>
        <w:pStyle w:val="ListBullet"/>
      </w:pPr>
      <w:r/>
      <w:r>
        <w:rPr>
          <w:b/>
        </w:rPr>
        <w:t>AUDC + Charbon activé, smectite (diosmectite)</w:t>
      </w:r>
      <w:r>
        <w:t xml:space="preserve"> : adsorption de l'AUDC, réduction d'efficacité. Espacer de 2 heures minimum.</w:t>
      </w:r>
    </w:p>
    <w:p>
      <w:pPr>
        <w:pStyle w:val="ListBullet"/>
      </w:pPr>
      <w:r/>
      <w:r>
        <w:rPr>
          <w:b/>
        </w:rPr>
        <w:t>AUDC + Antiacides (hydroxyde d'aluminium, hydroxyde de magnésium)</w:t>
      </w:r>
      <w:r>
        <w:t xml:space="preserve"> : adsorption partielle de l'AUDC. Espacer de 2 heures.</w:t>
      </w:r>
    </w:p>
    <w:p>
      <w:pPr>
        <w:pStyle w:val="ListBullet"/>
      </w:pPr>
      <w:r/>
      <w:r>
        <w:rPr>
          <w:b/>
        </w:rPr>
        <w:t>AUDC + Ciprofloxacine, dapsone, nitrofurantoïne</w:t>
      </w:r>
      <w:r>
        <w:t xml:space="preserve"> : l'AUDC peut diminuer l'absorption de ces molécules par formation de complexes insolubles. Espacer de 2 heures.</w:t>
      </w:r>
    </w:p>
    <w:p>
      <w:pPr>
        <w:pStyle w:val="ListBullet"/>
      </w:pPr>
      <w:r/>
      <w:r>
        <w:rPr>
          <w:b/>
        </w:rPr>
        <w:t>AUDC + Cyclosporine</w:t>
      </w:r>
      <w:r>
        <w:t xml:space="preserve"> : diminution possible de l'absorption de la cyclosporine (données contradictoires), surveillance des taux sanguins de cyclosporine.</w:t>
      </w:r>
    </w:p>
    <w:p>
      <w:pPr>
        <w:pStyle w:val="ListBullet"/>
      </w:pPr>
      <w:r/>
      <w:r>
        <w:rPr>
          <w:b/>
        </w:rPr>
        <w:t>AUDC + Statines (simvastatine, atorvastatine)</w:t>
      </w:r>
      <w:r>
        <w:t xml:space="preserve"> : potentialisation de l'effet hypolipémiant et rarement de l'effet myotoxique (addition des inhibitions de la HMG-CoA réductase). Surveillance clinique (CPK si symptômes musculaires).</w:t>
      </w:r>
    </w:p>
    <w:p>
      <w:pPr>
        <w:pStyle w:val="ListBullet"/>
      </w:pPr>
      <w:r/>
      <w:r>
        <w:rPr>
          <w:b/>
        </w:rPr>
        <w:t>AUDC + Estroprogestatifs</w:t>
      </w:r>
      <w:r>
        <w:t xml:space="preserve"> : les estrogènes et les progestatifs peuvent diminuer l'efficacité litholytique de l'AUDC (effet cholostatique propre des estrogènes à forte dose). Préférer un autre mode de contraception si lithiase cholestérolique en cours de dissolution.</w:t>
      </w:r>
    </w:p>
    <w:p>
      <w:pPr>
        <w:pStyle w:val="ListBullet"/>
      </w:pPr>
      <w:r/>
      <w:r>
        <w:rPr>
          <w:b/>
        </w:rPr>
        <w:t>AUDC + Clofibrate, fénofibrate</w:t>
      </w:r>
      <w:r>
        <w:t xml:space="preserve"> (fibrés hypolipémiants) : les fibrés augmentent la sécrétion biliaire de cholestérol et favorisent la lithogenèse, contrebalançant l'effet de l'AUDC. Association déconseillée.</w:t>
      </w:r>
    </w:p>
    <w:p>
      <w:pPr>
        <w:pStyle w:val="ListBullet"/>
      </w:pPr>
      <w:r/>
      <w:r>
        <w:rPr>
          <w:b/>
        </w:rPr>
        <w:t>AUDC + Anticoagulants oraux (AVK)</w:t>
      </w:r>
      <w:r>
        <w:t xml:space="preserve"> : pas d'interaction cliniquement significative, mais surveiller l'INR en début d'association.</w:t>
      </w:r>
    </w:p>
    <w:p>
      <w:r/>
      <w:r>
        <w:rPr>
          <w:b/>
        </w:rPr>
        <w:t>Grossesse et Allaitement :</w:t>
      </w:r>
      <w:r/>
    </w:p>
    <w:p>
      <w:pPr>
        <w:pStyle w:val="ListBullet"/>
      </w:pPr>
      <w:r>
        <w:t>Grossesse : Compatible à tous les trimestres (CRAT). L'AUDC est la molécule de choix de la cholestase gravidique intra-hépatique (CGIH), à la dose de 10-15 mg/kg/j en 2-3 prises. Plusieurs essais randomisés (including Palinski-Wiecek 2018, meta-analyses Cochrane 2015) ont montré une réduction significative du prurit maternel, une normalisation des transaminases, et une tendance à la réduction de la prématurité et de la mortalité périnatale (niveau de preuve modéré). L'AUDC est également utilisé en première intention dans la lithiase biliaire gravidique symptomatique. L'AUDC traverse le placenta en quantité minime, mais n'a pas montré de toxicité embryo-fœtale (pas de tératogénicité chez l'animal, données humaines rassurantes avec plusieurs milliers de grossesses exposées).</w:t>
      </w:r>
    </w:p>
    <w:p>
      <w:pPr>
        <w:pStyle w:val="ListBullet"/>
      </w:pPr>
      <w:r>
        <w:t>Allaitement : Compatible (CRAT). L'AUDC est excrétée dans le lait maternel en quantité très faible (rapport lait/plasma &lt; 0,1), sans effet attendu sur le nourrisson. L'allaitement peut être poursuivi.</w:t>
      </w:r>
    </w:p>
    <w:p>
      <w:pPr>
        <w:pStyle w:val="ListBullet"/>
      </w:pPr>
      <w:r>
        <w:t>Précisions : L'AUDC est la seule molécule recommandée dans la CGIH par le CRAT et le NICE (UK). Les estrogènes et la cholestyramine (autres traitements historiques) sont à éviter. La surveillance de la grossesse sous AUDC comporte un bilan hépatique mensuel, une surveillance du rythme cardiaque fœtal et du bien-être fœtal au 3e trimestre. Le déclenchement de l'accouchement à 37-38 SA n'est plus systématique selon les recommandations récentes, sauf en cas de biochimie maternelle alarmante (acides biliaires &gt; 40 µmol/L, risque de mort fœtale in utero accru).</w:t>
      </w:r>
    </w:p>
    <w:p>
      <w:r/>
      <w:r>
        <w:rPr>
          <w:b/>
        </w:rPr>
        <w:t>Posologie et Mode d'administration (Standard) :</w:t>
      </w:r>
      <w:r/>
    </w:p>
    <w:p>
      <w:pPr>
        <w:pStyle w:val="ListBullet"/>
      </w:pPr>
      <w:r>
        <w:t>Adulte (CBP, CSP) : 13-15 mg/kg/j en 2 à 3 prises, à titre indicatif 250 mg x 4/jour ou 500 mg x 2/jour pour un patient de 60-70 kg.</w:t>
      </w:r>
    </w:p>
    <w:p>
      <w:pPr>
        <w:pStyle w:val="ListBullet"/>
      </w:pPr>
      <w:r>
        <w:t>Adulte (lithiase vésiculaire) : 10-15 mg/kg/j en 2 à 3 prises, soit 500 mg matin et soir pour 60 kg, ou 750 mg/j réparti pour 75 kg.</w:t>
      </w:r>
    </w:p>
    <w:p>
      <w:pPr>
        <w:pStyle w:val="ListBullet"/>
      </w:pPr>
      <w:r>
        <w:t>Adulte (cholestase gravidique) : 10-15 mg/kg/j en 2-3 prises pendant le reste de la grossesse, à débuter dès le diagnostic.</w:t>
      </w:r>
    </w:p>
    <w:p>
      <w:pPr>
        <w:pStyle w:val="ListBullet"/>
      </w:pPr>
      <w:r>
        <w:t>Adulte (prévention lithiase post-chirurgie bariatrique) : 600 mg/jour en 2 prises, pendant 6 mois après la chirurgie.</w:t>
      </w:r>
    </w:p>
    <w:p>
      <w:pPr>
        <w:pStyle w:val="ListBullet"/>
      </w:pPr>
      <w:r>
        <w:t>Enfant (mucoviscidose hépatique) : 15-20 mg/kg/j en 2-3 prises.</w:t>
      </w:r>
    </w:p>
    <w:p>
      <w:pPr>
        <w:pStyle w:val="ListBullet"/>
      </w:pPr>
      <w:r>
        <w:t>Sujet âgé : pas d'adaptation posologique, mais surveiller la fonction hépatique et la tolérance digestive.</w:t>
      </w:r>
    </w:p>
    <w:p>
      <w:pPr>
        <w:pStyle w:val="ListBullet"/>
      </w:pPr>
      <w:r>
        <w:t>Durée : CBP et CSP = traitement au long cours à vie (arrêt = rechute biochimique et histologique). Lithiase = 6-24 mois selon la taille des calculs. Cholestase gravidique = pendant toute la grossesse.</w:t>
      </w:r>
    </w:p>
    <w:p>
      <w:pPr>
        <w:pStyle w:val="ListBullet"/>
      </w:pPr>
      <w:r>
        <w:t>Moment de prise : pendant les repas (optimisation de l'absorption et de la contraction vésiculaire pulsatile), en 2 à 3 prises par jour.</w:t>
      </w:r>
    </w:p>
    <w:p>
      <w:r/>
      <w:r>
        <w:rPr>
          <w:b/>
        </w:rPr>
        <w:t>Arbitrage et Bénéfices des Formes Galéniques :</w:t>
      </w:r>
      <w:r/>
    </w:p>
    <w:p>
      <w:pPr>
        <w:pStyle w:val="ListBullet"/>
      </w:pPr>
      <w:r>
        <w:t>Comprimés 200 mg (TIALYZ) : pratique pour les doses modérées (4 à 6 cp/j pour CBP), sécables ou non selon les marques.</w:t>
      </w:r>
    </w:p>
    <w:p>
      <w:pPr>
        <w:pStyle w:val="ListBullet"/>
      </w:pPr>
      <w:r>
        <w:t>Comprimés pelliculés 250 mg (CHOLURSO) : dosage intermédiaire, pratique pour une répartition biquotidienne (2 cp matin, 2 cp soir).</w:t>
      </w:r>
    </w:p>
    <w:p>
      <w:pPr>
        <w:pStyle w:val="ListBullet"/>
      </w:pPr>
      <w:r>
        <w:t>Gélules 200 mg (URSA, URSOLYSE) : forme enrobage gastro-résistant non nécessaire pour l'AUDC (acide faible bien absorbé), mais la gélule facilite la prise et masque le goût amer des acides biliaires.</w:t>
      </w:r>
    </w:p>
    <w:p>
      <w:pPr>
        <w:pStyle w:val="ListBullet"/>
      </w:pPr>
      <w:r>
        <w:t>Boîtes de 30 vs 90 gélules (URSA) : la boîte de 90 gélules (3 mois de traitement) est adaptée au traitement au long cours de la CBP, réduisant la fréquence de renouvellement d'ordonnance et le coût économique.</w:t>
      </w:r>
    </w:p>
    <w:p>
      <w:pPr>
        <w:pStyle w:val="ListBullet"/>
      </w:pPr>
      <w:r>
        <w:t>Pas de forme IV ou IM (l'AUDC n'est pas commercialisé en injectable).</w:t>
      </w:r>
    </w:p>
    <w:p>
      <w:r/>
      <w:r>
        <w:rPr>
          <w:b/>
        </w:rPr>
        <w:t>Instructions et Conseils au Patient :</w:t>
      </w:r>
      <w:r/>
    </w:p>
    <w:p>
      <w:pPr>
        <w:pStyle w:val="ListBullet"/>
      </w:pPr>
      <w:r>
        <w:t>Communication au comptoir : "Ce médicament est un acide biliaire naturel qui agit en modifiant la composition de votre bile : il rend votre bile moins toxique pour les canaux biliaires et le foie, et peut dissoudre certains calculs biliaires (calculs cholestéroliques radiotransparents). Prenez-le pendant les repas en 2 à 3 prises par jour. Le traitement est long : plusieurs mois pour dissoudre un calcul, à vie pour certaines maladies du foie comme la cholangite biliaire primitive. Les principaux effets indésirables possibles sont une diarrhée modérée et transitoire (au début du traitement), et plus rarement des douleurs au ventre ou une élévation modérée des tests hépatiques (qui seront surveillés par prise de sang régulière tous les 3 à 6 mois). Prenez vos comprimés avec un grand verre d'eau pendant le repas. Si vous prenez aussi de la cholestyramine ou des antiacides, espacez les prises d'au moins 2 heures. Ce médicament est compatible avec la grossesse et l'allaitement : c'est même le traitement de référence de certaines cholestases de la grossesse."</w:t>
      </w:r>
    </w:p>
    <w:p>
      <w:pPr>
        <w:pStyle w:val="ListBullet"/>
      </w:pPr>
      <w:r>
        <w:t>Mode d'utilisation pratique : avaler les comprimés/gélules entiers avec un grand verre d'eau, pendant le repas, sans les croquer ni les écraser. En cas d'oubli, prendre la dose dès que constaté, mais ne pas doubler la dose suivante. Conserver à température ambiante ≤ 25 °C, à l'abri de l'humidité et de la lumière.</w:t>
      </w:r>
    </w:p>
    <w:p>
      <w:r/>
      <w:r>
        <w:rPr>
          <w:b/>
        </w:rPr>
        <w:t>Notes, Règles d'Or &amp; Pièges au Comptoir :</w:t>
      </w:r>
      <w:r/>
    </w:p>
    <w:p>
      <w:pPr>
        <w:pStyle w:val="ListBullet"/>
      </w:pPr>
      <w:r>
        <w:t>Piège classique : (i) Prescription d'AUDC pour des calculs biliaires calcifiés ou mixtes &gt; 20 mm — échec inéluctable, gaspillage économique ; (ii) Non-verification de la fonction vésiculaire avant prescription — si la vésicule ne contracte pas, l'AUDC ne peut dissoudre les calculs ; (iii) Oubli de surveillance des transaminases à 3 mois — rares hépatites cholestatiques d'hypersensibilité non détectées ; (iv) Prescription d'AUDC pour une cholangite aiguë sans drainage biliaire — erreur grave, l'AUDC ne traite pas l'infection ; (v) Arrêt prématuré en cas d'effet transitoire (diarrhée) — expliquer au patient la nature transitoire ; (vi) Confondre CGIH (où l'AUDC est le traitement de choix) avec un simple prurit gravidique banal (où l'AUDC n'a pas d'indication).</w:t>
      </w:r>
    </w:p>
    <w:p>
      <w:pPr>
        <w:pStyle w:val="ListBullet"/>
      </w:pPr>
      <w:r>
        <w:t>Règle de prise : 10-15 mg/kg/j en 2 à 3 prises pendant les repas, pendant 6-24 mois pour lithiase, à vie pour CBP.</w:t>
      </w:r>
    </w:p>
    <w:p>
      <w:pPr>
        <w:pStyle w:val="ListBullet"/>
      </w:pPr>
      <w:r>
        <w:t>Préparation et Conservation : comprimés/gélules à température ambiante ≤ 25 °C, à l'abri de l'humidité et de la lumière. Pas de congélation.</w:t>
      </w:r>
    </w:p>
    <w:p>
      <w:pPr>
        <w:pStyle w:val="ListBullet"/>
      </w:pPr>
      <w:r>
        <w:t>Piège du surdosage / Substitution : en cas de surdosage massif (&gt; 30 mg/kg), risque de diarrhée sévère avec déshydratation (réhydratation orale ou IV selon sévérité), sans hépatotoxicité aiguë attendue. Substitution possible entre les marques (TIALYZ, URSA, URSOLYSE, CHOLURSO) selon les disponibilités d'officina. Pour la CBP, ne pas substituer par de l'acide chénodésoxycholique (Chenodiol), qui est hépatotoxique et n'est plus commercialisé en Europe.</w:t>
      </w:r>
    </w:p>
    <w:p>
      <w:pPr>
        <w:pStyle w:val="Heading3"/>
      </w:pPr>
      <w:r>
        <w:t>2. DCI : Ornithine / Arginine aspartate (Seule)</w:t>
      </w:r>
    </w:p>
    <w:p>
      <w:r/>
      <w:r>
        <w:rPr>
          <w:b/>
        </w:rPr>
        <w:t>Liste des Catégories :</w:t>
      </w:r>
      <w:r>
        <w:t xml:space="preserve"> Hépato-protecteur amino-acide métabolique ; Adjuvant du cycle de l'urée ; Précurseur du monoxyde d'azote (NO) ; Tonique anti-asthénique.</w:t>
      </w:r>
    </w:p>
    <w:p>
      <w:r>
        <w:t>L'arginine aspartate est un sel double associant la L-arginine (acide aminé semi-essentiel protidogène, précurseur du monoxyde d'azote endothélial et substrat du cycle de l'urée) à l'acide L-aspartique (acide aminé non essentiel, métabolite intermédiaire du cycle de Krebs via l'oxaloacétate, cosubstrat du cycle de l'urée). L'aspartate est absorbé au niveau du jéjunum par transport actif Na⁺-dépendant (ASCT1), l'arginine par le transporteur cationique CAT-1. La biodisponibilité orale de l'arginine est d'environ 70 %, avec un effet de premier passage hépatique modéré. La demi-vie plasmatique est courte (1 à 2 heures), justifiant des prises pluriquotidiennes. L'arginine est métabolisée par les NO-synthases (eNOS endothéliale, iNOS inductible, nNOS neuronale) en NO + citrulline (voie endothéliale), par l'arginase en ornithine + urée (voie cycle de l'urée, hépatique), et par l'arginine-glycine-amidinotransférase (AGAT) en créatine (voie musculaire). L'aspartate est transaminé en oxaloacétate par l'aspartate aminotransférase (ASAT/TGO), entrant dans le cycle de Krebs. Les indications revendiquées sont l'asthénie physique et intellectuelle, la convalescence, et l'adjuvant des hépatopathies chroniques avec hyperammoniémie modérée (encéphalopathie hépatique de grade I-II). Le niveau de preuve clinique est modeste, mais la tolérance est excellente. La spécialité de référence est Sargenor (MEDA PHARMA), avec un générique Arginor (LAD PHARMA).</w:t>
      </w:r>
    </w:p>
    <w:p>
      <w:r/>
      <w:r>
        <w:rPr>
          <w:b/>
        </w:rPr>
        <w:t>Médicaments disponibles en Algérie (Marques, Laboratoires, Formes et Dosages) :</w:t>
      </w:r>
      <w:r/>
    </w:p>
    <w:p>
      <w:pPr>
        <w:pStyle w:val="ListBullet"/>
      </w:pPr>
      <w:r/>
      <w:r>
        <w:rPr>
          <w:b/>
        </w:rPr>
        <w:t>ARGINOR</w:t>
      </w:r>
      <w:r>
        <w:t xml:space="preserve"> (LAD PHARMA)</w:t>
      </w:r>
    </w:p>
    <w:p>
      <w:pPr>
        <w:pStyle w:val="ListBullet"/>
      </w:pPr>
      <w:r>
        <w:t>Formes et Dosages : Solution buvable en ampoule, 1 g/5 mL, boîte de 20 ampoules de 5 mL.</w:t>
      </w:r>
    </w:p>
    <w:p>
      <w:pPr>
        <w:pStyle w:val="ListBullet"/>
      </w:pPr>
      <w:r>
        <w:t>Statut : Actif.</w:t>
      </w:r>
    </w:p>
    <w:p>
      <w:pPr>
        <w:pStyle w:val="ListBullet"/>
      </w:pPr>
      <w:r/>
      <w:r>
        <w:rPr>
          <w:b/>
        </w:rPr>
        <w:t>SARGENOR</w:t>
      </w:r>
      <w:r>
        <w:t xml:space="preserve"> (MEDA PHARMA)</w:t>
      </w:r>
    </w:p>
    <w:p>
      <w:pPr>
        <w:pStyle w:val="ListBullet"/>
      </w:pPr>
      <w:r>
        <w:t>Formes et Dosages : Solution buvable en ampoule, 1 g/5 mL, boîte de 20 ampoules de 5 mL.</w:t>
      </w:r>
    </w:p>
    <w:p>
      <w:pPr>
        <w:pStyle w:val="ListBullet"/>
      </w:pPr>
      <w:r>
        <w:t>Statut : Actif.</w:t>
      </w:r>
    </w:p>
    <w:p>
      <w:pPr>
        <w:pStyle w:val="ListBullet"/>
      </w:pPr>
      <w:r/>
      <w:r>
        <w:rPr>
          <w:b/>
        </w:rPr>
        <w:t>ARGINOR + C</w:t>
      </w:r>
      <w:r>
        <w:t xml:space="preserve"> (LAD PHARMA)</w:t>
      </w:r>
    </w:p>
    <w:p>
      <w:pPr>
        <w:pStyle w:val="ListBullet"/>
      </w:pPr>
      <w:r>
        <w:t>Formes et Dosages : Solution buvable en ampoule, 1,5 g arginine aspartate / 0,5 g acide ascorbique / 5 mL, boîte de 20 ampoules de 5 mL.</w:t>
      </w:r>
    </w:p>
    <w:p>
      <w:pPr>
        <w:pStyle w:val="ListBullet"/>
      </w:pPr>
      <w:r>
        <w:t>Statut : Actif.</w:t>
      </w:r>
    </w:p>
    <w:p>
      <w:pPr>
        <w:pStyle w:val="ListBullet"/>
      </w:pPr>
      <w:r/>
      <w:r>
        <w:rPr>
          <w:b/>
        </w:rPr>
        <w:t>SARGENOR VITAMINE C</w:t>
      </w:r>
      <w:r>
        <w:t xml:space="preserve"> (MEDA PHARMA)</w:t>
      </w:r>
    </w:p>
    <w:p>
      <w:pPr>
        <w:pStyle w:val="ListBullet"/>
      </w:pPr>
      <w:r>
        <w:t>Formes et Dosages : Solution buvable en ampoule, 1,5 g arginine aspartate / 0,5 g acide ascorbique / 5 mL, boîte de 20 ampoules de 5 mL.</w:t>
      </w:r>
    </w:p>
    <w:p>
      <w:pPr>
        <w:pStyle w:val="ListBullet"/>
      </w:pPr>
      <w:r>
        <w:t>Statut : Actif.</w:t>
      </w:r>
    </w:p>
    <w:p>
      <w:pPr>
        <w:pStyle w:val="ListBullet"/>
      </w:pPr>
      <w:r/>
      <w:r>
        <w:rPr>
          <w:b/>
        </w:rPr>
        <w:t>ARGINOR ENFANT</w:t>
      </w:r>
      <w:r>
        <w:t xml:space="preserve"> (LAD PHARMA)</w:t>
      </w:r>
    </w:p>
    <w:p>
      <w:pPr>
        <w:pStyle w:val="ListBullet"/>
      </w:pPr>
      <w:r>
        <w:t>Formes et Dosages : Solution buvable en ampoule, 0,5 g/5 mL, boîte de 20 ampoules de 5 mL.</w:t>
      </w:r>
    </w:p>
    <w:p>
      <w:pPr>
        <w:pStyle w:val="ListBullet"/>
      </w:pPr>
      <w:r>
        <w:t>Statut : Actif.</w:t>
      </w:r>
    </w:p>
    <w:p>
      <w:pPr>
        <w:pStyle w:val="ListBullet"/>
      </w:pPr>
      <w:r/>
      <w:r>
        <w:rPr>
          <w:b/>
        </w:rPr>
        <w:t>SARGENOR ENFANT</w:t>
      </w:r>
      <w:r>
        <w:t xml:space="preserve"> (MEDA PHARMA)</w:t>
      </w:r>
    </w:p>
    <w:p>
      <w:pPr>
        <w:pStyle w:val="ListBullet"/>
      </w:pPr>
      <w:r>
        <w:t>Formes et Dosages : Solution buvable en ampoule, 0,5 g/5 mL, boîte de 20 ampoules de 5 mL.</w:t>
      </w:r>
    </w:p>
    <w:p>
      <w:pPr>
        <w:pStyle w:val="ListBullet"/>
      </w:pPr>
      <w:r>
        <w:t>Statut : Actif.</w:t>
      </w:r>
    </w:p>
    <w:p>
      <w:pPr>
        <w:pStyle w:val="ListBullet"/>
      </w:pPr>
      <w:r/>
      <w:r>
        <w:rPr>
          <w:b/>
        </w:rPr>
        <w:t>MEGAMAG</w:t>
      </w:r>
      <w:r>
        <w:t xml:space="preserve"> (MAYOLY PHARMA FRANCE)</w:t>
      </w:r>
    </w:p>
    <w:p>
      <w:pPr>
        <w:pStyle w:val="ListBullet"/>
      </w:pPr>
      <w:r>
        <w:t>Formes et Dosages : Gélule 400 mg aspartate de magnesium dihydrate, boîte de 30 (à noter : cette spécialité contient du magnesium aspartate et non de l'arginine aspartate, mais figure dans le même groupe réglementaire).</w:t>
      </w:r>
    </w:p>
    <w:p>
      <w:pPr>
        <w:pStyle w:val="ListBullet"/>
      </w:pPr>
      <w:r>
        <w:t>Statut : Actif.</w:t>
      </w:r>
    </w:p>
    <w:p>
      <w:pPr>
        <w:pStyle w:val="ListBullet"/>
      </w:pPr>
      <w:r/>
      <w:r>
        <w:rPr>
          <w:b/>
        </w:rPr>
        <w:t>ENERGITUM</w:t>
      </w:r>
      <w:r>
        <w:t xml:space="preserve"> (LABORATOIRE PHARMACEUTIQUE ALGERIEN - LPA)</w:t>
      </w:r>
    </w:p>
    <w:p>
      <w:pPr>
        <w:pStyle w:val="ListBullet"/>
      </w:pPr>
      <w:r>
        <w:t>Formes et Dosages : Solution buvable, 2,5 g/ampoule de L-glutamate de L-arginine, boîte de 20.</w:t>
      </w:r>
    </w:p>
    <w:p>
      <w:pPr>
        <w:pStyle w:val="ListBullet"/>
      </w:pPr>
      <w:r>
        <w:t>Statut : Retiré (R).</w:t>
      </w:r>
    </w:p>
    <w:p>
      <w:r/>
      <w:r>
        <w:rPr>
          <w:b/>
        </w:rPr>
        <w:t>Sous-classe et Mécanisme d'action :</w:t>
      </w:r>
      <w:r/>
    </w:p>
    <w:p>
      <w:pPr>
        <w:pStyle w:val="ListBullet"/>
      </w:pPr>
      <w:r>
        <w:t>Sous-classe : Hépato-protecteur de la famille des amino-acides métaboliques, positionné comme adjuvant du métabolisme hépatique (cycle de l'urée, cycle de Krebs) et tonique anti-asthénique de l'adulte et de l'enfant. La molécule n'est pas inscrite sur la liste des médicaments à prescription obligatoire mais est souvent délivrée sur conseil médical ou pharmaceutique.</w:t>
      </w:r>
    </w:p>
    <w:p>
      <w:pPr>
        <w:pStyle w:val="ListBullet"/>
      </w:pPr>
      <w:r>
        <w:t xml:space="preserve">Mécanisme d'action : (i) </w:t>
      </w:r>
      <w:r>
        <w:rPr>
          <w:b/>
        </w:rPr>
        <w:t>Soutien du cycle de l'urée hépatique</w:t>
      </w:r>
      <w:r>
        <w:t xml:space="preserve"> : l'arginine est clivée par l'arginase hépatique en ornithine + urée, permettant l'excrétion de l'ammoniac (NH₃ → urée → excrétion rénale) ; l'aspartate fournit le deuxième groupement amine pour la synthèse de l'argininosuccinate via l'argininosuccinate-synthétase (ASS). La supplémentation en arginine + aspartate soutient donc théoriquement la détoxification ammoniacale hépatique, particulièrement utile en cas d'encéphalopathie hépatique débutante (hyperammoniémie modérée) ; (ii) </w:t>
      </w:r>
      <w:r>
        <w:rPr>
          <w:b/>
        </w:rPr>
        <w:t>Précurseur du monoxyde d'azote (NO)</w:t>
      </w:r>
      <w:r>
        <w:t xml:space="preserve"> : l'arginine est le seul substrat des NO-synthases endothéliales (eNOS), produisant le NO endothélial vasodilatateur, antiagrégant plaquettaire, antiprolifératif des cellules musculaires lisses. La supplémentation en arginine peut améliorer la fonction endothéliale et la microcirculation ; (iii) </w:t>
      </w:r>
      <w:r>
        <w:rPr>
          <w:b/>
        </w:rPr>
        <w:t>Soutien du cycle de Krebs</w:t>
      </w:r>
      <w:r>
        <w:t xml:space="preserve"> : l'aspartate est transaminé en oxaloacétate, entrant dans le cycle de Krebs pour régénérer l'ATP mitochondrial, d'où un effet supposé anti-asthénique et de récupération métabolique ; (iv) </w:t>
      </w:r>
      <w:r>
        <w:rPr>
          <w:b/>
        </w:rPr>
        <w:t>Stimulation de la sécrétion d'insuline et d'hormone de croissance</w:t>
      </w:r>
      <w:r>
        <w:t xml:space="preserve"> : l'arginine est un sécrétagogue de l'insuline (stimulation directe des cellules β pancréatiques via le métabolisme oxydatif) et de la GH hypophysaire (effet mineur) ; (v) </w:t>
      </w:r>
      <w:r>
        <w:rPr>
          <w:b/>
        </w:rPr>
        <w:t>Précurseur de la créatine</w:t>
      </w:r>
      <w:r>
        <w:t xml:space="preserve"> (via AGAT) — soutien du métabolisme énergétique musculaire ; (vi) </w:t>
      </w:r>
      <w:r>
        <w:rPr>
          <w:b/>
        </w:rPr>
        <w:t>Vitamine C</w:t>
      </w:r>
      <w:r>
        <w:t xml:space="preserve"> (associations +C) : cofacteur de la proline-hydroxylase pour la synthèse du collagène, antioxydant, cofacteur de la carnitine synthase.</w:t>
      </w:r>
    </w:p>
    <w:p>
      <w:r/>
      <w:r>
        <w:rPr>
          <w:b/>
        </w:rPr>
        <w:t>Profil Pharmacologique :</w:t>
      </w:r>
      <w:r/>
    </w:p>
    <w:p>
      <w:pPr>
        <w:pStyle w:val="ListBullet"/>
      </w:pPr>
      <w:r>
        <w:t>Indications : (1) A(sthénie fonctionnelle de l'adulte, en particulier chez le sujet âgé, le convalescent post-opératoire ou post-infectieux, le sportif en récupération ; (2) Asthénie de l'enfant et de l'adolescent, en complément d'une bonne hygiène de vie (sommeil, alimentation, activité physique) ; (3) Adjuvant des hépatopathies chroniques avec hyperammoniémie modérée (cirrhose compensée Child-Pugh A, hépatites chroniques non décompensées) — l'efficacité clinique est modeste et la molécule n'est pas un traitement de fond de l'encéphalopathie hépatique (qui repose sur le lactulose et la rifaximine) ; (4) Convalescence post-opératoire et post-infectieuse ; (5) Asthénie psychophysique de l'examen et du surmenage intellectuel.</w:t>
      </w:r>
    </w:p>
    <w:p>
      <w:pPr>
        <w:pStyle w:val="ListBullet"/>
      </w:pPr>
      <w:r>
        <w:t>Contre-indications : (i) Insuffisance rénale sévère (clairance &lt; 30 mL/min) en raison du risque d'hyperkaliémie (aspartate = apport potassique indirect) et d'accumulation d'arginine ; (ii) Herpès récidivant (l'arginine est un facteur de croissance du virus HSV-1 et HSV-2, alors que la lysine est inhibitrice — la supplémentation en arginine peut augmenter la fréquence des récurrences herpétiques) ; (iii) Schizophrénie (l'arginine peut aggraver certaines symptômes psychotiques via une stimulation de la NOS neuronale) — CI relative ; (iv) Hypersensibilité à l'arginine, à l'aspartate ou à l'un des excipients ; (v) Phénylcétonurie (présence d'aspartame dans certaines formes, vérifier la composition) ; (vi) Asthme sévère avec hyperréactivité bronchique à l'histamine (l'arginine peut libérer de l'histamine par voie non spécifique) — CI relative ; (vii) Post-infarctus du myocarde récent (CI relative, données contradictoires sur la supplémentation en arginine post-IDM, l'étude VINTAGE-AMI ayant montré un excès de mortalité avec l'arginine à haute dose).</w:t>
      </w:r>
    </w:p>
    <w:p>
      <w:pPr>
        <w:pStyle w:val="ListBullet"/>
      </w:pPr>
      <w:r>
        <w:t>Effets Indésirables : (i) Troubles gastro-intestinaux : nausées, ballonnements, diarrhée (surtout à haute dose, par effet osmotique) ; (ii) Hypotension artérielle légère (effet du NO libéré) ; (iii) Réactions allergiques (rash, prurit, urticaire — rares) ; (iv) Hyperkaliémie possible chez l'insuffisant rénal ; (v) Hypoglycémie rare chez le diabétique sous insuline (effet sécrétagogue insulinique) ; (vi) Augmentation possible des récurrences herpétiques labiales ou génitales (effet du NO et de l'arginine sur la réplication virale) ; (vii) Goût salé ou métallique de la solution buvable.</w:t>
      </w:r>
    </w:p>
    <w:p>
      <w:r/>
      <w:r>
        <w:rPr>
          <w:b/>
        </w:rPr>
        <w:t>Prévention et Gestion des Effets Indésirables :</w:t>
      </w:r>
      <w:r/>
    </w:p>
    <w:p>
      <w:pPr>
        <w:pStyle w:val="ListBullet"/>
      </w:pPr>
      <w:r>
        <w:t>Mesures Préventives : (i) Vérifier la fonction rénale avant prescription (créatinine, clairance estimée) chez le sujet âgé ; (ii) Interroger le patient sur ses antécédents d'herpès récidivant (≥ 6 épisodes/an) — envisager un autre traitement ou associer de la L-lysine ; (iii) Prévenir le patient diabétique de la nécessité de surveiller la glycémie capillaire en début de traitement (risque d'hypoglycémie si association à l'insuline ou aux sulfamides) ; (iv) Diluer la solution buvable dans un verre d'eau ou de jus de fruit pour masquer le goût et améliorer la tolérance digestive ; (v) Respecter les posologies recommandées (ne pas dépasser 3 g/j d'arginine aspartate chez l'adulte).</w:t>
      </w:r>
    </w:p>
    <w:p>
      <w:pPr>
        <w:pStyle w:val="ListBullet"/>
      </w:pPr>
      <w:r>
        <w:t>Conduite à Tenir : (i) Diarrhée : réduire la dose, fractionner les prises, prendre après les repas ; (ii) Hypotension symptomatique (vertiges, lipothymies) : arrêt, réévaluation de l'indication, recherche d'autres causes (déshydratation, antihypertenseurs) ; (iii) Récurrence herpétique : arrêt de l'arginine, traitement antiviral local (aciclovir crème) ou oral (valaciclovir), substitution par un autre tonique (ginse ng, magnésium) ; (iv) Réaction allergique : arrêt définitif.</w:t>
      </w:r>
    </w:p>
    <w:p>
      <w:r/>
      <w:r>
        <w:rPr>
          <w:b/>
        </w:rPr>
        <w:t>Interactions Importantes :</w:t>
      </w:r>
      <w:r/>
    </w:p>
    <w:p>
      <w:pPr>
        <w:pStyle w:val="ListBullet"/>
      </w:pPr>
      <w:r/>
      <w:r>
        <w:rPr>
          <w:b/>
        </w:rPr>
        <w:t>Arginine aspartate + Sildénafil, tadalafil, vardenafil</w:t>
      </w:r>
      <w:r>
        <w:t xml:space="preserve"> (inhibiteurs de la PDE-5) : potentialisation de l'effet hypotenseur (voie NO/cGMP commune). Surveillance clinique, risque d'hypotension artérielle.</w:t>
      </w:r>
    </w:p>
    <w:p>
      <w:pPr>
        <w:pStyle w:val="ListBullet"/>
      </w:pPr>
      <w:r/>
      <w:r>
        <w:rPr>
          <w:b/>
        </w:rPr>
        <w:t>Arginine aspartate + Nitrés (nitroglycérine, isosorbide) molsidomine</w:t>
      </w:r>
      <w:r>
        <w:t xml:space="preserve"> : potentialisation de l'effet vasodilatateur, risque d'hypotension sévère. Association déconseillée.</w:t>
      </w:r>
    </w:p>
    <w:p>
      <w:pPr>
        <w:pStyle w:val="ListBullet"/>
      </w:pPr>
      <w:r/>
      <w:r>
        <w:rPr>
          <w:b/>
        </w:rPr>
        <w:t>Arginine aspartate + Antihypertenseurs (IEC, ARA2, diurétiques, bêta-bloquants)</w:t>
      </w:r>
      <w:r>
        <w:t xml:space="preserve"> : risque de potentialisation de l'effet hypotenseur. Surveillance tensionnelle.</w:t>
      </w:r>
    </w:p>
    <w:p>
      <w:pPr>
        <w:pStyle w:val="ListBullet"/>
      </w:pPr>
      <w:r/>
      <w:r>
        <w:rPr>
          <w:b/>
        </w:rPr>
        <w:t>Arginine aspartate + Acarbose, insuline, sulfamides hypoglycémiants</w:t>
      </w:r>
      <w:r>
        <w:t xml:space="preserve"> : modulation de la glycémie (l'arginine est un sécrétagogue de l'insuline). Surveillance glycémique.</w:t>
      </w:r>
    </w:p>
    <w:p>
      <w:pPr>
        <w:pStyle w:val="ListBullet"/>
      </w:pPr>
      <w:r/>
      <w:r>
        <w:rPr>
          <w:b/>
        </w:rPr>
        <w:t>Arginine aspartate + Spironolactone, amiloride, triamtérène, IEC, ARA2</w:t>
      </w:r>
      <w:r>
        <w:t xml:space="preserve"> (épargneurs de potassium) : risque d'hyperkaliémie (l'aspartate peut influencer le métabolisme potassique). Surveillance de la kaliémie.</w:t>
      </w:r>
    </w:p>
    <w:p>
      <w:pPr>
        <w:pStyle w:val="ListBullet"/>
      </w:pPr>
      <w:r/>
      <w:r>
        <w:rPr>
          <w:b/>
        </w:rPr>
        <w:t>Arginine aspartate + L-lysine</w:t>
      </w:r>
      <w:r>
        <w:t xml:space="preserve"> : la lysine est un antagoniste compétitif de l'absorption et de l'action de l'arginine (partage des mêmes transporteurs cationiques). À éviter chez le patient herpétique prenant de la lysine préventive.</w:t>
      </w:r>
    </w:p>
    <w:p>
      <w:pPr>
        <w:pStyle w:val="ListBullet"/>
      </w:pPr>
      <w:r/>
      <w:r>
        <w:rPr>
          <w:b/>
        </w:rPr>
        <w:t>Arginine aspartate + Théophylline</w:t>
      </w:r>
      <w:r>
        <w:t xml:space="preserve"> : augmentation possible de la demi-vie de la théophylline par compétition hépatique.</w:t>
      </w:r>
    </w:p>
    <w:p>
      <w:r/>
      <w:r>
        <w:rPr>
          <w:b/>
        </w:rPr>
        <w:t>Grossesse et Allaitement :</w:t>
      </w:r>
      <w:r/>
    </w:p>
    <w:p>
      <w:pPr>
        <w:pStyle w:val="ListBullet"/>
      </w:pPr>
      <w:r>
        <w:t>Grossesse : Par prudence, à éviter par défaut (CRAT n'a pas d'évaluation spécifique pour l'arginine aspartate en solution buvable). Les amino-acides comme l'arginine et l'aspartate sont des nutriments naturels dont l'apport nutritionnel est nécessaire pendant la grossesse, mais la supplémentation pharmacologique n'est pas documentée. En cas d'asthénie gravidique, préférer le repos, l'hygiène alimentaire, et la vitamine C seule. Si l'utilisation est jugée nécessaire par le médecin, l'arginine aspartate peut être envisagée aux doses recommandées, sans attendu tératogène particulier.</w:t>
      </w:r>
    </w:p>
    <w:p>
      <w:pPr>
        <w:pStyle w:val="ListBullet"/>
      </w:pPr>
      <w:r>
        <w:t>Allaitement : À éviter par prudence. Les amino-acides passent dans le lait maternel mais leurs concentrations théoriques sont sans effet attendu sur le nourrisson. Toutefois, par prudence, ne pas utiliser pendant l'allaitement sauf avis médical.</w:t>
      </w:r>
    </w:p>
    <w:p>
      <w:pPr>
        <w:pStyle w:val="ListBullet"/>
      </w:pPr>
      <w:r>
        <w:t>Précisions : En cas d'asthénie gravidique, l'organon-gramme vitaminé de la grossesse (Vitamine C, fer, acide folique) reste le traitement de première intention. Pour les formes pédiatriques (Arginor Enfant, Sargenor Enfant 0,5 g/5 mL), la posologie est adaptée et sans risque chez l'enfant à partir de 6 ans.</w:t>
      </w:r>
    </w:p>
    <w:p>
      <w:r/>
      <w:r>
        <w:rPr>
          <w:b/>
        </w:rPr>
        <w:t>Posologie et Mode d'administration (Standard) :</w:t>
      </w:r>
      <w:r/>
    </w:p>
    <w:p>
      <w:pPr>
        <w:pStyle w:val="ListBullet"/>
      </w:pPr>
      <w:r>
        <w:t>Adulte (asthénie) : 1 à 2 ampoules buvables par jour (1 à 2 g d'arginine aspartate), en 1 ou 2 prises, de préférence le matin et/ou à midi.</w:t>
      </w:r>
    </w:p>
    <w:p>
      <w:pPr>
        <w:pStyle w:val="ListBullet"/>
      </w:pPr>
      <w:r>
        <w:t>Adulte (asthénie sévère, convalescence) : 2 à 3 ampoules par jour pendant 2 à 4 semaines, puis 1 ampoule par jour en entretien pendant 1 à 2 mois.</w:t>
      </w:r>
    </w:p>
    <w:p>
      <w:pPr>
        <w:pStyle w:val="ListBullet"/>
      </w:pPr>
      <w:r>
        <w:t>Adulte (formes +C) : 1 à 2 ampoules par jour (1,5 g arginine aspartate + 0,5 g acide ascorbique par ampoule).</w:t>
      </w:r>
    </w:p>
    <w:p>
      <w:pPr>
        <w:pStyle w:val="ListBullet"/>
      </w:pPr>
      <w:r>
        <w:t>Enfant à partir de 6 ans (asthénie, convalescence, anorexie) : 1 ampoule Enfant (0,5 g) par jour.</w:t>
      </w:r>
    </w:p>
    <w:p>
      <w:pPr>
        <w:pStyle w:val="ListBullet"/>
      </w:pPr>
      <w:r>
        <w:t>Sujet âgé : pas d'adaptation posologique, mais surveiller la fonction rénale et la tension artérielle.</w:t>
      </w:r>
    </w:p>
    <w:p>
      <w:pPr>
        <w:pStyle w:val="ListBullet"/>
      </w:pPr>
      <w:r>
        <w:t>Durée : traitement de 2 à 4 semaines en cure, renouvelable. Pas de traitement au long cours sans avis médical.</w:t>
      </w:r>
    </w:p>
    <w:p>
      <w:pPr>
        <w:pStyle w:val="ListBullet"/>
      </w:pPr>
      <w:r>
        <w:t>Moment de prise : de préférence le matin ou à midi (éviter le soir en raison de l'effet tonique), avant ou pendant les repas. Diluer le contenu de l'ampoule dans un demi-verre d'eau ou de jus de fruit.</w:t>
      </w:r>
    </w:p>
    <w:p>
      <w:r/>
      <w:r>
        <w:rPr>
          <w:b/>
        </w:rPr>
        <w:t>Arbitrage et Bénéfices des Formes Galéniques :</w:t>
      </w:r>
      <w:r/>
    </w:p>
    <w:p>
      <w:pPr>
        <w:pStyle w:val="ListBullet"/>
      </w:pPr>
      <w:r>
        <w:t>Ampoules buvables 1 g/5 mL (Sargenor, Arginor) : forme de référence de l'adulte. La solution buvable permet une absorption rapide (effet en 30 à 60 minutes) et est adaptée à l'effet tonique immédiat. La dilution dans un verre d'eau masque le goût salé-amer.</w:t>
      </w:r>
    </w:p>
    <w:p>
      <w:pPr>
        <w:pStyle w:val="ListBullet"/>
      </w:pPr>
      <w:r>
        <w:t>Ampoules buvables 1,5 g + 0,5 g vitamine C (Sargenor Vitamine C, Arginor +C) : association synergique avec un apport en vitamine C (500 mg ≈ apports nutritionnels conseillés × 5). Indiquée dans les asthénies avec carence vitaminique associée, la convalescence post-infectieuse (rhumes, grippes), et la prévention de la carence en vitamine C du sujet âgé ou fumeur.</w:t>
      </w:r>
    </w:p>
    <w:p>
      <w:pPr>
        <w:pStyle w:val="ListBullet"/>
      </w:pPr>
      <w:r>
        <w:t>Ampoules buvables 0,5 g/5 mL Enfant (Sargenor Enfant, Arginor Enfant) : forme pédiatrique à posologie adaptée à l'enfant de 6 à 12 ans. Permet une administration aisée et un dosage précis.</w:t>
      </w:r>
    </w:p>
    <w:p>
      <w:pPr>
        <w:pStyle w:val="ListBullet"/>
      </w:pPr>
      <w:r>
        <w:t>Gélules 400 mg aspartate de magnésium (Megamag) : à noter que cette spécialité ne contient pas d'arginine aspartate mais du magnésium aspartate, qui partage le même groupe réglementaire algérien mais a une indication différente (carence magnésique, asthénie, crampes). Le magnésium aspartate est particulièrement bien absorbé (chélation avec l'aspartate).</w:t>
      </w:r>
    </w:p>
    <w:p>
      <w:pPr>
        <w:pStyle w:val="ListBullet"/>
      </w:pPr>
      <w:r>
        <w:t>Solution buvable 2,5 g/ampoule (Energitum) : retirée du marché, contenait du L-glutamate de L-arginine, ancienne formulation.</w:t>
      </w:r>
    </w:p>
    <w:p>
      <w:r/>
      <w:r>
        <w:rPr>
          <w:b/>
        </w:rPr>
        <w:t>Instructions et Conseils au Patient :</w:t>
      </w:r>
      <w:r/>
    </w:p>
    <w:p>
      <w:pPr>
        <w:pStyle w:val="ListBullet"/>
      </w:pPr>
      <w:r>
        <w:t>Communication au comptoir : "Ce médicament est un mélange d'amino-acides naturels (arginine + aspartate) qui aide votre foie à éliminer les déchets azotés et soutient votre énergie physique et intellectuelle. Il se présente en ampoules buvables à diluer dans un demi-verre d'eau, à prendre le matin ou à midi pendant ou avant les repas. Prenez 1 à 2 ampoules par jour pendant 2 à 4 semaines. Les principaux effets indésirables possibles sont des troubles digestifs (ballonnements, diarrhée) à haute dose. Si vous êtes porteur d'herpès récidivant (boutons de fièvre ou herpès génital), signalez-le : ce produit peut augmenter les poussées. Si vous prenez des médicaments pour la tension, pour le diabète ou pour l'érection (sildénafil, Cialis), parlez-en à votre médecin. À conserver au frais, à l'abri de la lumière."</w:t>
      </w:r>
    </w:p>
    <w:p>
      <w:pPr>
        <w:pStyle w:val="ListBullet"/>
      </w:pPr>
      <w:r>
        <w:t>Mode d'utilisation pratique : casser les deux extrémités de l'ampoule avec un mouchoir en papier, verser le contenu dans un demi-verre d'eau, mélanger et boire immédiatement. Ne pas conserver la solution diluée. Les ampoules sont à conservation à température ambiante ≤ 25 °C, à l'abri de la lumière.</w:t>
      </w:r>
    </w:p>
    <w:p>
      <w:r/>
      <w:r>
        <w:rPr>
          <w:b/>
        </w:rPr>
        <w:t>Notes, Règles d'Or &amp; Pièges au Comptoir :</w:t>
      </w:r>
      <w:r/>
    </w:p>
    <w:p>
      <w:pPr>
        <w:pStyle w:val="ListBullet"/>
      </w:pPr>
      <w:r>
        <w:t>Piège classique : (i) Patient avec herpès récidivant — l'arginine peut augmenter la fréquence des poussées, à signaler au prescripteur ; (ii) Patient sous antihypertenseurs ou inhibiteurs de la PDE-5 — risque d'hypotension ; (iii) Patient diabétique sous insuline — risque d'hypoglycémie par effet sécrétagogue insulinique ; (iv) Insuffisant rénal non dépisté chez le sujet âgé — risque d'hyperkaliémie ; (v) Confusion avec le magnésium aspartate (Megamag) — attention à la composition exacte de la prescription ; (vi) Forme adulte administrée à l'enfant par erreur — toujours délivrer la forme Enfant 0,5 g pour les moins de 12 ans.</w:t>
      </w:r>
    </w:p>
    <w:p>
      <w:pPr>
        <w:pStyle w:val="ListBullet"/>
      </w:pPr>
      <w:r>
        <w:t>Règle de prise : 1 à 2 ampoules/jour diluées dans un verre d'eau, le matin ou à midi, pendant 2 à 4 semaines, renouvelable. Pas de prise vespérale (effet tonique = insomnie possible).</w:t>
      </w:r>
    </w:p>
    <w:p>
      <w:pPr>
        <w:pStyle w:val="ListBullet"/>
      </w:pPr>
      <w:r>
        <w:t>Préparation et Conservation : ampoules buvables à température ≤ 25 °C, à l'abri de la lumière. Ne pas congeler. Conservation après ouverture de l'ampoule : la solution doit être bue immédiatement.</w:t>
      </w:r>
    </w:p>
    <w:p>
      <w:pPr>
        <w:pStyle w:val="ListBullet"/>
      </w:pPr>
      <w:r>
        <w:t>Piège du surdosage / Substitution : en cas de surdosage (&gt; 5 g/jour), risque de diarrhée osmotique, d'hypotension modérée, et théoriquement d'hypoglycémie (surtout si diabète). Traitement symptomatique (réhydratation, surveillance glycémique). Substitution possible entre Sargenor et Arginor (génériques strictement équivalents), mais éviter la substitution par Megamag (composition différente : magnésium aspartate).</w:t>
      </w:r>
    </w:p>
    <w:p>
      <w:pPr>
        <w:pStyle w:val="Heading3"/>
      </w:pPr>
      <w:r>
        <w:t>3. DCI : Citicoline (Seule)</w:t>
      </w:r>
    </w:p>
    <w:p>
      <w:r/>
      <w:r>
        <w:rPr>
          <w:b/>
        </w:rPr>
        <w:t>Liste des Catégories :</w:t>
      </w:r>
      <w:r>
        <w:t xml:space="preserve"> Hépato-protecteur précurseur membranaire ; Précurseur de phosphatidylcholine ; Nucléotide ; Neuromodulateur ; Neuroprotecteur.</w:t>
      </w:r>
    </w:p>
    <w:p>
      <w:r>
        <w:t>La citicoline (cytidine 5'-diphosphocholine, CDP-choline) est un nucléotide endogène intermédiaire clé de la voie de Kennedy (voie de biosynthèse des phosphoglycérides), qui assure la synthèse de la phosphatidylcholine (lécithine), principal phospholipide des membranes biologiques cellulaires (notamment membranaires neuronaux et hépatocytaires). La citicoline est hydrolysée dans l'intestin par les phosphodiestérases en cytidine et choline, qui sont absorbées séparément (cytidine par transporteur nucléosidique, choline par transporteur cholinergique), puis rejointes dans le foie et autres tissus où elles sont re-phosphorylées en CDP-choline et intégrées dans la phosphatidylcholine. La biodisponibilité orale de la citicoline est de l'ordre de 95 % pour la choline et 52 % pour la cytidine. La demi-vie plasmatique de la citicoline administrée en IV est d'environ 70 heures pour ses métabolites. La citicoline est indiquée initialement en neurologie (accident vasculaire cérébral ischémique, traumatismes crâniens, syndromes parkinsoniens, glaucome, troubles cognitifs du sujet âgé), et en hépatologie comme adjuvant dans les hépatopathies chroniques (hépatites toxiques, médicamenteuses, alcooliques, stéatose métabolique). Son utilisation est largement répandue en Algérie, avec de nombreuses formes génériques disponibles en solution buvable et en solution injectable IM/IV.</w:t>
      </w:r>
    </w:p>
    <w:p>
      <w:r/>
      <w:r>
        <w:rPr>
          <w:b/>
        </w:rPr>
        <w:t>Médicaments disponibles en Algérie (Marques, Laboratoires, Formes et Dosages) :</w:t>
      </w:r>
      <w:r/>
    </w:p>
    <w:p>
      <w:pPr>
        <w:pStyle w:val="ListBullet"/>
      </w:pPr>
      <w:r/>
      <w:r>
        <w:rPr>
          <w:b/>
        </w:rPr>
        <w:t>SOMAZINA</w:t>
      </w:r>
      <w:r>
        <w:t xml:space="preserve"> (FERRER INTERNACIONAL S.A)</w:t>
      </w:r>
    </w:p>
    <w:p>
      <w:pPr>
        <w:pStyle w:val="ListBullet"/>
      </w:pPr>
      <w:r>
        <w:t>Formes et Dosages : Solution injectable IM/IV, 125 mg/mL (soit 500 mg/4 mL), boîte de 5 ampoules de 4 mL.</w:t>
      </w:r>
    </w:p>
    <w:p>
      <w:pPr>
        <w:pStyle w:val="ListBullet"/>
      </w:pPr>
      <w:r>
        <w:t>Statut : Actif (Liste I).</w:t>
      </w:r>
    </w:p>
    <w:p>
      <w:pPr>
        <w:pStyle w:val="ListBullet"/>
      </w:pPr>
      <w:r/>
      <w:r>
        <w:rPr>
          <w:b/>
        </w:rPr>
        <w:t>SOMAZINA</w:t>
      </w:r>
      <w:r>
        <w:t xml:space="preserve"> (FERRER INTERNACIONAL S.A)</w:t>
      </w:r>
    </w:p>
    <w:p>
      <w:pPr>
        <w:pStyle w:val="ListBullet"/>
      </w:pPr>
      <w:r>
        <w:t>Formes et Dosages : Solution buvable, 100 mg/mL, flacon de 30 mL avec seringue doseuse.</w:t>
      </w:r>
    </w:p>
    <w:p>
      <w:pPr>
        <w:pStyle w:val="ListBullet"/>
      </w:pPr>
      <w:r>
        <w:t>Statut : Actif (Liste I).</w:t>
      </w:r>
    </w:p>
    <w:p>
      <w:pPr>
        <w:pStyle w:val="ListBullet"/>
      </w:pPr>
      <w:r/>
      <w:r>
        <w:rPr>
          <w:b/>
        </w:rPr>
        <w:t>SOMAZINA</w:t>
      </w:r>
      <w:r>
        <w:t xml:space="preserve"> (FERRER INTERNACIONAL S.A)</w:t>
      </w:r>
    </w:p>
    <w:p>
      <w:pPr>
        <w:pStyle w:val="ListBullet"/>
      </w:pPr>
      <w:r>
        <w:t>Formes et Dosages : Solution injectable IM/IV, 250 mg/mL (soit 1000 mg/4 mL), boîtes de 3 et de 10 ampoules de 4 mL.</w:t>
      </w:r>
    </w:p>
    <w:p>
      <w:pPr>
        <w:pStyle w:val="ListBullet"/>
      </w:pPr>
      <w:r>
        <w:t>Statut : Actif (Liste I).</w:t>
      </w:r>
    </w:p>
    <w:p>
      <w:pPr>
        <w:pStyle w:val="ListBullet"/>
      </w:pPr>
      <w:r/>
      <w:r>
        <w:rPr>
          <w:b/>
        </w:rPr>
        <w:t>CICOLINA</w:t>
      </w:r>
      <w:r>
        <w:t xml:space="preserve"> (INPHA-MEDIS)</w:t>
      </w:r>
    </w:p>
    <w:p>
      <w:pPr>
        <w:pStyle w:val="ListBullet"/>
      </w:pPr>
      <w:r>
        <w:t>Formes et Dosages : Solution buvable, 100 mg/mL, flacon de 60 mL avec pipette graduée.</w:t>
      </w:r>
    </w:p>
    <w:p>
      <w:pPr>
        <w:pStyle w:val="ListBullet"/>
      </w:pPr>
      <w:r>
        <w:t>Statut : Actif (Liste I).</w:t>
      </w:r>
    </w:p>
    <w:p>
      <w:pPr>
        <w:pStyle w:val="ListBullet"/>
      </w:pPr>
      <w:r/>
      <w:r>
        <w:rPr>
          <w:b/>
        </w:rPr>
        <w:t>CICONA BGL</w:t>
      </w:r>
      <w:r>
        <w:t xml:space="preserve"> (BIOGALENIC)</w:t>
      </w:r>
    </w:p>
    <w:p>
      <w:pPr>
        <w:pStyle w:val="ListBullet"/>
      </w:pPr>
      <w:r>
        <w:t>Formes et Dosages : Solution buvable, 100 mg/mL, flacons de 30 mL et de 60 mL avec seringue doseuse.</w:t>
      </w:r>
    </w:p>
    <w:p>
      <w:pPr>
        <w:pStyle w:val="ListBullet"/>
      </w:pPr>
      <w:r>
        <w:t>Statut : Actif (Liste I).</w:t>
      </w:r>
    </w:p>
    <w:p>
      <w:pPr>
        <w:pStyle w:val="ListBullet"/>
      </w:pPr>
      <w:r/>
      <w:r>
        <w:rPr>
          <w:b/>
        </w:rPr>
        <w:t>CITICOLINE GL</w:t>
      </w:r>
      <w:r>
        <w:t xml:space="preserve"> (GENERIC LAB)</w:t>
      </w:r>
    </w:p>
    <w:p>
      <w:pPr>
        <w:pStyle w:val="ListBullet"/>
      </w:pPr>
      <w:r>
        <w:t>Formes et Dosages : Solution buvable, 100 mg/mL, flacon de 40 mL avec seringue graduée.</w:t>
      </w:r>
    </w:p>
    <w:p>
      <w:pPr>
        <w:pStyle w:val="ListBullet"/>
      </w:pPr>
      <w:r>
        <w:t>Statut : Actif (Liste I).</w:t>
      </w:r>
    </w:p>
    <w:p>
      <w:pPr>
        <w:pStyle w:val="ListBullet"/>
      </w:pPr>
      <w:r/>
      <w:r>
        <w:rPr>
          <w:b/>
        </w:rPr>
        <w:t>CITICOLINE-ISO</w:t>
      </w:r>
      <w:r>
        <w:t xml:space="preserve"> (ISOPHARM ALGERIE)</w:t>
      </w:r>
    </w:p>
    <w:p>
      <w:pPr>
        <w:pStyle w:val="ListBullet"/>
      </w:pPr>
      <w:r>
        <w:t>Formes et Dosages : Solution buvable, 100 mg/mL, flacon de 50 mL avec pipette graduée.</w:t>
      </w:r>
    </w:p>
    <w:p>
      <w:pPr>
        <w:pStyle w:val="ListBullet"/>
      </w:pPr>
      <w:r>
        <w:t>Statut : Actif (Liste I).</w:t>
      </w:r>
    </w:p>
    <w:p>
      <w:pPr>
        <w:pStyle w:val="ListBullet"/>
      </w:pPr>
      <w:r/>
      <w:r>
        <w:rPr>
          <w:b/>
        </w:rPr>
        <w:t>CITICOLINE PHARMAGHREB</w:t>
      </w:r>
      <w:r>
        <w:t xml:space="preserve"> (LABORATOIRES PHARMAGHREB)</w:t>
      </w:r>
    </w:p>
    <w:p>
      <w:pPr>
        <w:pStyle w:val="ListBullet"/>
      </w:pPr>
      <w:r>
        <w:t>Formes et Dosages : Solution buvable, 100 mg/mL, flacon de 30 mL avec pipette graduée.</w:t>
      </w:r>
    </w:p>
    <w:p>
      <w:pPr>
        <w:pStyle w:val="ListBullet"/>
      </w:pPr>
      <w:r>
        <w:t>Statut : Actif (Liste I).</w:t>
      </w:r>
    </w:p>
    <w:p>
      <w:pPr>
        <w:pStyle w:val="ListBullet"/>
      </w:pPr>
      <w:r/>
      <w:r>
        <w:rPr>
          <w:b/>
        </w:rPr>
        <w:t>SOMACOLINE</w:t>
      </w:r>
      <w:r>
        <w:t xml:space="preserve"> (EL KENDI INDUSTRIE DU MEDICAMENT)</w:t>
      </w:r>
    </w:p>
    <w:p>
      <w:pPr>
        <w:pStyle w:val="ListBullet"/>
      </w:pPr>
      <w:r>
        <w:t>Formes et Dosages : Solution buvable, 100 mg/mL, flacon de 30 mL avec pipette graduée.</w:t>
      </w:r>
    </w:p>
    <w:p>
      <w:pPr>
        <w:pStyle w:val="ListBullet"/>
      </w:pPr>
      <w:r>
        <w:t>Statut : Actif (Liste I).</w:t>
      </w:r>
    </w:p>
    <w:p>
      <w:pPr>
        <w:pStyle w:val="ListBullet"/>
      </w:pPr>
      <w:r/>
      <w:r>
        <w:rPr>
          <w:b/>
        </w:rPr>
        <w:t>TRAUSAN</w:t>
      </w:r>
      <w:r>
        <w:t xml:space="preserve"> (VITORIA S.A - GROUPE FAES)</w:t>
      </w:r>
    </w:p>
    <w:p>
      <w:pPr>
        <w:pStyle w:val="ListBullet"/>
      </w:pPr>
      <w:r>
        <w:t>Formes et Dosages : Solution buvable en gouttes, 100 mg/mL (soit 10 g/100 mL), flacon de 30 mL avec pipette graduée.</w:t>
      </w:r>
    </w:p>
    <w:p>
      <w:pPr>
        <w:pStyle w:val="ListBullet"/>
      </w:pPr>
      <w:r>
        <w:t>Statut : Retiré (R).</w:t>
      </w:r>
    </w:p>
    <w:p>
      <w:r/>
      <w:r>
        <w:rPr>
          <w:b/>
        </w:rPr>
        <w:t>Sous-classe et Mécanisme d'action :</w:t>
      </w:r>
      <w:r/>
    </w:p>
    <w:p>
      <w:pPr>
        <w:pStyle w:val="ListBullet"/>
      </w:pPr>
      <w:r>
        <w:t>Sous-classe : Hépato-protecteur précurseur membranaire de la famille des nucléotides cytidine, positionné comme adjuvant des hépatopathies chroniques (toxiques, médicamenteuses, alcooliques, métaboliques) et comme neuroprotecteur dans les pathologies neurologiques ischémiques, traumatiques ou dégénératives. Liste I en Algérie (sur ordonnance).</w:t>
      </w:r>
    </w:p>
    <w:p>
      <w:pPr>
        <w:pStyle w:val="ListBullet"/>
      </w:pPr>
      <w:r>
        <w:t xml:space="preserve">Mécanisme d'action : (i) </w:t>
      </w:r>
      <w:r>
        <w:rPr>
          <w:b/>
        </w:rPr>
        <w:t>Précurseur de la phosphatidylcholine (PC) membranaire</w:t>
      </w:r>
      <w:r>
        <w:t xml:space="preserve"> : la citicoline (CDP-choline) est le donneur direct du groupe phosphocholine à la diacylglycérol (DAG), réaction catalysée par la choline-phosphotransférase (CPT) dans la voie finale commune de la synthèse de la PC (voie de Kennedy). La PC est le phospholipide majeur des bicouches lipidiques cellulaires (60-70 % des phospholipides membranaires), indispensable à la fluidité membranaire, à l'intégrité des canaux ioniques et à l'activité des récepteurs membranaires. En cas d'agression hépatotoxique (alcool, paracétamol, ischémie-reperfusion), la déplétion en PC membranaire est un mécanisme précoce de l'apoptose et de la nécrose hépatocytaire. La supplémentation en citicoline restaure le pool de PC et répare les membranes ; (ii) </w:t>
      </w:r>
      <w:r>
        <w:rPr>
          <w:b/>
        </w:rPr>
        <w:t>Précurseur de l'acétylcholine</w:t>
      </w:r>
      <w:r>
        <w:t xml:space="preserve"> : la choline libérée est le substrat de la choline-acétyltransférase (ChAT) pour la synthèse de l'acétylcholine (neurotransmetteur cholinergique) — effet surtout pertinent en neurologie ; (iii) </w:t>
      </w:r>
      <w:r>
        <w:rPr>
          <w:b/>
        </w:rPr>
        <w:t>Stimulation de la synthèse des glycoprotéines et de l'acide sialique</w:t>
      </w:r>
      <w:r>
        <w:t xml:space="preserve"> ; (iv) </w:t>
      </w:r>
      <w:r>
        <w:rPr>
          <w:b/>
        </w:rPr>
        <w:t>Effet antioxydant</w:t>
      </w:r>
      <w:r>
        <w:t xml:space="preserve"> : piégeage des radicaux libres (ROO•, OH•), restauration du glutathion (GSH) hépatique et cérébral ; (v) </w:t>
      </w:r>
      <w:r>
        <w:rPr>
          <w:b/>
        </w:rPr>
        <w:t>Stabilisation mitochondriale</w:t>
      </w:r>
      <w:r>
        <w:t xml:space="preserve"> : prévention de la transition de perméabilité mitochondriale (MPT), de la libération du cytochrome c, et de l'apoptose mitochondriale ; (vi) </w:t>
      </w:r>
      <w:r>
        <w:rPr>
          <w:b/>
        </w:rPr>
        <w:t>Modulation de l'apoptose</w:t>
      </w:r>
      <w:r>
        <w:t xml:space="preserve"> : inhibition des caspases-3, -8 et -9 ; (vii) </w:t>
      </w:r>
      <w:r>
        <w:rPr>
          <w:b/>
        </w:rPr>
        <w:t>Effet anti-inflammatoire</w:t>
      </w:r>
      <w:r>
        <w:t xml:space="preserve"> : diminution de la production de TNF-α, IL-1β, IL-6, et de la microglie activation (effet neurologique) ; (viii) </w:t>
      </w:r>
      <w:r>
        <w:rPr>
          <w:b/>
        </w:rPr>
        <w:t>Augmentation du débit sanguin cérébral</w:t>
      </w:r>
      <w:r>
        <w:t xml:space="preserve"> (effet neurologique).</w:t>
      </w:r>
    </w:p>
    <w:p>
      <w:r/>
      <w:r>
        <w:rPr>
          <w:b/>
        </w:rPr>
        <w:t>Profil Pharmacologique :</w:t>
      </w:r>
      <w:r/>
    </w:p>
    <w:p>
      <w:pPr>
        <w:pStyle w:val="ListBullet"/>
      </w:pPr>
      <w:r>
        <w:t>Indications : (1) Adjuvant des hépatopathies chroniques : hépatites toxiques (médicamenteuses, alcooliques), stéatose hépatique métabolique (NASH/NAFLD), hépatites chroniques virales en complément de l'antiviral (effet antioxydant et de réparation membranaire) ; (2) Pathologies neurologiques ischémiques : accident vasculaire cérébral ischémique constitué (en phase subaiguë, à J7-J90), accident ischémique transitoire (prévention secondaire adjuvante), traumatismes crâniens (lésions axonales diffuses) ; (3) Pathologies neurodégénératives : maladie de Parkinson (adjuvant de la L-DOPA, permet une réduction de 30-50 % de la dose de L-DOPA), maladie d'Alzheimer modérée (résultats variables), atrophie multisystématisée ; (4) Troubles cognitifs du sujet âgé : troubles mnésiques, ralentissement idéatoire, démence vasculaire ; (5) Glaucome chronique à angle ouvert (effet neuroprotecteur sur le nerf optique) ; (6) Troubles du comportement et de la concentration de l'enfant hyperactif (effet cholinergique) ; (7) Strabisme, paralysie oculomotrice, névrite optique (effets controversés).</w:t>
      </w:r>
    </w:p>
    <w:p>
      <w:pPr>
        <w:pStyle w:val="ListBullet"/>
      </w:pPr>
      <w:r>
        <w:t>Contre-indications : (i) Hypersensibilité à la citicoline ou à l'un des excipients ; (ii) Hypertonie vagale excessive (bradycardie &lt; 50 bpm, hypotension artérielle &lt; 90/60 mmHg) — la citicoline peut augmenter le tonus parasympathique ; (iii) Épilepsie non contrôlée (la stimulation cholinergique peut abaisser le seuil épileptogène chez certains patients) — CI relative ; (iv) Hypertension intracrânienne non contrôlée (en neurologie, la citicoline augmente temporairement le débit sanguin cérébral) — CI relative ; (v) Grossesse et allaitement (par prudence, faute de données cliniques) ; (vi) Formes injectables : injection IM stricte, ne pas injecter IV directe sans dilution préalable.</w:t>
      </w:r>
    </w:p>
    <w:p>
      <w:pPr>
        <w:pStyle w:val="ListBullet"/>
      </w:pPr>
      <w:r>
        <w:t>Effets Indésirables : (i) Troubles digestifs : nausées, gastralgies, diarrhée (peu fréquents) ; (ii) Céphalées, vertiges, asthénie paradoxale ; (iii) Hypotension artérielle transitoire (surtout en IV) ; (iv) Bradycardie sinusale modérée (effet cholinergique) ; (v) Bouffées vasomotrices, sensation de chaleur ; (vi) Insomnie (surtout en prise vespérale, en raison de l'effet stimulant cholinergique) ; (vii) Réactions allergiques (rash, prurit, urticaire — rares) ; (viii) À très haute dose (&gt; 4 g/jour) : anxiété, irritabilité, tremblements. Profil global de tolérance excellent aux doses thérapeutiques.</w:t>
      </w:r>
    </w:p>
    <w:p>
      <w:r/>
      <w:r>
        <w:rPr>
          <w:b/>
        </w:rPr>
        <w:t>Prévention et Gestion des Effets Indésirables :</w:t>
      </w:r>
      <w:r/>
    </w:p>
    <w:p>
      <w:pPr>
        <w:pStyle w:val="ListBullet"/>
      </w:pPr>
      <w:r>
        <w:t>Mesures Préventives : (i) Prendre la solution buvable de préférence le matin ou à midi (éviter le soir pour prévenir l'insomnie) ; (ii) Diluer la solution buvable dans un verre d'eau ou de jus de fruit pour améliorer la tolérance digestive et masquer le goût ; (iii) En injection IV, diluer dans 100 mL de sérum physiologique et perfuser lentement (15-30 min) pour prévenir l'hypotension ; (iv) Surveillance de la tension artérielle et de la fréquence cardiaque chez le sujet âgé ou bradycardique en début de traitement ; (v) Chez le patient épileptique, surveillance EEG si l'on augmente la dose au-delà de 1 g/jour.</w:t>
      </w:r>
    </w:p>
    <w:p>
      <w:pPr>
        <w:pStyle w:val="ListBullet"/>
      </w:pPr>
      <w:r>
        <w:t>Conduite à Tenir : (i) Troubles digestifs persistants : réduire la dose, prendre après les repas ; (ii) Insomnie : décaler la prise le matin ; (iii) Hypotension symptomatique : arrêt, réévaluation, recherche d'autres causes ; (iv) Réaction allergique : arrêt définitif ; (v) Bradycardie symptomatique (&lt; 45 bpm) : arrêt, surveillance ECG.</w:t>
      </w:r>
    </w:p>
    <w:p>
      <w:r/>
      <w:r>
        <w:rPr>
          <w:b/>
        </w:rPr>
        <w:t>Interactions Importantes :</w:t>
      </w:r>
      <w:r/>
    </w:p>
    <w:p>
      <w:pPr>
        <w:pStyle w:val="ListBullet"/>
      </w:pPr>
      <w:r/>
      <w:r>
        <w:rPr>
          <w:b/>
        </w:rPr>
        <w:t>Citicoline + L-DOPA (lévodopa) + inhibiteur de la DDC (carbidopa, bensérazide)</w:t>
      </w:r>
      <w:r>
        <w:t xml:space="preserve"> : potentialisation de l'effet de la L-DOPA dans la maladie de Parkinson (la citicoline inhibe la dégradation de la dopamine et augmente sa synthèse). Possibilité de réduire la dose de L-DOPA de 30 à 50 % sous surveillance neurologique. Surveillance clinique des dyskinésies.</w:t>
      </w:r>
    </w:p>
    <w:p>
      <w:pPr>
        <w:pStyle w:val="ListBullet"/>
      </w:pPr>
      <w:r/>
      <w:r>
        <w:rPr>
          <w:b/>
        </w:rPr>
        <w:t>Citicoline + Anticholinestérasiques (donépézil, rivastigmine, galantamine, néostigmine, pyridostigmine)</w:t>
      </w:r>
      <w:r>
        <w:t xml:space="preserve"> : potentialisation des effets cholinergiques (bradycardie, hypersécrétions bronchiques et salivaires, diarrhée). Surveillance clinique.</w:t>
      </w:r>
    </w:p>
    <w:p>
      <w:pPr>
        <w:pStyle w:val="ListBullet"/>
      </w:pPr>
      <w:r/>
      <w:r>
        <w:rPr>
          <w:b/>
        </w:rPr>
        <w:t>Citicoline + Mécamylamine, atropine, scopolamine, tropicamide</w:t>
      </w:r>
      <w:r>
        <w:t xml:space="preserve"> (anticholinergiques) : antagonisme pharmacologique (la citicoline augmente la transmission cholinergique, les anticholinergiques la diminuent). Surveillance de l'efficacité.</w:t>
      </w:r>
    </w:p>
    <w:p>
      <w:pPr>
        <w:pStyle w:val="ListBullet"/>
      </w:pPr>
      <w:r/>
      <w:r>
        <w:rPr>
          <w:b/>
        </w:rPr>
        <w:t>Citicoline + Anticoagulants oraux (AVK, AOD)</w:t>
      </w:r>
      <w:r>
        <w:t xml:space="preserve"> : pas d'interaction cliniquement significative, mais surveiller l'INR ou la fonction rénale selon le produit.</w:t>
      </w:r>
    </w:p>
    <w:p>
      <w:pPr>
        <w:pStyle w:val="ListBullet"/>
      </w:pPr>
      <w:r/>
      <w:r>
        <w:rPr>
          <w:b/>
        </w:rPr>
        <w:t>Citicoline + Clopidogrel, aspirine</w:t>
      </w:r>
      <w:r>
        <w:t xml:space="preserve"> : pas d'interaction significative.</w:t>
      </w:r>
    </w:p>
    <w:p>
      <w:r/>
      <w:r>
        <w:rPr>
          <w:b/>
        </w:rPr>
        <w:t>Grossesse et Allaitement :</w:t>
      </w:r>
      <w:r/>
    </w:p>
    <w:p>
      <w:pPr>
        <w:pStyle w:val="ListBullet"/>
      </w:pPr>
      <w:r>
        <w:t>Grossesse : À éviter par prudence (CRAT : pas de données cliniques suffisantes). Les études animales n'ont pas montré d'effet tératogène, mais l'absence de données humaines contrôlées chez la femme enceinte justifie la prudence. En cas d'urgence vitale neurologique (AVC ischémique constitué), la citicoline peut être discutée au cas par cas. Pour l'indication hépatique, éviter pendant la grossesse.</w:t>
      </w:r>
    </w:p>
    <w:p>
      <w:pPr>
        <w:pStyle w:val="ListBullet"/>
      </w:pPr>
      <w:r>
        <w:t>Allaitement : À éviter par prudence. On ignore si la citicoline et ses métabolites passent dans le lait maternel, mais la choline passe en quantité significative. Par prudence, ne pas administrer pendant l'allaitement.</w:t>
      </w:r>
    </w:p>
    <w:p>
      <w:pPr>
        <w:pStyle w:val="ListBullet"/>
      </w:pPr>
      <w:r>
        <w:t>Précisions : Pour les femmes enceintes présentant une hépatopathie chronique ou une cholestase gravidique, le traitement de référence reste l'AUDC (compatible avec la grossesse et l'allaitement). La citicoline ne doit pas être utilisée en première intention.</w:t>
      </w:r>
    </w:p>
    <w:p>
      <w:r/>
      <w:r>
        <w:rPr>
          <w:b/>
        </w:rPr>
        <w:t>Posologie et Mode d'administration (Standard) :</w:t>
      </w:r>
      <w:r/>
    </w:p>
    <w:p>
      <w:pPr>
        <w:pStyle w:val="ListBullet"/>
      </w:pPr>
      <w:r>
        <w:t>Adulte (voie orale, hépatopathie chronique) : 500 à 1000 mg/jour en 1 à 2 prises (soit 5 à 10 mL de solution buvable à 100 mg/mL), de préférence le matin et à midi.</w:t>
      </w:r>
    </w:p>
    <w:p>
      <w:pPr>
        <w:pStyle w:val="ListBullet"/>
      </w:pPr>
      <w:r>
        <w:t>Adulte (voie orale, neurologie) : 500 à 2000 mg/jour en 1 à 2 prises selon l'indication (AVC : 1000-2000 mg/j ; Parkinson : 500-1200 mg/j).</w:t>
      </w:r>
    </w:p>
    <w:p>
      <w:pPr>
        <w:pStyle w:val="ListBullet"/>
      </w:pPr>
      <w:r>
        <w:t>Adulte (voie injectable IM/IV) : 500 à 1000 mg/jour, soit 1 à 2 ampoules de 500 mg/4 mL ou 1 ampoule de 1000 mg/4 mL. En IV, diluer dans 100 mL de NaCl 0,9 % et perfuser en 15-30 minutes.</w:t>
      </w:r>
    </w:p>
    <w:p>
      <w:pPr>
        <w:pStyle w:val="ListBullet"/>
      </w:pPr>
      <w:r>
        <w:t>Adulte (AVC ischémique, phase aiguë) : 1000 mg/jour en IV continue ou en 2 perfusions IV sur 3 à 6 semaines, puis relais oral 1000 mg/jour pendant 3 à 6 mois (selon recommandations de certaines societies savantes ; recommandations variables selon les pays).</w:t>
      </w:r>
    </w:p>
    <w:p>
      <w:pPr>
        <w:pStyle w:val="ListBullet"/>
      </w:pPr>
      <w:r>
        <w:t>Enfant (troubles cognitifs) : 100 à 500 mg/jour selon l'âge et le poids, en solution buvable.</w:t>
      </w:r>
    </w:p>
    <w:p>
      <w:pPr>
        <w:pStyle w:val="ListBullet"/>
      </w:pPr>
      <w:r>
        <w:t>Sujet âgé : pas d'adaptation posologique, mais surveiller la tension artérielle et la fréquence cardiaque.</w:t>
      </w:r>
    </w:p>
    <w:p>
      <w:pPr>
        <w:pStyle w:val="ListBullet"/>
      </w:pPr>
      <w:r>
        <w:t>Durée : hépatopathie chronique : 2 à 3 mois renouvelables. Neurologie : 3 à 6 mois, parfois au long cours.</w:t>
      </w:r>
    </w:p>
    <w:p>
      <w:pPr>
        <w:pStyle w:val="ListBullet"/>
      </w:pPr>
      <w:r>
        <w:t>Moment de prise : le matin et/ou à midi, pendant ou après les repas. Éviter la prise vespérale (risque d'insomnie).</w:t>
      </w:r>
    </w:p>
    <w:p>
      <w:r/>
      <w:r>
        <w:rPr>
          <w:b/>
        </w:rPr>
        <w:t>Arbitrage et Bénéfices des Formes Galéniques :</w:t>
      </w:r>
      <w:r/>
    </w:p>
    <w:p>
      <w:pPr>
        <w:pStyle w:val="ListBullet"/>
      </w:pPr>
      <w:r>
        <w:t>Solution buvable 100 mg/mL (toutes les marques) : forme de référence de l'adulte et de l'enfant. Permet un dosage précis (pipette ou seringue graduée), une absorption rapide (effet en 30-60 minutes), et une bonne tolérance digestive. Volume de flacon variable (30 à 60 mL selon les marques), couvrant 15 à 30 jours de traitement à 1000 mg/jour.</w:t>
      </w:r>
    </w:p>
    <w:p>
      <w:pPr>
        <w:pStyle w:val="ListBullet"/>
      </w:pPr>
      <w:r>
        <w:t>Solution injectable IM/IV 125 mg/mL (500 mg/4 mL) (Somazina) : forme hospitalière, indiquée pour les AVC ischémiques et les pathologies neurologiques aiguës. Permet une administration rapide et un effet systémique immédiat. À réserver à l'usage médical (urgence, hôpital).</w:t>
      </w:r>
    </w:p>
    <w:p>
      <w:pPr>
        <w:pStyle w:val="ListBullet"/>
      </w:pPr>
      <w:r>
        <w:t>Solution injectable IM/IV 250 mg/mL (1000 mg/4 mL) (Somazina) : forme concentrée pour administration biquotidienne ou pour les doses élevées (AVC aigu). Boîte de 3 ampoules pour traitement court, de 10 ampoules pour traitement prolongé.</w:t>
      </w:r>
    </w:p>
    <w:p>
      <w:pPr>
        <w:pStyle w:val="ListBullet"/>
      </w:pPr>
      <w:r>
        <w:t>Comparaison des marques : Somazina (FERRER, princeps original espagnol) ; Cicolina, Citicone BGL, Citicoline GL, Citicoline-ISO, Citicoline Pharmaghreb, Somacoline (génériques algériens). Toutes les solutions buvables sont à 100 mg/mL et peuvent être substituées entre elles. Les solutions injectables Somazina à 125 et 250 mg/mL sont réservées à l'usage hospitalier.</w:t>
      </w:r>
    </w:p>
    <w:p>
      <w:r/>
      <w:r>
        <w:rPr>
          <w:b/>
        </w:rPr>
        <w:t>Instructions et Conseils au Patient :</w:t>
      </w:r>
      <w:r/>
    </w:p>
    <w:p>
      <w:pPr>
        <w:pStyle w:val="ListBullet"/>
      </w:pPr>
      <w:r>
        <w:t>Communication au comptoir : "Ce médicament contient de la citicoline, un nutriment naturel qui aide votre foie et votre cerveau à réparer leurs membranes cellulaires. Il se prend en solution buvable, à l'aide de la pipette ou seringue graduée fournie avec le flacon. Diluez la dose dans un demi-verre d'eau, et buvez pendant ou après le repas, de préférence le matin ou à midi (évitez le soir, car cela peut troubler le sommeil). Le traitement dure généralement 2 à 3 mois, renouvelable. Les effets indésirables sont rares : parfois des maux de ventre, des maux de tête, ou une légère baisse de tension. Ce produit est sur ordonnance (Liste I). Conservez-le à température ambiante, à l'abri de la lumière. Ne pas utiliser pendant la grossesse ou l'allaitement sans avis médical."</w:t>
      </w:r>
    </w:p>
    <w:p>
      <w:pPr>
        <w:pStyle w:val="ListBullet"/>
      </w:pPr>
      <w:r>
        <w:t>Mode d'utilisation pratique : ouvrir le flacon, monter la pipette/seringue à la dose prescrite (1 mL = 100 mg ; 5 mL = 500 mg ; 10 mL = 1000 mg), verser dans un demi-verre d'eau, mélanger et boire. Refermer soigneusement le flacon après usage. Conservation après première ouverture : selon RCP, généralement 1 mois à température ambiante ≤ 25 °C (vérifier la notice spécifique de la marque).</w:t>
      </w:r>
    </w:p>
    <w:p>
      <w:r/>
      <w:r>
        <w:rPr>
          <w:b/>
        </w:rPr>
        <w:t>Notes, Règles d'Or &amp; Pièges au Comptoir :</w:t>
      </w:r>
      <w:r/>
    </w:p>
    <w:p>
      <w:pPr>
        <w:pStyle w:val="ListBullet"/>
      </w:pPr>
      <w:r>
        <w:t>Piège classique : (i) Prise vespérale — risque d'insomnie (la citicoline est un stimulateur cholinergique) ; (ii) Confusion entre solution buvable 100 mg/mL et solution injectable 125 mg/mL — attention à la voie d'administration (la forme injectable ne doit pas être bue, et la forme buvable ne doit pas être injectée) ; (iii) Administration IV directe sans dilution — risque d'hypotension brutale ; toujours diluer dans 100 mL de NaCl et perfuser en 15-30 min ; (iv) Patient sous L-DOPA — la citicoline peut potentialiser l'effet de la lévodopa et nécessiter une réduction de dose ; prévenir le neurologue ; (v) Patient sous anticholinestérasique (donépézil) — risque de potentialisation ; (vi) Grossesse et allaitement — par prudence, éviter.</w:t>
      </w:r>
    </w:p>
    <w:p>
      <w:pPr>
        <w:pStyle w:val="ListBullet"/>
      </w:pPr>
      <w:r>
        <w:t>Règle de prise : 500 à 1000 mg/jour en solution buvable, diluée dans un verre d'eau, le matin ou à midi, pendant ou après les repas, pendant 2 à 3 mois renouvelables. Liste I (sur ordonnance).</w:t>
      </w:r>
    </w:p>
    <w:p>
      <w:pPr>
        <w:pStyle w:val="ListBullet"/>
      </w:pPr>
      <w:r>
        <w:t>Préparation et Conservation : solution buvable à température ≤ 25 °C, à l'abri de la lumière. Conservation après ouverture : 1 mois en général. Solutions injectables à conserver à température ≤ 25 °C, à l'abri de la lumière.</w:t>
      </w:r>
    </w:p>
    <w:p>
      <w:pPr>
        <w:pStyle w:val="ListBullet"/>
      </w:pPr>
      <w:r>
        <w:t>Piège du surdosage / Substitution : en cas de surdosage (&gt; 4 g/jour), risque d'anxiété, d'irritabilité, de tremblements, et de bradycardie. Traitement symptomatique. Substitution possible entre toutes les marques de solution buvable 100 mg/mL (Somazina, Cicolina, Cicona BGL, Citicoline GL, Citicoline-ISO, Citicoline Pharmaghreb, Somacoline), qui sont strictement équivalentes. Pour les solutions injectables, seule Somazina est disponible.</w:t>
      </w:r>
    </w:p>
    <w:p>
      <w:pPr>
        <w:pStyle w:val="Heading3"/>
      </w:pPr>
      <w:r>
        <w:t>4. DCI : Pancréatine (Seule)</w:t>
      </w:r>
    </w:p>
    <w:p>
      <w:r/>
      <w:r>
        <w:rPr>
          <w:b/>
        </w:rPr>
        <w:t>Liste des Catégories :</w:t>
      </w:r>
      <w:r>
        <w:t xml:space="preserve"> Enzyme digestive substitutive ; Lipase, amylase, protéases pancréatiques ; Traitement de l'insuffisance pancréatique exocrine.</w:t>
      </w:r>
    </w:p>
    <w:p>
      <w:r>
        <w:t>La pancréatine est un extrait enzymatique purifié de pancréas de porc (</w:t>
      </w:r>
      <w:r>
        <w:rPr>
          <w:i/>
        </w:rPr>
        <w:t>Sus scrofa domesticus</w:t>
      </w:r>
      <w:r>
        <w:t>), contenant les enzymes principales sécrétées par le pancréas exocrine humain : la lipase, l'α-amylase, la trypsine, la chymotrypsine et les carboxypeptidases. Les enzymes pancréatiques sont synthétisées sous forme de précurseurs inactifs (zymogènes) par les cellules acineuses : trypsinogène → trypsine (activation par l'entérokinase duodénale), chymotrypsinogène → chymotrypsine (activation par la trypsine), pro-carboxypeptidases → carboxypeptidases, pro-élastases → élastases, pro-phospholipase A₂ → phospholipase A₂. La lipase est sécrétée sous forme active mais nécessite le colipase et les sels biliaires pour être pleinement active. La pancréatine médicamenteuse est administrée par voie orale, sous forme de microgranules gastro-résistants qui protègent les enzymes de la dénaturation acide gastrique (pH gastrique ≤ 2 inactive la lipase et dénature partiellement les protéases). Les microgranules libèrent les enzymes dans le duodénum à pH &gt; 5,5, où elles se mêlent au chyme alimentaire. La pancréatine n'est pas absorbée (action luminale pure), elle est dégradée par les protéases intestinales et excrétée dans les selles. La posologie est exprimée en unités Ph.Eur. de lipase (1 unité = quantité d'enzyme hydrolysant 1 μeq de liaison ester par minute à pH 9,4 et 37 °C). La dose quotidienne recommandée chez l'adulte est de 25 000 à 40 000 UI de lipase par repas principal et 10 000 à 25 000 UI par collation, soit 75 000 à 200 000 UI/jour.</w:t>
      </w:r>
    </w:p>
    <w:p>
      <w:r/>
      <w:r>
        <w:rPr>
          <w:b/>
        </w:rPr>
        <w:t>Médicaments disponibles en Algérie (Marques, Laboratoires, Formes et Dosages) :</w:t>
      </w:r>
      <w:r/>
    </w:p>
    <w:p>
      <w:pPr>
        <w:pStyle w:val="ListBullet"/>
      </w:pPr>
      <w:r/>
      <w:r>
        <w:rPr>
          <w:b/>
        </w:rPr>
        <w:t>CREON 10 000 UI</w:t>
      </w:r>
      <w:r>
        <w:t xml:space="preserve"> (VIATRIS MEDICAL)</w:t>
      </w:r>
    </w:p>
    <w:p>
      <w:pPr>
        <w:pStyle w:val="ListBullet"/>
      </w:pPr>
      <w:r>
        <w:t>Formes et Dosages : Gélule gastro-résistante, 150 mg (contenant 10 000 UI de lipase, 8 000 UI d'amylase, 600 UI de protéases), pilulier de 60.</w:t>
      </w:r>
    </w:p>
    <w:p>
      <w:pPr>
        <w:pStyle w:val="ListBullet"/>
      </w:pPr>
      <w:r>
        <w:t>Statut : Actif.</w:t>
      </w:r>
    </w:p>
    <w:p>
      <w:pPr>
        <w:pStyle w:val="ListBullet"/>
      </w:pPr>
      <w:r/>
      <w:r>
        <w:rPr>
          <w:b/>
        </w:rPr>
        <w:t>CREON 25 000 UI</w:t>
      </w:r>
      <w:r>
        <w:t xml:space="preserve"> (ABBOTT LABORATOIRES GmbH)</w:t>
      </w:r>
    </w:p>
    <w:p>
      <w:pPr>
        <w:pStyle w:val="ListBullet"/>
      </w:pPr>
      <w:r>
        <w:t>Formes et Dosages : Gélule à microgranules gastro-résistante, 300 mg (contenant 25 000 UI de lipase, 18 000 UI d'amylase, 1 000 UI de protéases), boîte de 50.</w:t>
      </w:r>
    </w:p>
    <w:p>
      <w:pPr>
        <w:pStyle w:val="ListBullet"/>
      </w:pPr>
      <w:r>
        <w:t>Statut : Actif (Liste I).</w:t>
      </w:r>
    </w:p>
    <w:p>
      <w:r/>
      <w:r>
        <w:rPr>
          <w:b/>
        </w:rPr>
        <w:t>Sous-classe et Mécanisme d'action :</w:t>
      </w:r>
      <w:r/>
    </w:p>
    <w:p>
      <w:pPr>
        <w:pStyle w:val="ListBullet"/>
      </w:pPr>
      <w:r>
        <w:t>Sous-classe : Enzyme digestive substitutive de la famille des extraits pancréatiques, positionnée comme traitement substitutif de l'insuffisance pancréatique exocrine (IPE) dans la mucoviscidose, la pancréatite chronique, la chirurgie pancréatique, le cancer du pancréas, et le diabète type 3c. La prescription est en Liste I pour le dosage 25 000 UI (sur ordonnance).</w:t>
      </w:r>
    </w:p>
    <w:p>
      <w:pPr>
        <w:pStyle w:val="ListBullet"/>
      </w:pPr>
      <w:r>
        <w:t xml:space="preserve">Mécanisme d'action : la pancréatine apporte de l'extérieur les enzymes pancréatiques manquants, qui agissent dans la lumière intestinale (action luminale pure, sans absorption systémique) : (i) </w:t>
      </w:r>
      <w:r>
        <w:rPr>
          <w:b/>
        </w:rPr>
        <w:t>Lipase pancréatique</w:t>
      </w:r>
      <w:r>
        <w:t xml:space="preserve"> (triacylglycérol-acyl-hydrolase, EC 3.1.1.3, PM 50 kDa) : hydrolyse spécifique des liaisons esters 1 et 3 des triglycérides alimentaires en 2-monoacylglycérol et 2 acides gras libres, en présence du colipase (qui fixe la lipase à la surface des gouttelettes lipidiques malgré la présence de sels biliaires détergents) et des sels biliaires (micelles mixtes) ; (ii) </w:t>
      </w:r>
      <w:r>
        <w:rPr>
          <w:b/>
        </w:rPr>
        <w:t>α-Amylase pancréatique</w:t>
      </w:r>
      <w:r>
        <w:t xml:space="preserve"> (1,4-α-D-glucane glucanohydrolase, EC 3.2.1.1, PM 57 kDa) : hydrolyse des liaisons α-1,4 internes de l'amidon et du glycogène en maltose, maltotriose et dextrines limites (la dégradation des liaisons α-1,6 ramifiées nécessitant des enzymes spécifiques : enzyme débranchante et α-1,6-glucosidase intestinale) ; (iii) </w:t>
      </w:r>
      <w:r>
        <w:rPr>
          <w:b/>
        </w:rPr>
        <w:t>Trypsine</w:t>
      </w:r>
      <w:r>
        <w:t xml:space="preserve"> (EC 3.4.21.4) : protéase sérique à sérine, PM 23 kDa, hydrolyse spécifique des liaisons peptidiques côté C-terminal des résidus basiques (lysine et arginine) ; active les autres zymogènes pancréatiques (rétro-activation en cascade) ; (iv) </w:t>
      </w:r>
      <w:r>
        <w:rPr>
          <w:b/>
        </w:rPr>
        <w:t>Chymotrypsine</w:t>
      </w:r>
      <w:r>
        <w:t xml:space="preserve"> (EC 3.4.21.1) : protéase à sérine hydrolysant les liaisons côté C-terminal des résidus aromatiques (phénylalanine, tyrosine, tryptophane) et des résidus volumineux hydrophobes (leucine, méthionine) ; (v) </w:t>
      </w:r>
      <w:r>
        <w:rPr>
          <w:b/>
        </w:rPr>
        <w:t>Carboxypeptidases A et B</w:t>
      </w:r>
      <w:r>
        <w:t xml:space="preserve"> : métalloenzymes Zn²⁺-dépendantes clivant les acides aminés C-terminaux ; (vi) </w:t>
      </w:r>
      <w:r>
        <w:rPr>
          <w:b/>
        </w:rPr>
        <w:t>Élastases</w:t>
      </w:r>
      <w:r>
        <w:t xml:space="preserve"> : protéases à sérine dégradant l'élastine et le collagène ; (vii) </w:t>
      </w:r>
      <w:r>
        <w:rPr>
          <w:b/>
        </w:rPr>
        <w:t>Phospholipase A₂</w:t>
      </w:r>
      <w:r>
        <w:t xml:space="preserve"> : hydrolyse des phospholipides en acides gras et lysophospholipides. L'effet thérapeutique se traduit par la correction de la maldigestion des graisses (stéatorrhée), des protéines (créatorrhée) et des glucides, avec normalisation du coefficient d'absorption intestinale des graisses (CAG &gt; 90 %) sous dose efficace.</w:t>
      </w:r>
    </w:p>
    <w:p>
      <w:r/>
      <w:r>
        <w:rPr>
          <w:b/>
        </w:rPr>
        <w:t>Profil Pharmacologique :</w:t>
      </w:r>
      <w:r/>
    </w:p>
    <w:p>
      <w:pPr>
        <w:pStyle w:val="ListBullet"/>
      </w:pPr>
      <w:r>
        <w:t>Indications : (1) Insuffisance pancréatique exocrine (IPE) de la mucoviscidose (fibrose kystique) chez l'enfant, l'adolescent et l'adulte — indication princeps et principale, à vie ; (2) IPE de la pancréatite chronique calcifiante (alcoolique principalement) ; (3) IPE après chirurgie pancréatique : duodéno-pancréatectomie céphalique (DPC, intervention de Whipple), pancréatectomie corporéale, pancréatectomie totale ; (4) IPE du cancer du pancréas (tumeur céphalique obstructive) ; (5) IPE après pancréatite aiguë sévère (nécrose &gt; 30 %) ; (6) Diabète type 3c (post-pancréatite chronique) ; (7) IPE partielle chez le sujet âgé (achylie pancréatique sénile) ; (8) Syndrome de Sjögren avec atteinte pancréatique ; (9) IPE après chimiothérapie ( Fluoropyrimidines, gemcitabine) ou radiothérapie abdominale.</w:t>
      </w:r>
    </w:p>
    <w:p>
      <w:pPr>
        <w:pStyle w:val="ListBullet"/>
      </w:pPr>
      <w:r>
        <w:t>Contre-indications : (i) Hypersensibilité à la pancréatine d'origine porcine ou aux excipients ; (ii) Pancréatite aiguë (la pancréatine n'est pas indiquée dans la phase aiguë) ; (iii) Occlusion intestinale aiguë ; (iv) Iléus paralytique ; (v) Réglime sans porc (restrictions religieuses : musulmans et juifs pratiquants) — discuter au cas par cas, l'absence de substitut non porcin rend souvent la prescription nécessaire ; (vi) Allaitement (par prudence, faute de données) ; (vii) Enfant de moins de 6 ans pour la forme 25 000 UI (risque d'obstruction intestinale par les microgranules).</w:t>
      </w:r>
    </w:p>
    <w:p>
      <w:pPr>
        <w:pStyle w:val="ListBullet"/>
      </w:pPr>
      <w:r>
        <w:t>Effets Indésirables : (i) Troubles gastro-intestinaux : nausées, vomissements, ballonnements, diarrhée ou constipation, douleurs abdominales (fréquents, souvent liés au dosage inadapté ou à la prise hors repas) ; (ii) Stéatorrhée persistante (en cas de dose insuffisante ou de prise inadéquate) ; (iii) Hyperuricurie et hyperuricémie chez la mucoviscidose à haute dose (la pancréatine contient des purines) — risque de lithiase urique ; (iv) Sténoses coliques et iléales (surtout chez l'enfant mucoviscidosique à dose &gt; 10 000 UI/kg/jour, par accumulation de microgranules non dissous) — effet rare mais grave, nécessitant arrêt et consultation ; (v) Réactions allergiques : rash, urticaire, prurit, bronchospasme (surtout chez les personnels de santé manipulant la poudre, asthme professionnel) ; (vi) Fibrose colonique rétrograde (rare, à haute dose prolongée) ; (vii) Augmentation des transaminases (rare).</w:t>
      </w:r>
    </w:p>
    <w:p>
      <w:r/>
      <w:r>
        <w:rPr>
          <w:b/>
        </w:rPr>
        <w:t>Prévention et Gestion des Effets Indésirables :</w:t>
      </w:r>
      <w:r/>
    </w:p>
    <w:p>
      <w:pPr>
        <w:pStyle w:val="ListBullet"/>
      </w:pPr>
      <w:r>
        <w:t>Mesures Préventives : (i) Vérifier l'indication et le dosage avant prescription : adapter la dose au poids, à la sévérité de l'IPE, et au contenu du repas ; (ii) Respecter strictement la prise pendant les repas (et non avant ou après) — la pancréatine doit se mélanger au chyme alimentaire dans l'estomac et le duodénum ; (iii) Chez l'enfant mucoviscidosique, ne pas dépasser 10 000 UI de lipase/kg/jour (risque de sténose colique) — surveillance clinique de la tolérance digestive ; (iv) Adapter la dose à chaque repas : dose maximale pour le repas principal, dose réduite pour les collations ; (v) Ouvrir les gélules et mélanger les microgranules dans une petite quantité de nourriture acide (compote de pomme, yaourt) chez l'enfant incapable d'avaler la gélule — ne pas écraser ni croquer les microgranules ( destruction de la gastro-résistance) ; (vi) Surveillance de l'uricémie et de l'uricurie chez la mucoviscidose à haute dose ; (vii) Information des personnels de santé allergiques à la pancréatine (manipulation avec masque et gants).</w:t>
      </w:r>
    </w:p>
    <w:p>
      <w:pPr>
        <w:pStyle w:val="ListBullet"/>
      </w:pPr>
      <w:r>
        <w:t>Conduite à Tenir : (i) Stéatorrhée persistante : vérifier l'observance (prise pendant le repas), augmenter la dose progressivement (par paliers de 10 000 UI/repas), ajouter un IPP si pH gastrique trop acide (la gastro-résistance nécessite un pH &gt; 5,5 pour libération duodénale) ; (ii) Douleurs abdominales et diarrhée : réduire la dose, vérifier la prise pendant le repas ; (iii) Sténose colique (douleur en cadre, arrêt des matières, distension) : arrêt immédiat, scanner abdominal, consultation chirurgicale urgente ; (iv) Réaction allergique : arrêt définitif, orientation allergologique.</w:t>
      </w:r>
    </w:p>
    <w:p>
      <w:r/>
      <w:r>
        <w:rPr>
          <w:b/>
        </w:rPr>
        <w:t>Interactions Importantes :</w:t>
      </w:r>
      <w:r/>
    </w:p>
    <w:p>
      <w:pPr>
        <w:pStyle w:val="ListBullet"/>
      </w:pPr>
      <w:r/>
      <w:r>
        <w:rPr>
          <w:b/>
        </w:rPr>
        <w:t>Pancréatine + Fer oral (sulfate de fer, fumarate de fer, glycerophosphate de fer)</w:t>
      </w:r>
      <w:r>
        <w:t xml:space="preserve"> : diminution de l'absorption du fer par les enzymes pancréatiques (la lipase dégrade les micelles lipidiques nécessaires à l'absorption du fer non-hème, et les sels biliaires précipités par le fer peuvent chélater les acides gras). Espacer les prises d'au moins 2 heures.</w:t>
      </w:r>
    </w:p>
    <w:p>
      <w:pPr>
        <w:pStyle w:val="ListBullet"/>
      </w:pPr>
      <w:r/>
      <w:r>
        <w:rPr>
          <w:b/>
        </w:rPr>
        <w:t>Pancréatine + Acide folique</w:t>
      </w:r>
      <w:r>
        <w:t xml:space="preserve"> : diminution possible de l'absorption de l'acide folique par les enzymes pancréatiques. Espacer les prises.</w:t>
      </w:r>
    </w:p>
    <w:p>
      <w:pPr>
        <w:pStyle w:val="ListBullet"/>
      </w:pPr>
      <w:r/>
      <w:r>
        <w:rPr>
          <w:b/>
        </w:rPr>
        <w:t>Pancréatine + Antiacides (carbonate de calcium, hydroxyde de magnésium)</w:t>
      </w:r>
      <w:r>
        <w:t xml:space="preserve"> : modification du pH gastrique et duodénal pouvant altérer la libération des microgranules gastro-résistants. Surveillance clinique de l'efficacité (stéatorrhée).</w:t>
      </w:r>
    </w:p>
    <w:p>
      <w:pPr>
        <w:pStyle w:val="ListBullet"/>
      </w:pPr>
      <w:r/>
      <w:r>
        <w:rPr>
          <w:b/>
        </w:rPr>
        <w:t>Pancréatine + IPP (oméprazole, ésoméprazole, pantoprazole) ou anti-H2 (ranitidine, famotidine)</w:t>
      </w:r>
      <w:r>
        <w:t xml:space="preserve"> : effet paradoxal bénéfique — la réduction de l'acidité gastrique permet une meilleure libération des enzymes dans le duodénum (la gastro-résistance se dissout à pH &gt; 5,5, qui peut ne pas être atteint si le pH gastrique est trop acide). L'IPP est souvent associé à la pancréatine à haute dose pour optimiser l'efficacité, en particulier dans la mucoviscidose.</w:t>
      </w:r>
    </w:p>
    <w:p>
      <w:pPr>
        <w:pStyle w:val="ListBullet"/>
      </w:pPr>
      <w:r/>
      <w:r>
        <w:rPr>
          <w:b/>
        </w:rPr>
        <w:t>Pancréatine + Anticoagulants oraux (AVK)</w:t>
      </w:r>
      <w:r>
        <w:t xml:space="preserve"> : diminution possible de l'absorption de la vitamine K (liposoluble) par diminution de l'absorption des graisses. Surveillance de l'INR.</w:t>
      </w:r>
    </w:p>
    <w:p>
      <w:pPr>
        <w:pStyle w:val="ListBullet"/>
      </w:pPr>
      <w:r/>
      <w:r>
        <w:rPr>
          <w:b/>
        </w:rPr>
        <w:t>Pancréatine + Acarbose, miglitol</w:t>
      </w:r>
      <w:r>
        <w:t xml:space="preserve"> (antidiabétiques oraux alpha-glucosidase inhibitors) : la pancréatine fournit de l'α-amylase qui peut contourner partiellement l'effet de l'acarbose (inhibiteur des α-glucosidases intestinales). Surveillance glycémique.</w:t>
      </w:r>
    </w:p>
    <w:p>
      <w:r/>
      <w:r>
        <w:rPr>
          <w:b/>
        </w:rPr>
        <w:t>Grossesse et Allaitement :</w:t>
      </w:r>
      <w:r/>
    </w:p>
    <w:p>
      <w:pPr>
        <w:pStyle w:val="ListBullet"/>
      </w:pPr>
      <w:r>
        <w:t>Grossesse : Compatible (CRAT). La pancréatine n'est pas absorbée systémiquement et agit uniquement dans la lumière intestinale. Elle peut être poursuivie pendant toute la grossesse chez la patiente présentant une IPE (mucoviscidose, pancréatite chronique, post-chirurgicale), avec adaptation posologique aux changements physiologiques de la grossesse (augmentation des besoins nutritionnels, modification du transit).</w:t>
      </w:r>
    </w:p>
    <w:p>
      <w:pPr>
        <w:pStyle w:val="ListBullet"/>
      </w:pPr>
      <w:r>
        <w:t>Allaitement : Compatible (CRAT). La pancréatine n'est pas excrétée dans le lait maternel (non absorbée). L'allaitement peut être poursuivi. L'ajustement posologique post-partum est souvent nécessaire (réduction de dose si la patiente a diminué ses repas principaux).</w:t>
      </w:r>
    </w:p>
    <w:p>
      <w:pPr>
        <w:pStyle w:val="ListBullet"/>
      </w:pPr>
      <w:r>
        <w:t>Précisions : Chez la patiente mucoviscidosique enceinte, la collaboration multidisciplinaire (pneumologue, gastro-entérologue, obstétricien, nutritionniste) est indispensable pour adapter la dose de pancréatine à chaque trimestre et optimiser l'état nutritionnel maternel et fœtal.</w:t>
      </w:r>
    </w:p>
    <w:p>
      <w:r/>
      <w:r>
        <w:rPr>
          <w:b/>
        </w:rPr>
        <w:t>Posologie et Mode d'administration (Standard) :</w:t>
      </w:r>
      <w:r/>
    </w:p>
    <w:p>
      <w:pPr>
        <w:pStyle w:val="ListBullet"/>
      </w:pPr>
      <w:r>
        <w:t>Adulte (IPE modérée à sévère) : 25 000 à 40 000 UI de lipase par repas principal, et 10 000 à 25 000 UI par collation, soit 75 000 à 200 000 UI/jour en moyenne. Ne pas dépasser 10 000 UI de lipase/kg/jour (soit 700 000 UI/jour pour un adulte de 70 kg) ni 2 500 UI de lipase/kg/repas.</w:t>
      </w:r>
    </w:p>
    <w:p>
      <w:pPr>
        <w:pStyle w:val="ListBullet"/>
      </w:pPr>
      <w:r>
        <w:t>Adulte (Creon 25 000) : 1 à 2 gélules par repas principal et 1 gélule par collation.</w:t>
      </w:r>
    </w:p>
    <w:p>
      <w:pPr>
        <w:pStyle w:val="ListBullet"/>
      </w:pPr>
      <w:r>
        <w:t>Adulte (Creon 10 000) : 2 à 4 gélules par repas principal et 1 à 2 gélules par collation.</w:t>
      </w:r>
    </w:p>
    <w:p>
      <w:pPr>
        <w:pStyle w:val="ListBullet"/>
      </w:pPr>
      <w:r>
        <w:t>Enfant (mucoviscidose) : 1 000 à 2 500 UI de lipase/kg/repas, avec un maximum de 10 000 UI/kg/jour. Adaptation individuelle selon le poids, l'âge, et la sévérité de l'IPE (mesurée par le coefficient d'absorption des graisses).</w:t>
      </w:r>
    </w:p>
    <w:p>
      <w:pPr>
        <w:pStyle w:val="ListBullet"/>
      </w:pPr>
      <w:r>
        <w:t>Sujet âgé : pas d'adaptation posologique, mais surveiller la tolérance digestive et la constipation.</w:t>
      </w:r>
    </w:p>
    <w:p>
      <w:pPr>
        <w:pStyle w:val="ListBullet"/>
      </w:pPr>
      <w:r>
        <w:t>Durée : traitement à vie dans la mucoviscidose et la pancréatite chronique. Adapté en fonction de l'évolution dans les suites post-chirurgicales.</w:t>
      </w:r>
    </w:p>
    <w:p>
      <w:pPr>
        <w:pStyle w:val="ListBullet"/>
      </w:pPr>
      <w:r>
        <w:t>Moment de prise : pendant les repas (et non avant ou après), avec un grand verre d'eau. La première dose est prise dès les premières bouchées, le reste réparti au cours du repas.</w:t>
      </w:r>
    </w:p>
    <w:p>
      <w:r/>
      <w:r>
        <w:rPr>
          <w:b/>
        </w:rPr>
        <w:t>Arbitrage et Bénéfices des Formes Galéniques :</w:t>
      </w:r>
      <w:r/>
    </w:p>
    <w:p>
      <w:pPr>
        <w:pStyle w:val="ListBullet"/>
      </w:pPr>
      <w:r>
        <w:t>Gélules à microgranules gastro-résistants (Creon 10 000 et 25 000) : forme de référence, obligatoire pour assurer la délivrance des enzymes dans le duodénum (à pH &gt; 5,5) et éviter la dénaturation acide gastrique. Les microgranules (diamètre 1-2 mm) se mêlent au chyme alimentaire et sont vidés gastriquement avec les aliments. Les gélules peuvent être ouvertes et les microgranules mélangés à une nourriture acide (compote de pomme, yaourt) chez l'enfant incapable d'avaler la gélule entière.</w:t>
      </w:r>
    </w:p>
    <w:p>
      <w:pPr>
        <w:pStyle w:val="ListBullet"/>
      </w:pPr>
      <w:r>
        <w:t>Pilulier de 60 gélules (Creon 10 000) : pour les doses modérées et l'adaptation pédiatrique.</w:t>
      </w:r>
    </w:p>
    <w:p>
      <w:pPr>
        <w:pStyle w:val="ListBullet"/>
      </w:pPr>
      <w:r>
        <w:t>Boîte de 50 gélules (Creon 25 000) : pour les doses adultes standard. Liste I.</w:t>
      </w:r>
    </w:p>
    <w:p>
      <w:pPr>
        <w:pStyle w:val="ListBullet"/>
      </w:pPr>
      <w:r>
        <w:t>Comparaison des dosages : Creon 10 000 = 1 gélule correspond à 10 000 UI de lipase ; Creon 25 000 = 1 gélule correspond à 25 000 UI de lipase. Le dosage 25 000 est plus pratique pour l'adulte (2 gélules = 50 000 UI = dose repas principal), le dosage 10 000 est plus pratique pour l'enfant et l'adaptation fine.</w:t>
      </w:r>
    </w:p>
    <w:p>
      <w:pPr>
        <w:pStyle w:val="ListBullet"/>
      </w:pPr>
      <w:r>
        <w:t>Absence de forme 40 000 UI en Algérie (disponible dans d'autres pays européens).</w:t>
      </w:r>
    </w:p>
    <w:p>
      <w:r/>
      <w:r>
        <w:rPr>
          <w:b/>
        </w:rPr>
        <w:t>Instructions et Conseils au Patient :</w:t>
      </w:r>
      <w:r/>
    </w:p>
    <w:p>
      <w:pPr>
        <w:pStyle w:val="ListBullet"/>
      </w:pPr>
      <w:r>
        <w:t>Communication au comptoir : "Ce médicament contient les enzymes que votre pancréas ne sécrète plus en quantité suffisante : lipase pour digérer les graisses, amylase pour digérer l'amidon, protéases pour digérer les protéines. Il est indispensable de prendre les gélules pendant les repas (et non avant ou après) pour que les enzymes se mélangent à la nourriture. La dose est adaptée à chaque repas : dose maximale pour le repas principal, dose réduite pour les collations. Ne pas croquer ni écraser les gélules ni les microgranules (qui sont gastro-résistants). Les gélules peuvent être ouvertes et les microgranules mélangés à une compote de pomme ou un yaourt chez l'enfant. Les effets indésirables possibles : troubles digestifs (ballonnements, diarrhée, constipation), et plus rarement allergie. Si vous prenez du fer oral, espacez les prises d'au moins 2 heures. Pour les enfants mucoviscidosiques, ne pas dépasser 10 000 unités par kg de poids corporel par jour. Conservez les gélules à température ambiante ≤ 25 °C, à l'abri de l'humidité."</w:t>
      </w:r>
    </w:p>
    <w:p>
      <w:pPr>
        <w:pStyle w:val="ListBullet"/>
      </w:pPr>
      <w:r>
        <w:t>Mode d'utilisation pratique : avaler les gélules entières avec un grand verre d'eau pendant le repas, dès les premières bouchées. Pour les enfants : ouvrir la gélule, verser les microgranules dans une cuillère à soupe de compote de pomme ou de yaourt (nourriture acide qui ne détruit pas la gastro-résistance), faire avaler immédiatement sans croquer. Ne pas mélanger à une nourriture alcaline (lait, bicarbonate) qui détruirait la gastro-résistance. Ne pas écraser les microgranules.</w:t>
      </w:r>
    </w:p>
    <w:p>
      <w:r/>
      <w:r>
        <w:rPr>
          <w:b/>
        </w:rPr>
        <w:t>Notes, Règles d'Or &amp; Pièges au Comptoir :</w:t>
      </w:r>
      <w:r/>
    </w:p>
    <w:p>
      <w:pPr>
        <w:pStyle w:val="ListBullet"/>
      </w:pPr>
      <w:r>
        <w:t>Piège classique : (i) Prise de la pancréatine avant ou après les repas (au lieu de pendant) — échec thérapeutique avec persistance de la stéatorrhée ; (ii) Croquement ou écrasement des gélules ou des microgranules — destruction de la gastro-résistance, dénatration acide gastrique des enzymes, échec thérapeutique ; (iii) Mélange des microgranules avec une nourriture alcaline (lait, bicarbonate) — destruction de la gastro-résistance ; (iv) Dose insuffisante — persistance de la stéatorrhée et de la malnutrition ; (v) Dose excessive chez l'enfant mucoviscidosique (&gt; 10 000 UI/kg/j) — risque de sténose colique (urgences chirurgicales) ; (vi) Oubli d'associer un IPP en cas de pH gastrique très acide (mucoviscidose, syndrome de Zollinger-Ellison associé) — échec de libération duodénale ; (vii) Prise concomitante avec le fer oral sans espacement — diminution de l'absorption du fer ; (viii) Restriction religieuse (porc) — discuter au cas par cas, l'absence de substitut non porcin rend la prescription généralement nécessaire après information éclairée du patient.</w:t>
      </w:r>
    </w:p>
    <w:p>
      <w:pPr>
        <w:pStyle w:val="ListBullet"/>
      </w:pPr>
      <w:r>
        <w:t>Règle de prise : pendant les repas, à chaque repas et collation, dose adaptée au contenu du repas. À vie dans la mucoviscidose et la pancréatite chronique.</w:t>
      </w:r>
    </w:p>
    <w:p>
      <w:pPr>
        <w:pStyle w:val="ListBullet"/>
      </w:pPr>
      <w:r>
        <w:t>Préparation et Conservation : gélules à température ≤ 25 °C, à l'abri de l'humidité (les enzymes sont hydrosensibles) et de la lumière. Conservation après ouverture du pilulier : 6 mois en général (vérifier la notice).</w:t>
      </w:r>
    </w:p>
    <w:p>
      <w:pPr>
        <w:pStyle w:val="ListBullet"/>
      </w:pPr>
      <w:r>
        <w:t>Piège du surdosage / Substitution : en cas de surdosage (&gt; 10 000 UI/kg/j), risque de sténose colique (douleur en cadre, arrêt des matières et des gaz, distension abdominale) — arrêt immédiat, scanner abdominal, consultation chirurgicale urgente. Substitution possible entre Creon 10 000 et Creon 25 000 (calcul en unités de lipase). Substitution par d'autres marques non disponibles en Algérie (Eur克里ase, Pancreaze, Zenpep) — non commercialisés localement.</w:t>
      </w:r>
    </w:p>
    <w:p>
      <w:pPr>
        <w:pStyle w:val="Heading3"/>
      </w:pPr>
      <w:r>
        <w:t>5. DCI : Enzymes digestives (amylase, lipase, papaïne, etc.) (Seule)</w:t>
      </w:r>
    </w:p>
    <w:p>
      <w:r/>
      <w:r>
        <w:rPr>
          <w:b/>
        </w:rPr>
        <w:t>Liste des Catégories :</w:t>
      </w:r>
      <w:r>
        <w:t xml:space="preserve"> Enzyme digestive polyenzyme ; Mucolytique (alpha-amylase) ; Anti-inflammatoire enzymatique (chymotrypsine) ; Adjuvant des troubles dyspeptiques.</w:t>
      </w:r>
    </w:p>
    <w:p>
      <w:r>
        <w:t>La sous-classe des polyenzymes digestives regroupe des spécialités contenant une ou plusieurs enzymes d'origines végétale, fongique ou animale, administrées par voie orale (sirop) ou injectable (IM), avec des indications variées : mucolytique dans les toux grasses (alpha-amylase), anti-inflammatoire en ORL et ophtalmologie (chymotrypsine), digestion adjuvante (papaïne, broméline). L'</w:t>
      </w:r>
      <w:r>
        <w:rPr>
          <w:b/>
        </w:rPr>
        <w:t>alpha-amylase</w:t>
      </w:r>
      <w:r>
        <w:t xml:space="preserve"> utilisée en thérapeutique est généralement d'origine fongique (</w:t>
      </w:r>
      <w:r>
        <w:rPr>
          <w:i/>
        </w:rPr>
        <w:t>Aspergillus oryzae</w:t>
      </w:r>
      <w:r>
        <w:t>) ou bactérienne (</w:t>
      </w:r>
      <w:r>
        <w:rPr>
          <w:i/>
        </w:rPr>
        <w:t>Bacillus subtilis</w:t>
      </w:r>
      <w:r>
        <w:t xml:space="preserve">), parfois animale (pancréas porcin). Elle hydrolyse les liaisons α-1,4 de l'amidon en maltose, maltotriose et dextrines limites. Son utilisation en sirop dans les affections respiratoires repose sur la supposée capacité de l'enzyme à hydrolyser les glycoprotéines du mucus bronchique (mucines) et à en diminuer la viscosité — mécanisme qui n'est pas strictement démontré et qui est discuté par la communauté scientifique (la mucine est riche en O-glycosylations sialylées et sulfatées, peu accessibles à l'amylase). Néanmoins, ces spécialités sont très largement prescrites en pédiatrie algérienne pour les toux grasses, les rhinopharyngites, et les bronchites aiguës. La </w:t>
      </w:r>
      <w:r>
        <w:rPr>
          <w:b/>
        </w:rPr>
        <w:t>chymotrypsine</w:t>
      </w:r>
      <w:r>
        <w:t xml:space="preserve"> (α et π) est une protéase à sérine extraite du pancréas bovin, qui peut être administrée par voie IM comme anti-inflammatoire dans les œdèmes post-opératoires ORL ou ophtalmologiques, et les hyphéma (saignement intra-oculaire). Son mécanisme d'action anti-inflammatoire passe par la protéolyse des facteurs de l'inflammation (bradykinine, fibrine, complexes immuns circulants).</w:t>
      </w:r>
    </w:p>
    <w:p>
      <w:r/>
      <w:r>
        <w:rPr>
          <w:b/>
        </w:rPr>
        <w:t>Médicaments disponibles en Algérie (Marques, Laboratoires, Formes et Dosages) :</w:t>
      </w:r>
      <w:r/>
    </w:p>
    <w:p>
      <w:r>
        <w:t>Spécialités à base d'alpha-amylase :</w:t>
      </w:r>
    </w:p>
    <w:p>
      <w:pPr>
        <w:pStyle w:val="ListBullet"/>
      </w:pPr>
      <w:r/>
      <w:r>
        <w:rPr>
          <w:b/>
        </w:rPr>
        <w:t>LAMYLASE</w:t>
      </w:r>
      <w:r>
        <w:t xml:space="preserve"> (LABORATOIRE ALGERIEN DU MEDICAMENT - LAM)</w:t>
      </w:r>
    </w:p>
    <w:p>
      <w:pPr>
        <w:pStyle w:val="ListBullet"/>
      </w:pPr>
      <w:r>
        <w:t>Formes et Dosages : Sirop, 200 U CEIP/mL, flacon de 100 mL.</w:t>
      </w:r>
    </w:p>
    <w:p>
      <w:pPr>
        <w:pStyle w:val="ListBullet"/>
      </w:pPr>
      <w:r>
        <w:t>Statut : Actif.</w:t>
      </w:r>
    </w:p>
    <w:p>
      <w:pPr>
        <w:pStyle w:val="ListBullet"/>
      </w:pPr>
      <w:r/>
      <w:r>
        <w:rPr>
          <w:b/>
        </w:rPr>
        <w:t>ALFALASE</w:t>
      </w:r>
      <w:r>
        <w:t xml:space="preserve"> (GENERIC LAB)</w:t>
      </w:r>
    </w:p>
    <w:p>
      <w:pPr>
        <w:pStyle w:val="ListBullet"/>
      </w:pPr>
      <w:r>
        <w:t>Formes et Dosages : Sirop, 200 U CEIP/mL, flacon de 125 mL.</w:t>
      </w:r>
    </w:p>
    <w:p>
      <w:pPr>
        <w:pStyle w:val="ListBullet"/>
      </w:pPr>
      <w:r>
        <w:t>Statut : Actif.</w:t>
      </w:r>
    </w:p>
    <w:p>
      <w:pPr>
        <w:pStyle w:val="ListBullet"/>
      </w:pPr>
      <w:r/>
      <w:r>
        <w:rPr>
          <w:b/>
        </w:rPr>
        <w:t>MAXILASE</w:t>
      </w:r>
      <w:r>
        <w:t xml:space="preserve"> (PROPHARMAL)</w:t>
      </w:r>
    </w:p>
    <w:p>
      <w:pPr>
        <w:pStyle w:val="ListBullet"/>
      </w:pPr>
      <w:r>
        <w:t>Formes et Dosages : Sirop, 200 U CEIP/mL, flacon de 125 mL.</w:t>
      </w:r>
    </w:p>
    <w:p>
      <w:pPr>
        <w:pStyle w:val="ListBullet"/>
      </w:pPr>
      <w:r>
        <w:t>Statut : Actif.</w:t>
      </w:r>
    </w:p>
    <w:p>
      <w:pPr>
        <w:pStyle w:val="ListBullet"/>
      </w:pPr>
      <w:r/>
      <w:r>
        <w:rPr>
          <w:b/>
        </w:rPr>
        <w:t>MEGAMYLASE</w:t>
      </w:r>
      <w:r>
        <w:t xml:space="preserve"> (PHARMACEUTICAL LABORATORY INTERNATIONAL)</w:t>
      </w:r>
    </w:p>
    <w:p>
      <w:pPr>
        <w:pStyle w:val="ListBullet"/>
      </w:pPr>
      <w:r>
        <w:t>Formes et Dosages : Sirop, 200 U CEIP/mL, flacon de 125 mL (Liste I).</w:t>
      </w:r>
    </w:p>
    <w:p>
      <w:pPr>
        <w:pStyle w:val="ListBullet"/>
      </w:pPr>
      <w:r>
        <w:t>Statut : Actif.</w:t>
      </w:r>
    </w:p>
    <w:p>
      <w:pPr>
        <w:pStyle w:val="ListBullet"/>
      </w:pPr>
      <w:r/>
      <w:r>
        <w:rPr>
          <w:b/>
        </w:rPr>
        <w:t>XIMALEX</w:t>
      </w:r>
      <w:r>
        <w:t xml:space="preserve"> (GROUPE SAIDAL)</w:t>
      </w:r>
    </w:p>
    <w:p>
      <w:pPr>
        <w:pStyle w:val="ListBullet"/>
      </w:pPr>
      <w:r>
        <w:t>Formes et Dosages : Sirop, 20 000 U CEIP/100 mL, flacon de 100 mL.</w:t>
      </w:r>
    </w:p>
    <w:p>
      <w:pPr>
        <w:pStyle w:val="ListBullet"/>
      </w:pPr>
      <w:r>
        <w:t>Statut : Non Renouvelable.</w:t>
      </w:r>
    </w:p>
    <w:p>
      <w:r>
        <w:t>Spécialités à base d'alpha-amylase retirées :</w:t>
      </w:r>
    </w:p>
    <w:p>
      <w:pPr>
        <w:pStyle w:val="ListBullet"/>
      </w:pPr>
      <w:r/>
      <w:r>
        <w:rPr>
          <w:b/>
        </w:rPr>
        <w:t>SUPRAMYLASE</w:t>
      </w:r>
      <w:r>
        <w:t xml:space="preserve"> (TOP PHARMA) : Comprimé enrobé 3000 U CEIP, B/24 — Retiré (R).</w:t>
      </w:r>
    </w:p>
    <w:p>
      <w:pPr>
        <w:pStyle w:val="ListBullet"/>
      </w:pPr>
      <w:r/>
      <w:r>
        <w:rPr>
          <w:b/>
        </w:rPr>
        <w:t>DANILASE</w:t>
      </w:r>
      <w:r>
        <w:t xml:space="preserve"> (FERROSAN) : Comprimé 3000 U CEIP, B/24 — Retiré (R).</w:t>
      </w:r>
    </w:p>
    <w:p>
      <w:pPr>
        <w:pStyle w:val="ListBullet"/>
      </w:pPr>
      <w:r/>
      <w:r>
        <w:rPr>
          <w:b/>
        </w:rPr>
        <w:t>MAXILASE</w:t>
      </w:r>
      <w:r>
        <w:t xml:space="preserve"> (SANOFI SYNTHELABO) : Comprimé enrobé 3000 U CEIP, B/24 — Retiré (R).</w:t>
      </w:r>
    </w:p>
    <w:p>
      <w:pPr>
        <w:pStyle w:val="ListBullet"/>
      </w:pPr>
      <w:r/>
      <w:r>
        <w:rPr>
          <w:b/>
        </w:rPr>
        <w:t>MEGAMYLASE</w:t>
      </w:r>
      <w:r>
        <w:t xml:space="preserve"> (LEURQUIN MEDIOLANUM) : Sirop 20 000 U CEIP/100 mL, fl/125 mL — Retiré (R).</w:t>
      </w:r>
    </w:p>
    <w:p>
      <w:pPr>
        <w:pStyle w:val="ListBullet"/>
      </w:pPr>
      <w:r/>
      <w:r>
        <w:rPr>
          <w:b/>
        </w:rPr>
        <w:t>DANILASE</w:t>
      </w:r>
      <w:r>
        <w:t xml:space="preserve"> (FERROSAN) : Sirop 20 000 U CEIP, fl/100 mL — Retiré (R).</w:t>
      </w:r>
    </w:p>
    <w:p>
      <w:pPr>
        <w:pStyle w:val="ListBullet"/>
      </w:pPr>
      <w:r/>
      <w:r>
        <w:rPr>
          <w:b/>
        </w:rPr>
        <w:t>ALPHA-ALPHYLASE</w:t>
      </w:r>
      <w:r>
        <w:t xml:space="preserve"> (KRG PHARMA) : Sirop 20 000 U CEIP/100 mL, fl/125 mL — Retiré (R).</w:t>
      </w:r>
    </w:p>
    <w:p>
      <w:r>
        <w:t>Spécialités à base de chymotrypsine :</w:t>
      </w:r>
    </w:p>
    <w:p>
      <w:pPr>
        <w:pStyle w:val="ListBullet"/>
      </w:pPr>
      <w:r/>
      <w:r>
        <w:rPr>
          <w:b/>
        </w:rPr>
        <w:t>ALPHA-TRYPSINE</w:t>
      </w:r>
      <w:r>
        <w:t xml:space="preserve"> (GROUPE SAIDAL)</w:t>
      </w:r>
    </w:p>
    <w:p>
      <w:pPr>
        <w:pStyle w:val="ListBullet"/>
      </w:pPr>
      <w:r>
        <w:t>Formes et Dosages : Poudre pour usage dermique, 5400 UAE, tube de 20 g.</w:t>
      </w:r>
    </w:p>
    <w:p>
      <w:pPr>
        <w:pStyle w:val="ListBullet"/>
      </w:pPr>
      <w:r>
        <w:t>Statut : Non Renouvelable.</w:t>
      </w:r>
    </w:p>
    <w:p>
      <w:pPr>
        <w:pStyle w:val="ListBullet"/>
      </w:pPr>
      <w:r/>
      <w:r>
        <w:rPr>
          <w:b/>
        </w:rPr>
        <w:t>ALPHACHYMOTRYPSINE LEURQUIN 5 MG</w:t>
      </w:r>
      <w:r>
        <w:t xml:space="preserve"> (LEURQUIN MEDIOLANUM)</w:t>
      </w:r>
    </w:p>
    <w:p>
      <w:pPr>
        <w:pStyle w:val="ListBullet"/>
      </w:pPr>
      <w:r>
        <w:t>Formes et Dosages : Poudre pour usage parentéral IM, 20 microkatals, boîte de 5 + 5 ampoules.</w:t>
      </w:r>
    </w:p>
    <w:p>
      <w:pPr>
        <w:pStyle w:val="ListBullet"/>
      </w:pPr>
      <w:r>
        <w:t>Statut : Retiré (R).</w:t>
      </w:r>
    </w:p>
    <w:p>
      <w:r/>
      <w:r>
        <w:rPr>
          <w:b/>
        </w:rPr>
        <w:t>Sous-classe et Mécanisme d'action :</w:t>
      </w:r>
      <w:r/>
    </w:p>
    <w:p>
      <w:pPr>
        <w:pStyle w:val="ListBullet"/>
      </w:pPr>
      <w:r>
        <w:t>Sous-classe : Enzymes digestives polyenzymes, positionnées comme mucolytiques (alpha-amylase) et comme anti-inflammatoires enzymatiques (chymotrypsine). Prescription libre pour la plupart des formes orales (sirop), parfois en Liste I selon la spécialité.</w:t>
      </w:r>
    </w:p>
    <w:p>
      <w:pPr>
        <w:pStyle w:val="ListBullet"/>
      </w:pPr>
      <w:r>
        <w:t xml:space="preserve">Mécanisme d'action : (i) </w:t>
      </w:r>
      <w:r>
        <w:rPr>
          <w:b/>
        </w:rPr>
        <w:t>Alpha-amylase comme mucolytique</w:t>
      </w:r>
      <w:r>
        <w:t xml:space="preserve"> : hydrolyse des liaisons α-1,4 des polysaccharides du mucus bronchique (mucines), réduisant théoriquement la viscosité du mucus et facilitant son expectoration. Toutefois, ce mécanisme est discuté : les mucines bronchiques sont des glycoprotéines riches en O-glycosylations sialylées et sulfatées, peu clivables par l'α-amylase (qui est spécifique des liaisons α-1,4 de l'amidon). L'effet clinique observé pourrait être davantage lié à un effet placebo ou à un effet osmotique du sirop (sucres) ; (ii) </w:t>
      </w:r>
      <w:r>
        <w:rPr>
          <w:b/>
        </w:rPr>
        <w:t>Alpha-amylase comme digestive</w:t>
      </w:r>
      <w:r>
        <w:t xml:space="preserve"> : hydrolyse de l'amidon alimentaire en maltose et dextrines, en cas d'insuffisance digestive fonctionnelle. Effet similaire à l'α-amylase pancréatique mais sans gastro-résistance ; (iii) </w:t>
      </w:r>
      <w:r>
        <w:rPr>
          <w:b/>
        </w:rPr>
        <w:t>Chymotrypsine comme anti-inflammatoire</w:t>
      </w:r>
      <w:r>
        <w:t xml:space="preserve"> : protéolyse des facteurs de l'inflammation (bradykinine, fibrine, complexes immuns circulants, prostaglandines E₂), réduction de l'œdème tissulaire, et modulation de la perméabilité capillaire. Administrée par voie IM, elle diffuse vers les foyers inflammatoires et facilite la résorption des œdèmes (notamment post-opératoires ORL et ophtalmologiques) ; (iv) </w:t>
      </w:r>
      <w:r>
        <w:rPr>
          <w:b/>
        </w:rPr>
        <w:t>Chymotrypsine comme mucolytique</w:t>
      </w:r>
      <w:r>
        <w:t xml:space="preserve"> (topique) : protéolyse des mucines et des exsudats fibrineux dans les plaies, ulcères, et les lésions dermiques (forme dermique d'ALPHA-TRYPSINE).</w:t>
      </w:r>
    </w:p>
    <w:p>
      <w:r/>
      <w:r>
        <w:rPr>
          <w:b/>
        </w:rPr>
        <w:t>Profil Pharmacologique :</w:t>
      </w:r>
      <w:r/>
    </w:p>
    <w:p>
      <w:pPr>
        <w:pStyle w:val="ListBullet"/>
      </w:pPr>
      <w:r>
        <w:t>Indications : (1) Alpha-amylase en sirop : traitement adjuvant des toux grasses et des encombrements bronchiques de l'enfant et de l'adulte (rhinopharyngites, bronchites aiguës, trachéites) — indication traditionnelle discutée ; (2) Alpha-amylase en comprimé (supprimée en Algérie) : dyspepsie, sensation de lourdeur post-prandiale, ballonnements ; (3) Chymotrypsine IM : œdèmes post-opératoires ORL (amygdalectomie, chirurgie des sinusites), stomatologie (post-extraction dentaire), ophtalmologie (hyphéma post-traumatique, inflammation post-chirurgie de la cataracte), gynécologie (engorgement mammaire post-partum) ; (4) Chymotrypsine dermique : nettoyage des plaies fibrineuses, ulcères de jambe, escarres.</w:t>
      </w:r>
    </w:p>
    <w:p>
      <w:pPr>
        <w:pStyle w:val="ListBullet"/>
      </w:pPr>
      <w:r>
        <w:t>Contre-indications : (i) Hypersensibilité aux enzymes ou aux protéines d'origine fongique (Aspergillus) ou bovine ; (ii) Asthme allergique à l'Aspergillus (l'alpha-amylase d'Aspergillus peut déclencher une crise d'asthme chez le patient sensibilisé) ; (iii) Mucoviscidose (la pancréatine gastro-résistante est la référence, l'alpha-amylase en sirop est insuffisante) ; (iv) Insuffisance pancréatique exocrine vraie (la pancréatine est indiquée, pas l'alpha-amylase seule) ; (v) Ulcère gastro-duodénal en poussée (pour la chymotrypsine orale, retirée) ; (vi) Troubles de la coagulation et traitement anticoagulant (pour la chymotrypsine injectable, par prudence) ; (vii) Enfant de moins de 30 mois pour les sirops (selon RCP, en raison du risque de sédation paradoxale par excipients, vérifier la composition) ; (viii) Femme enceinte ou allaitante (par prudence pour la chymotrypsine injectable).</w:t>
      </w:r>
    </w:p>
    <w:p>
      <w:pPr>
        <w:pStyle w:val="ListBullet"/>
      </w:pPr>
      <w:r>
        <w:t>Effets Indésirables : (i) Troubles gastro-intestinaux : nausées, diarrhée, ballonnements (peu fréquents) ; (ii) Réactions allergiques : rash, urticaire, prurit, bronchospasme (surtout chez les allergiques à l'Aspergillus) ; (iii) Réactions au site d'injection (chymotrypsine IM) : douleur, induration, hématome ; (iv) Augmentation modérée et transitoire des transaminases (rare) ; (v) Bronchospasme (rare, en cas d'allergie respiratoire à l'Aspergillus) ; (vi) Pour la chymotrypsine : troubles de la coagulation (potentialisation des anticoagulants), hypotension transitoire.</w:t>
      </w:r>
    </w:p>
    <w:p>
      <w:r/>
      <w:r>
        <w:rPr>
          <w:b/>
        </w:rPr>
        <w:t>Prévention et Gestion des Effets Indésirables :</w:t>
      </w:r>
      <w:r/>
    </w:p>
    <w:p>
      <w:pPr>
        <w:pStyle w:val="ListBullet"/>
      </w:pPr>
      <w:r>
        <w:t>Mesures Préventives : (i) Interroger le patient sur ses antécédents allergiques, notamment à l'Aspergillus, aux moisissures, ou aux pénicillines (réactions croisées possibles avec les enzymes d'origine fongique) ; (ii) Ne pas utiliser chez le patient présentant une authentique insuffisance pancréatique exocrine (préférer la pancréatine gastro-résistante) ; (iii) Respecter les posologies recommandées et la durée de traitement (5-7 jours pour les affections respiratoires aiguës) ; (iv) Pour la chymotrypsine injectable : injection IM stricte dans le quadrant supéro-externe de la fesse, aspiration avant injection pour éviter une injection intra-vasculaire, surveillance 30 minutes après l'injection (risque allergique).</w:t>
      </w:r>
    </w:p>
    <w:p>
      <w:pPr>
        <w:pStyle w:val="ListBullet"/>
      </w:pPr>
      <w:r>
        <w:t>Conduite à Tenir : (i) Troubles digestifs : réduire la dose, prendre après les repas ; (ii) Réaction allergique : arrêt définitif, antihistaminiques, corticoïdes si réaction sévère, adresse en urgences en cas de bronchospasme ; (iii) Pour la chymotrypsine IM : arrêt en cas de troubles de la coagulation, surveillance de l'INR si anticoagulant.</w:t>
      </w:r>
    </w:p>
    <w:p>
      <w:r/>
      <w:r>
        <w:rPr>
          <w:b/>
        </w:rPr>
        <w:t>Interactions Importantes :</w:t>
      </w:r>
      <w:r/>
    </w:p>
    <w:p>
      <w:pPr>
        <w:pStyle w:val="ListBullet"/>
      </w:pPr>
      <w:r/>
      <w:r>
        <w:rPr>
          <w:b/>
        </w:rPr>
        <w:t>Alpha-amylase + Anticoagulants oraux (AVK)</w:t>
      </w:r>
      <w:r>
        <w:t xml:space="preserve"> : risque théorique de modification de l'absorption de la vitamine K (liposoluble), surveillance de l'INR (peu significatif en pratique).</w:t>
      </w:r>
    </w:p>
    <w:p>
      <w:pPr>
        <w:pStyle w:val="ListBullet"/>
      </w:pPr>
      <w:r/>
      <w:r>
        <w:rPr>
          <w:b/>
        </w:rPr>
        <w:t>Chymotrypsine + Anticoagulants oraux (AVK, AOD), héparine, antiagrégants plaquettaires</w:t>
      </w:r>
      <w:r>
        <w:t xml:space="preserve"> : potentialisation du risque hémorragique (la chymotrypsine protéolyse la fibrine et diminue la viscosité sanguine). Surveillance clinique.</w:t>
      </w:r>
    </w:p>
    <w:p>
      <w:pPr>
        <w:pStyle w:val="ListBullet"/>
      </w:pPr>
      <w:r/>
      <w:r>
        <w:rPr>
          <w:b/>
        </w:rPr>
        <w:t>Alpha-amylase + Médicaments mucolytiques (acétylcystéine, ambroxol, carbocistéine)</w:t>
      </w:r>
      <w:r>
        <w:t xml:space="preserve"> : effet additif théorique (à éviter en association systématique, préférer une seule classe mucolytique).</w:t>
      </w:r>
    </w:p>
    <w:p>
      <w:pPr>
        <w:pStyle w:val="ListBullet"/>
      </w:pPr>
      <w:r/>
      <w:r>
        <w:rPr>
          <w:b/>
        </w:rPr>
        <w:t>Alpha-amylase + Antibiotiques</w:t>
      </w:r>
      <w:r>
        <w:t xml:space="preserve"> : pas d'interaction significative.</w:t>
      </w:r>
    </w:p>
    <w:p>
      <w:r/>
      <w:r>
        <w:rPr>
          <w:b/>
        </w:rPr>
        <w:t>Grossesse et Allaitement :</w:t>
      </w:r>
      <w:r/>
    </w:p>
    <w:p>
      <w:pPr>
        <w:pStyle w:val="ListBullet"/>
      </w:pPr>
      <w:r>
        <w:t>Grossesse : À éviter par prudence (CRAT : pas de données cliniques spécifiques). Les enzymes protéiques sont théoriquement dégradées dans l'estomac et non absorbées sous forme active, mais la prudence s'impose. Pour la chymotrypsine injectable, CI par prudence. Pour la toux gravidique, préférer les mucolytiques classiques (acétylcystéine, ambroxol) à l'alpha-amylase.</w:t>
      </w:r>
    </w:p>
    <w:p>
      <w:pPr>
        <w:pStyle w:val="ListBullet"/>
      </w:pPr>
      <w:r>
        <w:t>Allaitement : À éviter par prudence. On ignore si les enzymes passent dans le lait maternel, mais la dégradation gastrique maternelle rend improbable un passage significatif. Pour la chymotrypsine injectable, CI par prudence.</w:t>
      </w:r>
    </w:p>
    <w:p>
      <w:pPr>
        <w:pStyle w:val="ListBullet"/>
      </w:pPr>
      <w:r>
        <w:t>Précisions : Les sirops d'alpha-amylase contiennent souvent des excipients à effet notoire (saccharose, alcool, parabens) à prendre en compte chez la femme enceinte (diabète gestationnel, risque fœtal de l'alcool).</w:t>
      </w:r>
    </w:p>
    <w:p>
      <w:r/>
      <w:r>
        <w:rPr>
          <w:b/>
        </w:rPr>
        <w:t>Posologie et Mode d'administration (Standard) :</w:t>
      </w:r>
      <w:r/>
    </w:p>
    <w:p>
      <w:pPr>
        <w:pStyle w:val="ListBullet"/>
      </w:pPr>
      <w:r>
        <w:t>Adulte (alpha-amylase sirop, 200 U CEIP/mL) : 1 à 2 cuillères à soupe (15-30 mL) par jour, en 2 à 3 prises, pendant 5 à 7 jours.</w:t>
      </w:r>
    </w:p>
    <w:p>
      <w:pPr>
        <w:pStyle w:val="ListBullet"/>
      </w:pPr>
      <w:r>
        <w:t>Enfant à partir de 30 mois (alpha-amylase sirop, 200 U CEIP/mL) : 1 à 2 cuillères à café (5-10 mL) par jour, en 2 à 3 prises, pendant 5 à 7 jours.</w:t>
      </w:r>
    </w:p>
    <w:p>
      <w:pPr>
        <w:pStyle w:val="ListBullet"/>
      </w:pPr>
      <w:r>
        <w:t>Adulte (chymotrypsine IM) : 5 mg (20 microkatals) par jour en injection IM profonde, pendant 5 à 10 jours selon l'indication. (Spécialité retirée du marché algérien.)</w:t>
      </w:r>
    </w:p>
    <w:p>
      <w:pPr>
        <w:pStyle w:val="ListBullet"/>
      </w:pPr>
      <w:r>
        <w:t>Adulte (chymotrypsine dermique ALPHA-TRYPSINE, non renouvelable) : application locale 1 à 2 fois par jour sur les plaies fibrineuses après nettoyage.</w:t>
      </w:r>
    </w:p>
    <w:p>
      <w:pPr>
        <w:pStyle w:val="ListBullet"/>
      </w:pPr>
      <w:r>
        <w:t>Sujet âgé : pas d'adaptation posologique pour l'alpha-amylase orale.</w:t>
      </w:r>
    </w:p>
    <w:p>
      <w:pPr>
        <w:pStyle w:val="ListBullet"/>
      </w:pPr>
      <w:r>
        <w:t>Durée : 5 à 7 jours pour les affections respiratoires aiguës. Pas de traitement au long cours.</w:t>
      </w:r>
    </w:p>
    <w:p>
      <w:pPr>
        <w:pStyle w:val="ListBullet"/>
      </w:pPr>
      <w:r>
        <w:t>Moment de prise : alpha-amylase : pendant ou après les repas. Chymotrypsine IM : indifférent.</w:t>
      </w:r>
    </w:p>
    <w:p>
      <w:r/>
      <w:r>
        <w:rPr>
          <w:b/>
        </w:rPr>
        <w:t>Arbitrage et Bénéfices des Formes Galéniques :</w:t>
      </w:r>
      <w:r/>
    </w:p>
    <w:p>
      <w:pPr>
        <w:pStyle w:val="ListBullet"/>
      </w:pPr>
      <w:r>
        <w:t>Sirop (toutes les marques d'alpha-amylase) : forme de référence de l'enfant et de l'adulte. Pratique pour l'adaptation posologique pédiatrique. Contient généralement du saccharose (attention chez le diabétique). Conservation après ouverture : 1 mois en général à température ambiante ≤ 25 °C.</w:t>
      </w:r>
    </w:p>
    <w:p>
      <w:pPr>
        <w:pStyle w:val="ListBullet"/>
      </w:pPr>
      <w:r>
        <w:t>Comprimés enrobés (SUPRAMYLASE, DANILASE, MAXILASE cp) : retirés du marché algérien.</w:t>
      </w:r>
    </w:p>
    <w:p>
      <w:pPr>
        <w:pStyle w:val="ListBullet"/>
      </w:pPr>
      <w:r>
        <w:t>Poudre pour usage parentéral IM (ALPHACHYMOTRYPSINE LEURQUIN) : retirée du marché algérien.</w:t>
      </w:r>
    </w:p>
    <w:p>
      <w:pPr>
        <w:pStyle w:val="ListBullet"/>
      </w:pPr>
      <w:r>
        <w:t>Poudre dermique (ALPHA-TRYPSINE) : non renouvelable. Comparaison des marques d'alpha-amylase : Maxilase (PROPHARMAL) est la marque la plus connue et la plus prescrite en Algérie ; Megamylase (PHARMACEUTICAL LABORATORY INTERNATIONAL) est en Liste I (probablement en raison d'un dosage différent ou d'excipients réglementés) ; Lamylase (LAM), Alfalase (GENERIC LAB) sont des génériques à 200 U CEIP/mL.</w:t>
      </w:r>
    </w:p>
    <w:p>
      <w:r/>
      <w:r>
        <w:rPr>
          <w:b/>
        </w:rPr>
        <w:t>Instructions et Conseils au Patient :</w:t>
      </w:r>
      <w:r/>
    </w:p>
    <w:p>
      <w:pPr>
        <w:pStyle w:val="ListBullet"/>
      </w:pPr>
      <w:r>
        <w:t>Communication au comptoir : "Ce médicament contient de l'alpha-amylase, une enzyme qui aide à fluidifier le mucus des bronches et facilite l'expectoration. Prenez le sirop avec une cuillère doseuse, en 2 à 3 prises par jour, pendant ou après les repas. Le traitement dure généralement 5 à 7 jours. Agitez bien le flacon avant chaque utilisation. Conservez le flacon à température ambiante, à l'abri de la lumière, et utilisez-le dans le mois qui suit l'ouverture. Si vous êtes diabétique, attention : ce sirop contient du sucre. Si vous êtes allergique aux moisissures ou à l'Aspergillus, signalez-le avant la prise. Ce médicament n'est pas un antibiotique et ne doit pas être utilisé en cas de fièvre élevée ou de difficulté respiratoire importante : consultez un médecin."</w:t>
      </w:r>
    </w:p>
    <w:p>
      <w:pPr>
        <w:pStyle w:val="ListBullet"/>
      </w:pPr>
      <w:r>
        <w:t>Mode d'utilisation pratique : agiter le flacon avant emploi, mesurer la dose avec la cuillère doseuse ou la pipette fournie. Le sirop peut être pur ou dilué dans un peu d'eau. Se brosser les dents après la prise (en raison du saccharose). Ne pas dépasser la dose recommandée.</w:t>
      </w:r>
    </w:p>
    <w:p>
      <w:r/>
      <w:r>
        <w:rPr>
          <w:b/>
        </w:rPr>
        <w:t>Notes, Règles d'Or &amp; Pièges au Comptoir :</w:t>
      </w:r>
      <w:r/>
    </w:p>
    <w:p>
      <w:pPr>
        <w:pStyle w:val="ListBullet"/>
      </w:pPr>
      <w:r>
        <w:t>Piège classique : (i) Patient présentant une authentique IPE (mucoviscidose, pancréatite chronique) — l'alpha-amylase seule est insuffisante, il faut la pancréatine gastro-résistante ; (ii) Allergie à l'Aspergillus non détectée — risque de bronchospasme ; (iii) Diabète non pris en compte (sirop sucré) — surveillance glycémique ; (iv) Patient sous anticoagulant et chymotrypsine IM (retirée) — risque hémorragique ; (v) Utilisation prolongée au-delà de 7 jours sans avis médical — risque de masquer une pathologie sous-jacente ; (vi) Femme enceinte — par prudence, éviter.</w:t>
      </w:r>
    </w:p>
    <w:p>
      <w:pPr>
        <w:pStyle w:val="ListBullet"/>
      </w:pPr>
      <w:r>
        <w:t>Règle de prise : sirop 200 U CEIP/mL, 1-2 cuillères à soupe/jour adulte ou 1-2 cuillères à café/jour enfant, pendant ou après les repas, pendant 5 à 7 jours. Ne pas prolonger sans avis médical.</w:t>
      </w:r>
    </w:p>
    <w:p>
      <w:pPr>
        <w:pStyle w:val="ListBullet"/>
      </w:pPr>
      <w:r>
        <w:t>Préparation et Conservation : sirop à température ≤ 25 °C, à l'abri de la lumière. Conservation après ouverture : 1 mois en général. Ne pas congeler.</w:t>
      </w:r>
    </w:p>
    <w:p>
      <w:pPr>
        <w:pStyle w:val="ListBullet"/>
      </w:pPr>
      <w:r>
        <w:t>Piège du surdosage / Substitution : en cas de surdosage, risque de diarrhée osmotique et de troubles digestifs. Traitement symptomatique. Substitution possible entre les différentes marques d'alpha-amylase sirop (Maxilase, Megamylase, Lamylase, Alfalase), qui sont équivalentes à 200 U CEIP/mL. Ne pas substituer par la pancréatine (indication différente, dosage et galénique différents).</w:t>
      </w:r>
    </w:p>
    <w:p>
      <w:pPr>
        <w:pStyle w:val="Heading3"/>
      </w:pPr>
      <w:r>
        <w:t>6. DCI : Diosmine + Hespéridine (Daflon) (En Association)</w:t>
      </w:r>
    </w:p>
    <w:p>
      <w:r/>
      <w:r>
        <w:rPr>
          <w:b/>
        </w:rPr>
        <w:t>Liste des Catégories :</w:t>
      </w:r>
      <w:r>
        <w:t xml:space="preserve"> Veno-actif flavonoïque ; Fraction flavonoïque purifiée micronisée (FFPM) ; Tonique veineux ; Vaso-protecteur ; Anti-inflammatoire veineux.</w:t>
      </w:r>
    </w:p>
    <w:p>
      <w:r>
        <w:t xml:space="preserve">La fraction flavonoïque purifiée micronisée (FFPM) est composée de 90 % de diosmine (3',5,7-trihydroxy-4'-méthoxyflavone-7-rutinoside, PM 610 Da) et de 10 % de flavonoïdes exprimés en hespéridine (3',5,7-trihydroxy-4'-méthoxyflavanone-7-rutinoside, PM 610 Da). La </w:t>
      </w:r>
      <w:r>
        <w:rPr>
          <w:b/>
        </w:rPr>
        <w:t>diosmine</w:t>
      </w:r>
      <w:r>
        <w:t xml:space="preserve"> est un flavonoïde naturel extrait des écorces d'agrumes (</w:t>
      </w:r>
      <w:r>
        <w:rPr>
          <w:i/>
        </w:rPr>
        <w:t>Citrus sinensis</w:t>
      </w:r>
      <w:r>
        <w:t xml:space="preserve">, </w:t>
      </w:r>
      <w:r>
        <w:rPr>
          <w:i/>
        </w:rPr>
        <w:t>Citrus reticulata</w:t>
      </w:r>
      <w:r>
        <w:t xml:space="preserve">). La </w:t>
      </w:r>
      <w:r>
        <w:rPr>
          <w:b/>
        </w:rPr>
        <w:t>hespéridine</w:t>
      </w:r>
      <w:r>
        <w:t xml:space="preserve"> est un hétéroside flavanonique abondant dans les écorces d'orange douce, aglycone de l'hespéritol. La </w:t>
      </w:r>
      <w:r>
        <w:rPr>
          <w:b/>
        </w:rPr>
        <w:t>micronisation</w:t>
      </w:r>
      <w:r>
        <w:t xml:space="preserve"> réduit la taille des particules à moins de 2 µm, ce qui améliore considérablement la biodisponibilité orale (multipliée par 2 à 3 par rapport aux formes non micronisées). La biodisponibilité de la FFPM est de l'ordre de 40 à 50 %, avec un pic plasmatique à 6 heures. La demi-vie d'élimination est de 11 heures, permettant une prise biquotidienne. La FFPM est métabolisée par la flore intestinale (déglycosylation en aglycones) puis par le foie (glucuronoconjugaison), et excrétée principalement dans les selles (80 %) et les urines (14 %). La prise de 1000 mg de FFPM permet d'atteindre une concentration plasmatique efficace pendant 12 heures. Le Daflon 1000 mg (1 comprimé/jour) a progressivement remplacé le Daflon 500 mg (2 comprimés/jour), avec une meilleure observance.</w:t>
      </w:r>
    </w:p>
    <w:p>
      <w:r/>
      <w:r>
        <w:rPr>
          <w:b/>
        </w:rPr>
        <w:t>Médicaments disponibles en Algérie (Marques, Laboratoires, Formes et Dosages) :</w:t>
      </w:r>
      <w:r/>
    </w:p>
    <w:p>
      <w:r>
        <w:t>Spécialités à base de fraction flavonoïque purifiée micronisée (FFPM, diosmine + hespéridine) :</w:t>
      </w:r>
    </w:p>
    <w:p>
      <w:pPr>
        <w:pStyle w:val="ListBullet"/>
      </w:pPr>
      <w:r/>
      <w:r>
        <w:rPr>
          <w:b/>
        </w:rPr>
        <w:t>DAFLON</w:t>
      </w:r>
      <w:r>
        <w:t xml:space="preserve"> (LES LABORATOIRES SERVIER)</w:t>
      </w:r>
    </w:p>
    <w:p>
      <w:pPr>
        <w:pStyle w:val="ListBullet"/>
      </w:pPr>
      <w:r>
        <w:t>Formes et Dosages : Comprimé enrobé 500 mg (450 mg diosmine + 50 mg flavonoïdes exprimés en hespéridine), boîtes de 15 et de 30.</w:t>
      </w:r>
    </w:p>
    <w:p>
      <w:pPr>
        <w:pStyle w:val="ListBullet"/>
      </w:pPr>
      <w:r>
        <w:t>Statut : Actif (Liste I).</w:t>
      </w:r>
    </w:p>
    <w:p>
      <w:pPr>
        <w:pStyle w:val="ListBullet"/>
      </w:pPr>
      <w:r/>
      <w:r>
        <w:rPr>
          <w:b/>
        </w:rPr>
        <w:t>DAFLON</w:t>
      </w:r>
      <w:r>
        <w:t xml:space="preserve"> (LES LABORATOIRES SERVIER)</w:t>
      </w:r>
    </w:p>
    <w:p>
      <w:pPr>
        <w:pStyle w:val="ListBullet"/>
      </w:pPr>
      <w:r>
        <w:t>Formes et Dosages : Comprimé pelliculé 1000 mg (900 mg diosmine + 100 mg flavonoïdes exprimés en hespéridine), boîtes de 18 et de 36.</w:t>
      </w:r>
    </w:p>
    <w:p>
      <w:pPr>
        <w:pStyle w:val="ListBullet"/>
      </w:pPr>
      <w:r>
        <w:t>Statut : Actif (Liste I).</w:t>
      </w:r>
    </w:p>
    <w:p>
      <w:pPr>
        <w:pStyle w:val="ListBullet"/>
      </w:pPr>
      <w:r/>
      <w:r>
        <w:rPr>
          <w:b/>
        </w:rPr>
        <w:t>FLAVON</w:t>
      </w:r>
      <w:r>
        <w:t xml:space="preserve"> (NOVAPHARM TRADING)</w:t>
      </w:r>
    </w:p>
    <w:p>
      <w:pPr>
        <w:pStyle w:val="ListBullet"/>
      </w:pPr>
      <w:r>
        <w:t>Formes et Dosages : Comprimé pelliculé 500 mg (450 mg diosmine + 50 mg flavonoïdes exprimés en hespéridine), boîtes de 15 et de 30.</w:t>
      </w:r>
    </w:p>
    <w:p>
      <w:pPr>
        <w:pStyle w:val="ListBullet"/>
      </w:pPr>
      <w:r>
        <w:t>Statut : Actif.</w:t>
      </w:r>
    </w:p>
    <w:p>
      <w:r>
        <w:t>Spécialités à base de diosmine seule :</w:t>
      </w:r>
    </w:p>
    <w:p>
      <w:pPr>
        <w:pStyle w:val="ListBullet"/>
      </w:pPr>
      <w:r/>
      <w:r>
        <w:rPr>
          <w:b/>
        </w:rPr>
        <w:t>DIOVEINE</w:t>
      </w:r>
      <w:r>
        <w:t xml:space="preserve"> (BIOGALENIC)</w:t>
      </w:r>
    </w:p>
    <w:p>
      <w:pPr>
        <w:pStyle w:val="ListBullet"/>
      </w:pPr>
      <w:r>
        <w:t>Formes et Dosages : Comprimé pelliculé 300 mg ; comprimé pelliculé 600 mg, boîte de 30.</w:t>
      </w:r>
    </w:p>
    <w:p>
      <w:pPr>
        <w:pStyle w:val="ListBullet"/>
      </w:pPr>
      <w:r>
        <w:t>Statut : Actif.</w:t>
      </w:r>
    </w:p>
    <w:p>
      <w:pPr>
        <w:pStyle w:val="ListBullet"/>
      </w:pPr>
      <w:r/>
      <w:r>
        <w:rPr>
          <w:b/>
        </w:rPr>
        <w:t>DIO</w:t>
      </w:r>
      <w:r>
        <w:t xml:space="preserve"> (LABORATOIRE MOBEN)</w:t>
      </w:r>
    </w:p>
    <w:p>
      <w:pPr>
        <w:pStyle w:val="ListBullet"/>
      </w:pPr>
      <w:r>
        <w:t>Formes et Dosages : Comprimé 300 mg ; comprimé dispersible 600 mg, boîte de 30.</w:t>
      </w:r>
    </w:p>
    <w:p>
      <w:pPr>
        <w:pStyle w:val="ListBullet"/>
      </w:pPr>
      <w:r>
        <w:t>Statut : Actif.</w:t>
      </w:r>
    </w:p>
    <w:p>
      <w:pPr>
        <w:pStyle w:val="ListBullet"/>
      </w:pPr>
      <w:r/>
      <w:r>
        <w:rPr>
          <w:b/>
        </w:rPr>
        <w:t>LAMOVEN</w:t>
      </w:r>
      <w:r>
        <w:t xml:space="preserve"> (LABORATOIRE ALGERIEN DU MEDICAMENT - LAM)</w:t>
      </w:r>
    </w:p>
    <w:p>
      <w:pPr>
        <w:pStyle w:val="ListBullet"/>
      </w:pPr>
      <w:r>
        <w:t>Formes et Dosages : Comprimé 300 mg, boîte de 20.</w:t>
      </w:r>
    </w:p>
    <w:p>
      <w:pPr>
        <w:pStyle w:val="ListBullet"/>
      </w:pPr>
      <w:r>
        <w:t>Statut : Actif.</w:t>
      </w:r>
    </w:p>
    <w:p>
      <w:pPr>
        <w:pStyle w:val="ListBullet"/>
      </w:pPr>
      <w:r/>
      <w:r>
        <w:rPr>
          <w:b/>
        </w:rPr>
        <w:t>DIOSMINE MYLAN</w:t>
      </w:r>
      <w:r>
        <w:t xml:space="preserve"> (MYLAN SAS)</w:t>
      </w:r>
    </w:p>
    <w:p>
      <w:pPr>
        <w:pStyle w:val="ListBullet"/>
      </w:pPr>
      <w:r>
        <w:t>Formes et Dosages : Comprimé 600 mg, boîte de 30.</w:t>
      </w:r>
    </w:p>
    <w:p>
      <w:pPr>
        <w:pStyle w:val="ListBullet"/>
      </w:pPr>
      <w:r>
        <w:t>Statut : Actif.</w:t>
      </w:r>
    </w:p>
    <w:p>
      <w:pPr>
        <w:pStyle w:val="ListBullet"/>
      </w:pPr>
      <w:r/>
      <w:r>
        <w:rPr>
          <w:b/>
        </w:rPr>
        <w:t>DIOSMINE NS</w:t>
      </w:r>
      <w:r>
        <w:t xml:space="preserve"> (PHARMIDAL NS)</w:t>
      </w:r>
    </w:p>
    <w:p>
      <w:pPr>
        <w:pStyle w:val="ListBullet"/>
      </w:pPr>
      <w:r>
        <w:t>Formes et Dosages : Comprimé pelliculé 600 mg, boîte de 30.</w:t>
      </w:r>
    </w:p>
    <w:p>
      <w:pPr>
        <w:pStyle w:val="ListBullet"/>
      </w:pPr>
      <w:r>
        <w:t>Statut : Actif.</w:t>
      </w:r>
    </w:p>
    <w:p>
      <w:r>
        <w:t>Spécialités à base d'associations flavonoïdes :</w:t>
      </w:r>
    </w:p>
    <w:p>
      <w:pPr>
        <w:pStyle w:val="ListBullet"/>
      </w:pPr>
      <w:r/>
      <w:r>
        <w:rPr>
          <w:b/>
        </w:rPr>
        <w:t>GINKOR FORT</w:t>
      </w:r>
      <w:r>
        <w:t xml:space="preserve"> (TONIPHARM)</w:t>
      </w:r>
    </w:p>
    <w:p>
      <w:pPr>
        <w:pStyle w:val="ListBullet"/>
      </w:pPr>
      <w:r>
        <w:t>Formes et Dosages : Gélule (Ginkgo biloba extrait standardisé 14 mg + Héptaminol chlorhydrate 300 mg + Troxérutine 300 mg), boîte de 30.</w:t>
      </w:r>
    </w:p>
    <w:p>
      <w:pPr>
        <w:pStyle w:val="ListBullet"/>
      </w:pPr>
      <w:r>
        <w:t>Statut : Actif (Liste I).</w:t>
      </w:r>
    </w:p>
    <w:p>
      <w:r>
        <w:t>Spécialités retirées ou non renouvelables :</w:t>
      </w:r>
    </w:p>
    <w:p>
      <w:pPr>
        <w:pStyle w:val="ListBullet"/>
      </w:pPr>
      <w:r/>
      <w:r>
        <w:rPr>
          <w:b/>
        </w:rPr>
        <w:t>CYCLO 3 FORT</w:t>
      </w:r>
      <w:r>
        <w:t xml:space="preserve"> (PIERRE FABRE) : Gélule (Ruscus 150 mg + Hespéridine méthylchalcone 150 mg + Acide ascorbique 100 mg) — Non Renouvelable.</w:t>
      </w:r>
    </w:p>
    <w:p>
      <w:pPr>
        <w:pStyle w:val="ListBullet"/>
      </w:pPr>
      <w:r/>
      <w:r>
        <w:rPr>
          <w:b/>
        </w:rPr>
        <w:t>DIOVENOR 600 mg</w:t>
      </w:r>
      <w:r>
        <w:t xml:space="preserve"> (INNOTECH INTERNATIONAL) : Comprimé pelliculé diosmine anhydre pure 600 mg — Non Renouvelable.</w:t>
      </w:r>
    </w:p>
    <w:p>
      <w:pPr>
        <w:pStyle w:val="ListBullet"/>
      </w:pPr>
      <w:r/>
      <w:r>
        <w:rPr>
          <w:b/>
        </w:rPr>
        <w:t>DIOSMINE UPC</w:t>
      </w:r>
      <w:r>
        <w:t xml:space="preserve"> (UNION PHARMACEUTIQUE CONSTANTINOISE) : Comprimé pelliculé 300 mg — Non Renouvelable.</w:t>
      </w:r>
    </w:p>
    <w:p>
      <w:pPr>
        <w:pStyle w:val="ListBullet"/>
      </w:pPr>
      <w:r/>
      <w:r>
        <w:rPr>
          <w:b/>
        </w:rPr>
        <w:t>VENOSMINE</w:t>
      </w:r>
      <w:r>
        <w:t xml:space="preserve"> (GEYMONAT) : Comprimé 150 mg — Non Renouvelable.</w:t>
      </w:r>
    </w:p>
    <w:p>
      <w:pPr>
        <w:pStyle w:val="ListBullet"/>
      </w:pPr>
      <w:r/>
      <w:r>
        <w:rPr>
          <w:b/>
        </w:rPr>
        <w:t>DAFLON</w:t>
      </w:r>
      <w:r>
        <w:t xml:space="preserve"> (SERVIER) : Comprimé pelliculé 300 mg (150 mg diosmine + 150 mg hespéridine) — Non Renouvelable.</w:t>
      </w:r>
    </w:p>
    <w:p>
      <w:pPr>
        <w:pStyle w:val="ListBullet"/>
      </w:pPr>
      <w:r/>
      <w:r>
        <w:rPr>
          <w:b/>
        </w:rPr>
        <w:t>DIOSMIL</w:t>
      </w:r>
      <w:r>
        <w:t xml:space="preserve"> (RHONE POULENC RORER) : Comprimé pelliculé 300 mg — Retiré (R).</w:t>
      </w:r>
    </w:p>
    <w:p>
      <w:pPr>
        <w:pStyle w:val="ListBullet"/>
      </w:pPr>
      <w:r/>
      <w:r>
        <w:rPr>
          <w:b/>
        </w:rPr>
        <w:t>DIOVENOR</w:t>
      </w:r>
      <w:r>
        <w:t xml:space="preserve"> (INNOTHERA) : Comprimé pelliculé 300 mg — Retiré (R).</w:t>
      </w:r>
    </w:p>
    <w:p>
      <w:pPr>
        <w:pStyle w:val="ListBullet"/>
      </w:pPr>
      <w:r/>
      <w:r>
        <w:rPr>
          <w:b/>
        </w:rPr>
        <w:t>DIOSMINE BIOGARAN</w:t>
      </w:r>
      <w:r>
        <w:t xml:space="preserve"> (BIOGARAN) : Comprimé pelliculé 300 mg et 600 mg — Retiré (R).</w:t>
      </w:r>
    </w:p>
    <w:p>
      <w:pPr>
        <w:pStyle w:val="ListBullet"/>
      </w:pPr>
      <w:r/>
      <w:r>
        <w:rPr>
          <w:b/>
        </w:rPr>
        <w:t>DIOSMINE GGAM</w:t>
      </w:r>
      <w:r>
        <w:t xml:space="preserve"> (G GAM) : Comprimé pelliculé 300 mg — Retiré (R).</w:t>
      </w:r>
    </w:p>
    <w:p>
      <w:pPr>
        <w:pStyle w:val="ListBullet"/>
      </w:pPr>
      <w:r/>
      <w:r>
        <w:rPr>
          <w:b/>
        </w:rPr>
        <w:t>DIOSMINE-RATIOPHARM</w:t>
      </w:r>
      <w:r>
        <w:t xml:space="preserve"> (LAFON RATIOPHARM) : Comprimé 300 mg — Retiré (R).</w:t>
      </w:r>
    </w:p>
    <w:p>
      <w:pPr>
        <w:pStyle w:val="ListBullet"/>
      </w:pPr>
      <w:r/>
      <w:r>
        <w:rPr>
          <w:b/>
        </w:rPr>
        <w:t>VENIRENE</w:t>
      </w:r>
      <w:r>
        <w:t xml:space="preserve"> (LPA) : Comprimé 300 mg — Retiré (R).</w:t>
      </w:r>
    </w:p>
    <w:p>
      <w:r/>
      <w:r>
        <w:rPr>
          <w:b/>
        </w:rPr>
        <w:t>Sous-classe et Mécanisme d'action :</w:t>
      </w:r>
      <w:r/>
    </w:p>
    <w:p>
      <w:pPr>
        <w:pStyle w:val="ListBullet"/>
      </w:pPr>
      <w:r>
        <w:t>Sous-classe : Veno-actif flavonoïque de la famille des fraction flavonoïque purifiée micronisée (FFPM, 90 % diosmine + 10 % hespéridine). Positionné comme traitement de fond de l'insuffisance veineuse chronique (IVC) et traitement de la maladie hémorroïdaire (crise aiguë et fond). Prescription en Liste I (sur ordonnance).</w:t>
      </w:r>
    </w:p>
    <w:p>
      <w:pPr>
        <w:pStyle w:val="ListBullet"/>
      </w:pPr>
      <w:r>
        <w:t xml:space="preserve">Mécanisme d'action : (i) </w:t>
      </w:r>
      <w:r>
        <w:rPr>
          <w:b/>
        </w:rPr>
        <w:t>Augmentation du tonus veineux</w:t>
      </w:r>
      <w:r>
        <w:t xml:space="preserve"> : la FFPM stimule la libération de noradrénaline au niveau des jonctions neuro-effectrices sympathiques de la paroi veineuse, ce qui active les récepteurs α-1 adrénergiques des cellules musculaires lisses veineuses et augmente le tonus veineux. Cet effet est démontré sur les veines sus-aponévrotiques (longue saphène, courte saphène) mais moins sur les veines profondes ; (ii) </w:t>
      </w:r>
      <w:r>
        <w:rPr>
          <w:b/>
        </w:rPr>
        <w:t>Diminution de la perméabilité capillaire</w:t>
      </w:r>
      <w:r>
        <w:t xml:space="preserve"> : inhibition de la libération d'histamine, de bradykinine et de prostaglandines pro-inflammatoires par les mastocytes péricapillaires. Stabilisation de la matrice extracellulaire péricapillaire par inhibition de l'hyaluronidase (qui dégrade l'acide hyaluronique endothélial). Résultat : diminution de la fuite capillaire, réduction de l'œdème ; (iii) </w:t>
      </w:r>
      <w:r>
        <w:rPr>
          <w:b/>
        </w:rPr>
        <w:t>Amélioration du drainage lymphatique</w:t>
      </w:r>
      <w:r>
        <w:t xml:space="preserve"> : augmentation de la fréquence et de l'amplitude des contractions des cellules musculaires lisses lymphatiques, accélération du flux lymphatique et réduction de l'œdème interstitiel ; (iv) </w:t>
      </w:r>
      <w:r>
        <w:rPr>
          <w:b/>
        </w:rPr>
        <w:t>Effet antioxydant</w:t>
      </w:r>
      <w:r>
        <w:t xml:space="preserve"> : piégeage des radicaux libres (ROO•, OH•) par le noyau flavonoïque, inhibition de l'oxydation des LDL, réduction du stress oxydatif endothélial ; (v) </w:t>
      </w:r>
      <w:r>
        <w:rPr>
          <w:b/>
        </w:rPr>
        <w:t>Effet anti-inflammatoire</w:t>
      </w:r>
      <w:r>
        <w:t xml:space="preserve"> : inhibition de la prostaglandine synthase (COX-2) et de la 5-lipoxygénase, diminution de la production de prostaglandines E₂ et de leucotriènes B₄. Inhibition de l'adhésion leucocytaire à l'endothélium (diminution de l'expression des sélectines P et E, et des intégrines LFA-1 et Mac-1) ; (vi) </w:t>
      </w:r>
      <w:r>
        <w:rPr>
          <w:b/>
        </w:rPr>
        <w:t>Effet anti-agrégant plaquettaire</w:t>
      </w:r>
      <w:r>
        <w:t xml:space="preserve"> : inhibition de la synthèse du thromboxane A₂ et de l'activation plaquettaire.</w:t>
      </w:r>
    </w:p>
    <w:p>
      <w:r/>
      <w:r>
        <w:rPr>
          <w:b/>
        </w:rPr>
        <w:t>Profil Pharmacologique :</w:t>
      </w:r>
      <w:r/>
    </w:p>
    <w:p>
      <w:pPr>
        <w:pStyle w:val="ListBullet"/>
      </w:pPr>
      <w:r>
        <w:t>Indications : (1) Traitement des symptômes fonctionnels de l'insuffisance veineuse chronique des membres inférieurs (jambes lourdes, douleurs, impatiences, œdèmes, sensation de gonflement) ; (2) Traitement adjuvant des troubles trophiques de l'IVC (varices, dermite ocre, hypodermite, ulcère de jambe veineux en complément de la compression) ; (3) Traitement de la maladie hémorroïdaire : crise hémorroïdaire aiguë (4 à 6 comprimés de 500 mg/jour pendant 7 jours, puis 4 cp/jour pendant 7 jours, soit 14 jours au total) ; traitement de fond de la maladie hémorroïdaire chronique (2 cp 500 mg/jour ou 1 cp 1000 mg/jour en continu) ; (4) Syndrome post-thrombotique ; (5) Congestion pelvienne féminine (varices pelviennes) ; (6) Œdèmes idiopathiques cycliques de la femme (œdèmes prémenstruels) ; (7) Hémorroïdes gravidiques (compatible avec la grossesse selon CRAT, à partir du 2e trimestre).</w:t>
      </w:r>
    </w:p>
    <w:p>
      <w:pPr>
        <w:pStyle w:val="ListBullet"/>
      </w:pPr>
      <w:r>
        <w:t>Contre-indications : (i) Hypersensibilité à la diosmine, à l'hespéridine, ou à l'un des excipients ; (ii) Insuffisance veineuse sévère avec ulceration cutanée (la FFPM ne se substitue pas à la compression médicale et au traitement chirurgical des varices symptomatiques) — CI relative ; (iii) Insuffisance rénale sévère (par prudence, en raison de l'élimination rénale partielle) ; (iv) Patient présentant une thrombose veineuse profonde aiguë (la FFPM n'est pas un traitement anticoagulant) ; (v) Allaitement (par prudence, faute de données cliniques).</w:t>
      </w:r>
    </w:p>
    <w:p>
      <w:pPr>
        <w:pStyle w:val="ListBullet"/>
      </w:pPr>
      <w:r>
        <w:t>Effets Indésirables : (i) Troubles digestifs : nausées, vomissements, diarrhée, dyspepsie, douleurs abdominales (fréquents, surtout en début de traitement) ; (ii) Troubles neurologiques : céphalées, vertiges, asthénie (peu fréquents) ; (iii) Réactions cutanées : rash, prurit, urticaire (rares) ; (iv) Réactions allergiques : œdème de Quincke, choc anaphylactique (très rares) ; (v) Troubles du transit : diarrhée (fréquente), constipation (plus rare) ; (vi) Fluctuations de la tension artérielle (peu fréquents) ; (vii) À dose élevée et prolongée : augmentation possible des transaminases (rare). Profil global de tolérance bon, avec des effets indésirables le plus souvent bénins et transitoires.</w:t>
      </w:r>
    </w:p>
    <w:p>
      <w:r/>
      <w:r>
        <w:rPr>
          <w:b/>
        </w:rPr>
        <w:t>Prévention et Gestion des Effets Indésirables :</w:t>
      </w:r>
      <w:r/>
    </w:p>
    <w:p>
      <w:pPr>
        <w:pStyle w:val="ListBullet"/>
      </w:pPr>
      <w:r>
        <w:t>Mesures Préventives : (i) Prendre la FFPM pendant les repas pour améliorer la tolérance digestive ; (ii) Adapter la dose à l'indication : dose forte (3 g/jour) pour crise hémorroïdaire aiguë pendant 4 jours puis 2 g/jour pendant 3 jours puis 1 g/jour ; dose modérée (1 g/jour) pour insuffisance veineuse chronique ; (iii) Informer le patient de la nécessité d'associer des mesures non pharmacologiques : surélévation des jambes, compression médicale (bas ou bandes), activité physique régulière (marche), perte de poids, évitement de la station debout prolongée et de la chaleur ; (iv) Hygiène de vie : éviter les bains chauds prolongés, l'exposition solaire prolongée, les vêtements serrés ; (v) Surveillance de la tolérance digestive en début de traitement, réduction de dose si diarrhée.</w:t>
      </w:r>
    </w:p>
    <w:p>
      <w:pPr>
        <w:pStyle w:val="ListBullet"/>
      </w:pPr>
      <w:r>
        <w:t>Conduite à Tenir : (i) Troubles digestifs persistants : réduire la dose, prendre pendant les repas, espacer les prises ; (ii) Réaction allergique : arrêt définitif ; (iii) Céphalées persistantes : réduire la dose, surveiller la tension artérielle ; (iv) Persistance ou aggravation des symptômes veineux après 4 à 6 semaines : avis médical pour recherche étiologique (échographie Doppler veineuse) et discussion d'un traitement chirurgical ou endovasculaire.</w:t>
      </w:r>
    </w:p>
    <w:p>
      <w:r/>
      <w:r>
        <w:rPr>
          <w:b/>
        </w:rPr>
        <w:t>Interactions Importantes :</w:t>
      </w:r>
      <w:r/>
    </w:p>
    <w:p>
      <w:pPr>
        <w:pStyle w:val="ListBullet"/>
      </w:pPr>
      <w:r/>
      <w:r>
        <w:rPr>
          <w:b/>
        </w:rPr>
        <w:t>FFPM + Anticoagulants oraux (AVK, AOD)</w:t>
      </w:r>
      <w:r>
        <w:t xml:space="preserve"> : potentialisation théorique du risque hémorragique (effet anti-agrégant plaquettaire de la FFPM). Surveillance clinique, sans nécessité d'arrêt systématique.</w:t>
      </w:r>
    </w:p>
    <w:p>
      <w:pPr>
        <w:pStyle w:val="ListBullet"/>
      </w:pPr>
      <w:r/>
      <w:r>
        <w:rPr>
          <w:b/>
        </w:rPr>
        <w:t>FFPM + Antiagrégants plaquettaires (aspirine, clopidogrel, prasugrel, ticagrelor)</w:t>
      </w:r>
      <w:r>
        <w:t xml:space="preserve"> : potentialisation de l'effet antiagrégant. Surveillance clinique des signes de saignement.</w:t>
      </w:r>
    </w:p>
    <w:p>
      <w:pPr>
        <w:pStyle w:val="ListBullet"/>
      </w:pPr>
      <w:r/>
      <w:r>
        <w:rPr>
          <w:b/>
        </w:rPr>
        <w:t>FFPM + AINS (ibuprofène, kétoprofène, diclofénac)</w:t>
      </w:r>
      <w:r>
        <w:t xml:space="preserve"> : potentialisation du risque hémorragique (effet additif sur l'agrégation plaquettaire et la muqueuse gastrique). Surveillance.</w:t>
      </w:r>
    </w:p>
    <w:p>
      <w:pPr>
        <w:pStyle w:val="ListBullet"/>
      </w:pPr>
      <w:r/>
      <w:r>
        <w:rPr>
          <w:b/>
        </w:rPr>
        <w:t>FFPM + Antihypertenseurs</w:t>
      </w:r>
      <w:r>
        <w:t xml:space="preserve"> : la FFPM peut modifier modestement la tension artérielle (effet vasculaire). Surveillance tensionnelle, sans interaction cliniquement significative.</w:t>
      </w:r>
    </w:p>
    <w:p>
      <w:pPr>
        <w:pStyle w:val="ListBullet"/>
      </w:pPr>
      <w:r/>
      <w:r>
        <w:rPr>
          <w:b/>
        </w:rPr>
        <w:t>FFPM + Digitoxine, digoxine</w:t>
      </w:r>
      <w:r>
        <w:t xml:space="preserve"> : pas d'interaction cliniquement significative.</w:t>
      </w:r>
    </w:p>
    <w:p>
      <w:pPr>
        <w:pStyle w:val="ListBullet"/>
      </w:pPr>
      <w:r/>
      <w:r>
        <w:rPr>
          <w:b/>
        </w:rPr>
        <w:t>FFPM + Inhibiteurs de la PDE-5 (sildénafil, tadalafil)</w:t>
      </w:r>
      <w:r>
        <w:t xml:space="preserve"> : pas d'interaction significative.</w:t>
      </w:r>
    </w:p>
    <w:p>
      <w:r/>
      <w:r>
        <w:rPr>
          <w:b/>
        </w:rPr>
        <w:t>Grossesse et Allaitement :</w:t>
      </w:r>
      <w:r/>
    </w:p>
    <w:p>
      <w:pPr>
        <w:pStyle w:val="ListBullet"/>
      </w:pPr>
      <w:r>
        <w:t>Grossesse : Compatible à partir du 2e trimestre selon le CRAT. La FFPM (diosmine + hespéridine) est largement utilisée pendant la grossesse pour le traitement des hémorroïdes gravidiques (fréquentes au 3e trimestre en raison de la compression utérine sur les plexus veineux pelviens) et de l'insuffisance veineuse des membres inférieurs (jambes lourdes, varices). Plusieurs études observationnelles et un essai randomisé n'ont pas montré d'augmentation du risque de malformations, de mort fœtale, ou de complications maternelles. Au 1er trimestre, par prudence, éviter sauf necessity (pas de données cliniques spécifiques pour le 1er trimestre). Posologie identique à l'adulte non enceinte : 500 mg x 2/jour ou 1000 mg/jour.</w:t>
      </w:r>
    </w:p>
    <w:p>
      <w:pPr>
        <w:pStyle w:val="ListBullet"/>
      </w:pPr>
      <w:r>
        <w:t>Allaitement : À utiliser avec prudence. Le passage de la diosmine et de l'hespéridine dans le lait maternel est mal documenté. Par prudence, éviter pendant l'allaitement, sauf avis médical. Si l'utilisation est nécessaire, surveiller le nourrisson (troubles digestifs possibles).</w:t>
      </w:r>
    </w:p>
    <w:p>
      <w:pPr>
        <w:pStyle w:val="ListBullet"/>
      </w:pPr>
      <w:r>
        <w:t>Précisions : Pour les hémorroïdes gravidiques, la FFPM est le traitement de première intention pharmacologique, en association aux mesures hygiéno-diététiques (alimentation riche en fibres, hydratation, éviter la constipation). Les traitements locaux (Procto-Glyvenol, Titanoréine) peuvent être associés. La chirurgie est exceptionnelle pendant la grossesse.</w:t>
      </w:r>
    </w:p>
    <w:p>
      <w:r/>
      <w:r>
        <w:rPr>
          <w:b/>
        </w:rPr>
        <w:t>Posologie et Mode d'administration (Standard) :</w:t>
      </w:r>
      <w:r/>
    </w:p>
    <w:p>
      <w:pPr>
        <w:pStyle w:val="ListBullet"/>
      </w:pPr>
      <w:r>
        <w:t>Adulte (insuffisance veineuse chronique) : 1 comprimé de 1000 mg/jour en 1 prise matinale, ou 2 comprimés de 500 mg/jour (1 matin + 1 soir). Traitement au long cours.</w:t>
      </w:r>
    </w:p>
    <w:p>
      <w:pPr>
        <w:pStyle w:val="ListBullet"/>
      </w:pPr>
      <w:r>
        <w:t>Adulte (crise hémorroïdaire aiguë) : 6 comprimés de 500 mg/jour (3 matin + 3 soir) pendant 4 jours, puis 4 comprimés de 500 mg/jour (2 matin + 2 soir) pendant 3 jours. Soit un total de 7 jours de traitement à dose d'attaque, suivi éventuellement d'un traitement d'entretien à 2 cp 500 mg/jour ou 1 cp 1000 mg/jour.</w:t>
      </w:r>
    </w:p>
    <w:p>
      <w:pPr>
        <w:pStyle w:val="ListBullet"/>
      </w:pPr>
      <w:r>
        <w:t>Adulte (maladie hémorroïdaire chronique) : 2 comprimés de 500 mg/jour (1 matin + 1 soir) ou 1 comprimé 1000 mg/jour en continu, en association aux mesures hygiéno-diététiques.</w:t>
      </w:r>
    </w:p>
    <w:p>
      <w:pPr>
        <w:pStyle w:val="ListBullet"/>
      </w:pPr>
      <w:r>
        <w:t>Adulte (congestion pelvienne féminine, œdèmes prémenstruels) : 1 comprimé 1000 mg/jour en prise cyclique (du 14e jour du cycle au 1er jour des règles).</w:t>
      </w:r>
    </w:p>
    <w:p>
      <w:pPr>
        <w:pStyle w:val="ListBullet"/>
      </w:pPr>
      <w:r>
        <w:t>Sujet âgé : pas d'adaptation posologique.</w:t>
      </w:r>
    </w:p>
    <w:p>
      <w:pPr>
        <w:pStyle w:val="ListBullet"/>
      </w:pPr>
      <w:r>
        <w:t>Durée : IVC = traitement au long cours à vie. Crise hémorroïdaire = 7 jours (attaque) + traitement d'entretien prolongé si récidives fréquentes.</w:t>
      </w:r>
    </w:p>
    <w:p>
      <w:pPr>
        <w:pStyle w:val="ListBullet"/>
      </w:pPr>
      <w:r>
        <w:t>Moment de prise : pendant les repas (pour la tolérance digestive). Prise matinale pour le Daflon 1000 mg ; prises matin et soir pour le Daflon 500 mg.</w:t>
      </w:r>
    </w:p>
    <w:p>
      <w:r/>
      <w:r>
        <w:rPr>
          <w:b/>
        </w:rPr>
        <w:t>Arbitrage et Bénéfices des Formes Galéniques :</w:t>
      </w:r>
      <w:r/>
    </w:p>
    <w:p>
      <w:pPr>
        <w:pStyle w:val="ListBullet"/>
      </w:pPr>
      <w:r>
        <w:t>Comprimé pelliculé 1000 mg (Daflon 1000, SERVIER) : forme de référence actuelle pour l'adulte, en 1 prise matinale. Améliore l'observance par rapport à la forme 500 mg biquotidienne. Liste I.</w:t>
      </w:r>
    </w:p>
    <w:p>
      <w:pPr>
        <w:pStyle w:val="ListBullet"/>
      </w:pPr>
      <w:r>
        <w:t>Comprimé enrobé 500 mg (Daflon 500, SERVIER) : forme historique, en 2 prises par jour (matin et soir). Toujours indiquée pour les posologies fractionnées (crise hémorroïdaire : 6 cp/jour) et chez les patients nécessitant une posologie adaptée.</w:t>
      </w:r>
    </w:p>
    <w:p>
      <w:pPr>
        <w:pStyle w:val="ListBullet"/>
      </w:pPr>
      <w:r>
        <w:t>Comprimé pelliculé 500 mg (FLAVON, NOVAPHARM TRADING) : générique du Daflon 500 mg, équivalent strict.</w:t>
      </w:r>
    </w:p>
    <w:p>
      <w:pPr>
        <w:pStyle w:val="ListBullet"/>
      </w:pPr>
      <w:r>
        <w:t>Comprimé 300 mg et 600 mg (Dioveine, Dio, Lamoven, Diosmine Mylan, Diosmine NS) : formes de diosmine seule (sans hespéridine), à posologie différente (300 mg x 2/jour ou 600 mg/jour). Efficacité clinique comparable à la FFPM selon quelques études, mais le Daflon reste la référence princeps.</w:t>
      </w:r>
    </w:p>
    <w:p>
      <w:pPr>
        <w:pStyle w:val="ListBullet"/>
      </w:pPr>
      <w:r>
        <w:t>Comprimé dispersible 600 mg (Dio) : forme adaptée au sujet ayant des difficultés à avaler (sujet âgé, dysphagie).</w:t>
      </w:r>
    </w:p>
    <w:p>
      <w:pPr>
        <w:pStyle w:val="ListBullet"/>
      </w:pPr>
      <w:r>
        <w:t>Boîtes de 15, 30, 36 comprimés : choix adapté à la durée de traitement (15 jours pour crise hémorroïdaire, 1 mois pour IVC).</w:t>
      </w:r>
    </w:p>
    <w:p>
      <w:r/>
      <w:r>
        <w:rPr>
          <w:b/>
        </w:rPr>
        <w:t>Instructions et Conseils au Patient :</w:t>
      </w:r>
      <w:r/>
    </w:p>
    <w:p>
      <w:pPr>
        <w:pStyle w:val="ListBullet"/>
      </w:pPr>
      <w:r>
        <w:t>Communication au comptoir : "Ce médicament est un veinotonique qui augmente le tonus de vos veines, diminue la perméabilité de vos petits vaisseaux et améliore le retour veineux. Il est indiqué dans les jambes lourdes, les varices, et les hémorroïdes. Pour les jambes lourdes, prenez 1 comprimé de 1000 mg le matin pendant le petit-déjeuner, en traitement prolongé. Pour une crise hémorroïdaire aiguë, prenez 6 comprimés de 500 mg par jour pendant 4 jours, puis 4 par jour pendant 3 jours. Associez des mesures simples : surélevez vos jambes en fin de journée, marchez 30 minutes par jour, portez des bas de contention si votre médecin vous les a prescrits, évitez la chaleur (bains chauds, exposition solaire prolongée) et les vêtements serrés. Pour les hémorroïdes, ajoutez une bonne hygiène locale et un apport en fibres pour éviter la constipation. Les principaux effets indésirables sont digestifs (diarrhée, nausées) et peuvent être réduits en prenant le médicament pendant les repas. Ce médicament est compatible avec la grossesse à partir du 2e trimestre et peut être utilisé pour les hémorroïdes de la grossesse."</w:t>
      </w:r>
    </w:p>
    <w:p>
      <w:pPr>
        <w:pStyle w:val="ListBullet"/>
      </w:pPr>
      <w:r>
        <w:t>Mode d'utilisation pratique : avaler les comprimés entiers avec un verre d'eau, pendant les repas. Ne pas croquer ni écraser. Conserver à température ambiante ≤ 25 °C, à l'abri de l'humidité et de la lumière.</w:t>
      </w:r>
    </w:p>
    <w:p>
      <w:r/>
      <w:r>
        <w:rPr>
          <w:b/>
        </w:rPr>
        <w:t>Notes, Règles d'Or &amp; Pièges au Comptoir :</w:t>
      </w:r>
      <w:r/>
    </w:p>
    <w:p>
      <w:pPr>
        <w:pStyle w:val="ListBullet"/>
      </w:pPr>
      <w:r>
        <w:t>Piège classique : (i) Patient présentant une thrombose veineuse profonde aiguë — la FFPM n'est pas un traitement anticoagulant, orientation médicale urgente ; (ii) Patient présentant une IVC sévère avec ulceration — la FFPM ne se substitue pas à la compression médicale et au traitement chirurgical ; (iii) Crise hémorroïdaire atypique (saignement abondant, douleur insupportable, fièvre) — suspicion de thrombose hémorroïdaire externe ou de fissure anale, orientation proctologique ; (iv) Posologie insuffisante en crise hémorroïdaire aiguë — la dose d'attaque est de 6 cp 500 mg/jour pendant 4 jours ; (v) Prise hors repas — augmentation des troubles digestifs ; (vi) Patient sous anticoagulant ou antiagrégant non informé du risque hémorragique additif — surveillance ; (vii) Femme au 1er trimestre de grossesse — par prudence, éviter.</w:t>
      </w:r>
    </w:p>
    <w:p>
      <w:pPr>
        <w:pStyle w:val="ListBullet"/>
      </w:pPr>
      <w:r>
        <w:t>Règle de prise : 1 cp 1000 mg/jour (IVC) ou 6 cp 500 mg/jour pendant 4 jours puis 4 cp/jour pendant 3 jours (crise hémorroïdaire aiguë), pendant les repas.</w:t>
      </w:r>
    </w:p>
    <w:p>
      <w:pPr>
        <w:pStyle w:val="ListBullet"/>
      </w:pPr>
      <w:r>
        <w:t>Préparation et Conservation : comprimés à température ≤ 25 °C, à l'abri de l'humidité et de la lumière. Pas de préparation particulière.</w:t>
      </w:r>
    </w:p>
    <w:p>
      <w:pPr>
        <w:pStyle w:val="ListBullet"/>
      </w:pPr>
      <w:r>
        <w:t>Piège du surdosage / Substitution : en cas de surdosage (&gt; 4 g/jour), risque de diarrhée, céphalées, hypotension modérée. Traitement symptomatique. Substitution possible entre Daflon 500 et Flavon 500 (générique équivalent) et entre les comprimés de diosmine 600 mg et la FFPM (calcul en équivalent diosmine). Préférer le Daflon 1000 pour l'observance en traitement chronique.</w:t>
      </w:r>
    </w:p>
    <w:p>
      <w:pPr>
        <w:pStyle w:val="Heading3"/>
      </w:pPr>
      <w:r>
        <w:t>7. DCI : Tribénoside + Lidocaïne (En Association)</w:t>
      </w:r>
    </w:p>
    <w:p>
      <w:r/>
      <w:r>
        <w:rPr>
          <w:b/>
        </w:rPr>
        <w:t>Liste des Catégories :</w:t>
      </w:r>
      <w:r>
        <w:t xml:space="preserve"> Veno-actif en association hémorroïdaire ; Veinotonique (tribénoside) ; Anesthésique local (lidocaïne).</w:t>
      </w:r>
    </w:p>
    <w:p>
      <w:r>
        <w:t xml:space="preserve">Le tribénoside (3,5,6-tri-O-éthyl-D-glucofuranose) est un dérivé glucidique synthétique à activité veinotonique, découvert dans les années 1960. Sa structure chimique originale (un sucre modifié par éthylation) lui confère des propriétés pharmacologiques originales par rapport aux flavonoïdes : il n'a pas de noyau flavonoïque mais partage certains effets (augmentation du tonus veineux, diminution de la perméabilité capillaire). La </w:t>
      </w:r>
      <w:r>
        <w:rPr>
          <w:b/>
        </w:rPr>
        <w:t>lidocaïne</w:t>
      </w:r>
      <w:r>
        <w:t xml:space="preserve"> (chlorhydrate de lidocaïne, 2-(diéthylamino)-N-(2,6-diméthylphényl)acétamide) est un anesthésique local de la famille des amino-amides, qui bloque les canaux sodiques voltage-dépendants (récepteur α de la sous-unité Nav1.x) des fibres nerveuses sensitives périanales, assurant un soulagement rapide (10-15 minutes) de la douleur. La lidocaïne est absorbée par la muqueuse rectale avec une biodisponibilité variable (20 à 50 %), un métabolisme hépatique (CYP3A4, CYP1A2) en monoéthylglycinexylidide (MEGX) puis en glycinexylidide (GX), et une demi-vie d'élimination de 1,5 à 2 heures. L'association tribénoside + lidocaïne en suppositoire est utilisée dans le traitement symptomatique de la crise hémorroïdaire douloureuse, en complément des mesures hygiéno-diététiques et des flavonoïdes oraux (Daflon).</w:t>
      </w:r>
    </w:p>
    <w:p>
      <w:r/>
      <w:r>
        <w:rPr>
          <w:b/>
        </w:rPr>
        <w:t>Médicaments disponibles en Algérie (Marques, Laboratoires, Formes et Dosages) :</w:t>
      </w:r>
      <w:r/>
    </w:p>
    <w:p>
      <w:pPr>
        <w:pStyle w:val="ListBullet"/>
      </w:pPr>
      <w:r/>
      <w:r>
        <w:rPr>
          <w:b/>
        </w:rPr>
        <w:t>PROCTOLON NEO</w:t>
      </w:r>
      <w:r>
        <w:t xml:space="preserve"> (LABORATOIRES SALEM)</w:t>
      </w:r>
    </w:p>
    <w:p>
      <w:pPr>
        <w:pStyle w:val="ListBullet"/>
      </w:pPr>
      <w:r>
        <w:t>Formes et Dosages : Suppositoire (tribénoside 400 mg + lidocaïne 40 mg), boîte de 8.</w:t>
      </w:r>
    </w:p>
    <w:p>
      <w:pPr>
        <w:pStyle w:val="ListBullet"/>
      </w:pPr>
      <w:r>
        <w:t>Statut : Actif.</w:t>
      </w:r>
    </w:p>
    <w:p>
      <w:r/>
      <w:r>
        <w:rPr>
          <w:b/>
        </w:rPr>
        <w:t>Sous-classe et Mécanisme d'action :</w:t>
      </w:r>
      <w:r/>
    </w:p>
    <w:p>
      <w:pPr>
        <w:pStyle w:val="ListBullet"/>
      </w:pPr>
      <w:r>
        <w:t>Sous-classe : Veno-actif en association hémorroïdaire, positionné comme traitement symptomatique local de la crise hémorroïdaire douloureuse. Prescription libre (pas en Liste I).</w:t>
      </w:r>
    </w:p>
    <w:p>
      <w:pPr>
        <w:pStyle w:val="ListBullet"/>
      </w:pPr>
      <w:r>
        <w:t xml:space="preserve">Mécanisme d'action : (i) </w:t>
      </w:r>
      <w:r>
        <w:rPr>
          <w:b/>
        </w:rPr>
        <w:t>Tribénoside</w:t>
      </w:r>
      <w:r>
        <w:t xml:space="preserve"> : (a) Augmentation du tonus veineux par stimulation des récepteurs α-1 adrénergiques des cellules musculaires lisses veineuses (effet similaire aux flavonoïdes, mais sans noyau flavonoïque) ; (b) Diminution de la perméabilité capillaire et anti-œdémateux ; (c) Effet anti-inflammatoire par inhibition de la prostaglandine synthase et de la 5-LOX ; (d) Amélioration de la microcirculation ; (e) Effet anti-agrégant plaquettaire modéré (inhibition du thromboxane A₂). (ii) </w:t>
      </w:r>
      <w:r>
        <w:rPr>
          <w:b/>
        </w:rPr>
        <w:t>Lidocaïne</w:t>
      </w:r>
      <w:r>
        <w:t xml:space="preserve"> : (a) Blocage des canaux sodiques voltage-dépendants (récepteur α des sous-unités Nav1.x) dans leur état inactivé, ce qui empêche la dépolarisation des fibres nerveuses sensitives périanales ; (b) Anesthésie locale de la muqueuse rectale et de la région périanale, avec disparition de la douleur en 10-15 minutes ; (c) Préfrence pour les fibres C et Aδ de petit diamètre (fibres de la douleur) sur les fibres Aα motrices (la lidocaïne à dose topique n'entraîne pas de bloc moteur périanal). L'association permet une action combinée : systémique par absorption rectale du tribénoside (effet veinotonique et anti-inflammatoire) et topique par action directe de la lidocaïne sur les terminaisons nerveuses périanales.</w:t>
      </w:r>
    </w:p>
    <w:p>
      <w:r/>
      <w:r>
        <w:rPr>
          <w:b/>
        </w:rPr>
        <w:t>Profil Pharmacologique :</w:t>
      </w:r>
      <w:r/>
    </w:p>
    <w:p>
      <w:pPr>
        <w:pStyle w:val="ListBullet"/>
      </w:pPr>
      <w:r>
        <w:t>Indications : (1) Traitement symptomatique de la crise hémorroïdaire interne et externe douloureuse, en complément des mesures hygiéno-diététiques (régime riche en fibres, hydratation, éviter la constipation) ; (2) Traitement des fissures anales douloureuses (en adjuvant) ; (3) Post-chirurgie proctologique (hémorroïdectomie, sphinctérotomie) — adjuvant antalgique local.</w:t>
      </w:r>
    </w:p>
    <w:p>
      <w:pPr>
        <w:pStyle w:val="ListBullet"/>
      </w:pPr>
      <w:r>
        <w:t>Contre-indications : (i) Hypersensibilité au tribénoside, à la lidocaïne, ou aux anesthésiques locaux amino-amides ; (ii) Hémorroïdes compliquées : thrombose hémorroïdaire externe (le suppositoire peut être douloureux à introduire, préférer la forme crème) ; (iii) Fissure anale avec infection locale ; (iv) Abscès périanal ; (vi) Saignement abondant d'origine non hémorroïdaire ( suspicion de tumeur rectale) — orientation proctologique ; (vii) Enfant de moins de 12 ans (par prudence, faute de données spécifiques) ; (viii) Insuffisance hépatique sévère (la lidocaïne est métabolisée par le foie, risque d'accumulation) ; (ix) Bloc auriculo-ventriculaire non appareillé (par prudence, en raison de l'effet antiarythmique de la lidocaïne).</w:t>
      </w:r>
    </w:p>
    <w:p>
      <w:pPr>
        <w:pStyle w:val="ListBullet"/>
      </w:pPr>
      <w:r>
        <w:t>Effets Indésirables : (i) Sensation de brûlure transitoire à l'introduction du suppositoire (fréquent, lié à la lidocaïne) ; (ii) Prurit anal (peu fréquent) ; (iii) Rectite allergique de contact (rare, avec érythème et œdème périanal) ; (iv) Réactions allergiques : rash, urticaire, œdème de Quincke (très rare) ; (v) Troubles systémiques de la lidocaïne en cas d'usage excessif (&gt; 4 suppositoires/jour) : somnolence, confusion, tremblements, convulsions (à dose très élevée), hypotension, bradycardie ; (vi) Diminution de la sensibilité rectale (risque de fecalome non ressenti en cas d'usage prolongé) ; (vii) Troubles de la cicatrisation en cas d'usage prolongé (effet anti-inflammatoire local de la lidocaïne et du tribénoside). Profil global de tolérance bon aux doses recommandées.</w:t>
      </w:r>
    </w:p>
    <w:p>
      <w:r/>
      <w:r>
        <w:rPr>
          <w:b/>
        </w:rPr>
        <w:t>Prévention et Gestion des Effets Indésirables :</w:t>
      </w:r>
      <w:r/>
    </w:p>
    <w:p>
      <w:pPr>
        <w:pStyle w:val="ListBullet"/>
      </w:pPr>
      <w:r>
        <w:t>Mesures Préventives : (i) Respecter la posologie maximale de 2 suppositoires par jour pendant 7 à 10 jours maximum ; (ii) Ne pas prolonger le traitement au-delà de 10 jours sans avis médical (risque de masquer une pathologie sous-jacente : fissure chronique, thrombose, tumeur rectale) ; (iii) Information du patient sur la nécessité d'une consultation proctologique en cas de persistance des symptômes, de saignement abondant, de fièvre, ou d'apparition d'une tuméfaction douloureuse (thrombose hémorroïdaire externe) ; (iv) Adapter le traitement à la cause : association systématique aux mesures hygiéno-diététiques (régime riche en fibres : psyllium, son d'avoine, fruits et légumes ; hydratation ≥ 1,5 L/jour ; activité physique ; éviter la constipation et les efforts de poussée prolongés) ; (v) Association possible à la FFPM orale (Daflon) en cas de crise sévère ou récidivante ; (vi) Patient sous anticoagulant : surveillance en raison du risque de saignement accru.</w:t>
      </w:r>
    </w:p>
    <w:p>
      <w:pPr>
        <w:pStyle w:val="ListBullet"/>
      </w:pPr>
      <w:r>
        <w:t>Conduite à Tenir : (i) Brûlure transitoire à l'introduction : informer le patient de la nature transitoire (1-2 minutes), poursuivre le traitement ; (ii) Prurit persistant : arrêt, orientation médicale (suspicion d'allergie) ; (iii) Signes systémiques (somnolence, confusion) : arrêt immédiat, consultation (intoxication à la lidocaïne) ; (iv) Persistance des symptômes après 10 jours : orientation proctologique (suspicion de thrombose, de fissure chronique, ou de tumeur).</w:t>
      </w:r>
    </w:p>
    <w:p>
      <w:r/>
      <w:r>
        <w:rPr>
          <w:b/>
        </w:rPr>
        <w:t>Interactions Importantes :</w:t>
      </w:r>
      <w:r/>
    </w:p>
    <w:p>
      <w:pPr>
        <w:pStyle w:val="ListBullet"/>
      </w:pPr>
      <w:r/>
      <w:r>
        <w:rPr>
          <w:b/>
        </w:rPr>
        <w:t>Lidocaïne + Antiarhythmiques de classe I (quinidine, flecaïnide, propafénone) et III (amiodarone, sotalol)</w:t>
      </w:r>
      <w:r>
        <w:t xml:space="preserve"> : potentialisation de l'effet antiarythmique et du risque de bloc auriculo-ventriculaire et d'allongement du QT. Surveillance ECG si usage prolongé à haute dose.</w:t>
      </w:r>
    </w:p>
    <w:p>
      <w:pPr>
        <w:pStyle w:val="ListBullet"/>
      </w:pPr>
      <w:r/>
      <w:r>
        <w:rPr>
          <w:b/>
        </w:rPr>
        <w:t>Lidocaïne + Bêta-bloquants (propranolol, métoprolol)</w:t>
      </w:r>
      <w:r>
        <w:t xml:space="preserve"> : diminution de la clairance de la lidocaïne (inhibition du flux hépatique), augmentation de la demi-vie et risque d'accumulation.</w:t>
      </w:r>
    </w:p>
    <w:p>
      <w:pPr>
        <w:pStyle w:val="ListBullet"/>
      </w:pPr>
      <w:r/>
      <w:r>
        <w:rPr>
          <w:b/>
        </w:rPr>
        <w:t>Lidocaïne + Cimétidine</w:t>
      </w:r>
      <w:r>
        <w:t xml:space="preserve"> (anti-H2) : diminution du métabolisme hépatique de la lidocaïne, augmentation des taux sanguins.</w:t>
      </w:r>
    </w:p>
    <w:p>
      <w:pPr>
        <w:pStyle w:val="ListBullet"/>
      </w:pPr>
      <w:r/>
      <w:r>
        <w:rPr>
          <w:b/>
        </w:rPr>
        <w:t>Lidocaïne + Inhibiteurs de la CYP3A4 (ritonavir, kétoconazole, itraconazole, clarithromycine, érythromycine, jus de pamplemousse)</w:t>
      </w:r>
      <w:r>
        <w:t xml:space="preserve"> : augmentation des taux sanguins de lidocaïne par inhibition de son métabolisme hépatique. Risque de toxicité systémique à dose élevée.</w:t>
      </w:r>
    </w:p>
    <w:p>
      <w:pPr>
        <w:pStyle w:val="ListBullet"/>
      </w:pPr>
      <w:r/>
      <w:r>
        <w:rPr>
          <w:b/>
        </w:rPr>
        <w:t>Lidocaïne + Inhibiteurs de la MAO (phenelzine, tranylcypromine)</w:t>
      </w:r>
      <w:r>
        <w:t xml:space="preserve"> : potentialisation des effets de la lidocaïne (CI relative).</w:t>
      </w:r>
    </w:p>
    <w:p>
      <w:pPr>
        <w:pStyle w:val="ListBullet"/>
      </w:pPr>
      <w:r/>
      <w:r>
        <w:rPr>
          <w:b/>
        </w:rPr>
        <w:t>Lidocaïne + Antidépresseurs tricycliques (amitriptyline, clomipramine)</w:t>
      </w:r>
      <w:r>
        <w:t xml:space="preserve"> : potentialisation du risque d'allongement du QT et d'arythmies ventriculaires (rare, à dose élevée).</w:t>
      </w:r>
    </w:p>
    <w:p>
      <w:pPr>
        <w:pStyle w:val="ListBullet"/>
      </w:pPr>
      <w:r/>
      <w:r>
        <w:rPr>
          <w:b/>
        </w:rPr>
        <w:t>Tribénoside + Anticoagulants oraux (AVK, AOD)</w:t>
      </w:r>
      <w:r>
        <w:t xml:space="preserve"> : potentialisation théorique du risque hémorragique (effet anti-agrégant du tribénoside). Surveillance.</w:t>
      </w:r>
    </w:p>
    <w:p>
      <w:r/>
      <w:r>
        <w:rPr>
          <w:b/>
        </w:rPr>
        <w:t>Grossesse et Allaitement :</w:t>
      </w:r>
      <w:r/>
    </w:p>
    <w:p>
      <w:pPr>
        <w:pStyle w:val="ListBullet"/>
      </w:pPr>
      <w:r>
        <w:t>Grossesse : Compatible à tous les trimestres selon le CRAT (avec prudence au 1er trimestre). La lidocaïne est considérée comme compatible avec la grossesse (catégorie B de la FDA), avec passage transplacentaire minime à dose topique. Le tribénoside n'a pas montré d'effet tératogène chez l'animal. Les hémorroïdes gravidiques sont très fréquentes (30 à 40 % des femmes enceintes, surtout au 3e trimestre), et le Proctolon Neo peut être utilisé en seconde intention après échec des mesures hygiéno-diététiques et de la FFPM orale (Daflon, à partir du 2e trimestre). Préférer la FFPM orale en première intention. Posologie identique à l'adulte non enceinte : 1 à 2 suppositoires par jour.</w:t>
      </w:r>
    </w:p>
    <w:p>
      <w:pPr>
        <w:pStyle w:val="ListBullet"/>
      </w:pPr>
      <w:r>
        <w:t>Allaitement : Compatible avec prudence (CRAT). La lidocaïne passe dans le lait maternel en quantité minime (rapport lait/plasma ≈ 1), mais sans effet attendu sur le nourrisson aux doses topiques recommandées (max 2 suppositoires/jour). Le tribénoside est peu documenté. L'usage ponctuel (cure courte de 7-10 jours) est autorisé pendant l'allaitement.</w:t>
      </w:r>
    </w:p>
    <w:p>
      <w:pPr>
        <w:pStyle w:val="ListBullet"/>
      </w:pPr>
      <w:r>
        <w:t>Précisions : Pour les hémorroïdes gravidiques, l'arsenal thérapeutique comprend : (i) mesures hygiéno-diététiques (régime riche en fibres, hydratation, éviter la constipation) ; (ii) FFPM orale (Daflon 500 mg x 2/jour ou 1000 mg/jour) ; (iii) traitements locaux (Proctolon Neo suppositoire, Procto-Glyvenol crème ou suppositoire, Titanoréine crème ou suppositoire) en cas de douleur importante ; (iv) chirurgie exceptionnelle pendant la grossesse.</w:t>
      </w:r>
    </w:p>
    <w:p>
      <w:r/>
      <w:r>
        <w:rPr>
          <w:b/>
        </w:rPr>
        <w:t>Posologie et Mode d'administration (Standard) :</w:t>
      </w:r>
      <w:r/>
    </w:p>
    <w:p>
      <w:pPr>
        <w:pStyle w:val="ListBullet"/>
      </w:pPr>
      <w:r>
        <w:t>Adulte (crise hémorroïdaire aiguë) : 1 suppositoire matin et soir (soit 2/jour) pendant 7 à 10 jours maximum.</w:t>
      </w:r>
    </w:p>
    <w:p>
      <w:pPr>
        <w:pStyle w:val="ListBullet"/>
      </w:pPr>
      <w:r>
        <w:t>Adulte (entretien, symptomatologie modérée) : 1 suppositoire au coucher pendant 5 à 7 jours.</w:t>
      </w:r>
    </w:p>
    <w:p>
      <w:pPr>
        <w:pStyle w:val="ListBullet"/>
      </w:pPr>
      <w:r>
        <w:t>Sujet âgé : pas d'adaptation posologique, mais surveiller la fonction hépatique (clairance de la lidocaïne réduite).</w:t>
      </w:r>
    </w:p>
    <w:p>
      <w:pPr>
        <w:pStyle w:val="ListBullet"/>
      </w:pPr>
      <w:r>
        <w:t>Durée : 7 à 10 jours maximum, non prolongeable sans avis médical.</w:t>
      </w:r>
    </w:p>
    <w:p>
      <w:pPr>
        <w:pStyle w:val="ListBullet"/>
      </w:pPr>
      <w:r>
        <w:t>Moment de prise : de préférence après la selle et une toilette périanale soigneuse. Le suppositoire est introduit profondément dans le rectum (au-delà du sphincter anal interne) après avoir été humidifié avec un peu d'eau ou de lubrifiant aqueux. Rester allongé 15 à 30 minutes après introduction pour permettre la diffusion et l'action du produit.</w:t>
      </w:r>
    </w:p>
    <w:p>
      <w:r/>
      <w:r>
        <w:rPr>
          <w:b/>
        </w:rPr>
        <w:t>Arbitrage et Bénéfices des Formes Galéniques :</w:t>
      </w:r>
      <w:r/>
    </w:p>
    <w:p>
      <w:pPr>
        <w:pStyle w:val="ListBullet"/>
      </w:pPr>
      <w:r>
        <w:t>Suppositoire (Proctolon Neo) : forme de référence pour les hémorroïdes internes et les symptômes rectaux (douleur, brûlure, ténesme). Action locale et systémique (absorption rectale du tribénoside). Pratique d'usage (1 à 2/jour). À conserver à température ambiante ≤ 25 °C (éviter la chaleur qui fait fondre le suppositoire).</w:t>
      </w:r>
    </w:p>
    <w:p>
      <w:pPr>
        <w:pStyle w:val="ListBullet"/>
      </w:pPr>
      <w:r>
        <w:t>Crème rectale : non disponible en Algérie pour le tribénoside + lidocaïne (mais existe dans d'autres pays). Pour les hémorroïdes externes, préférer une crème (Procto-Glyvenol, Titanoréine).</w:t>
      </w:r>
    </w:p>
    <w:p>
      <w:pPr>
        <w:pStyle w:val="ListBullet"/>
      </w:pPr>
      <w:r>
        <w:t>Conservation : suppositoires à température ≤ 25 °C, à l'abri de la chaleur (les suppositoires fondent à la température corporelle). À conserver au réfrigérateur si la température ambiante dépasse 25 °C.</w:t>
      </w:r>
    </w:p>
    <w:p>
      <w:r/>
      <w:r>
        <w:rPr>
          <w:b/>
        </w:rPr>
        <w:t>Instructions et Conseils au Patient :</w:t>
      </w:r>
      <w:r/>
    </w:p>
    <w:p>
      <w:pPr>
        <w:pStyle w:val="ListBullet"/>
      </w:pPr>
      <w:r>
        <w:t>Communication au comptoir : "Ce suppositoire contient un veinotonique (tribénoside) qui améliore la circulation veineuse hémorroïdaire et un anesthésique local (lidocaïne) qui calme rapidement la douleur. Insérez 1 suppositoire matin et soir, de préférence après être allé à la selle et après une toilette soigneuse. Le traitement dure 7 à 10 jours maximum, sans prolongation sans avis médical. Vous pouvez ressentir une légère sensation de brûlure transitoire à l'introduction (c'est normal, lié à la lidocaïne). Associez des mesures simples : mangez des fibres (fruits, légumes, son d'avoine), buvez au moins 1,5 L d'eau par jour, marchez 30 minutes par jour, évitez les efforts de poussée prolongés aux toilettes. Si les symptômes persistent au-delà de 10 jours, si vous avez une fièvre, un saignement abondant, ou une tuméfaction douloureuse (boule dure et bleutée autour de l'anus), consultez un médecin : il peut s'agir d'une thrombose hémorroïdaire ou d'une autre pathologie. Le produit est compatible avec la grossesse (à partir du 2e trimestre) et l'allaitement."</w:t>
      </w:r>
    </w:p>
    <w:p>
      <w:pPr>
        <w:pStyle w:val="ListBullet"/>
      </w:pPr>
      <w:r>
        <w:t>Mode d'utilisation pratique : humidifier le suppositoire avec un peu d'eau ou de lubrifiant aqueux (gel hydrosoluble). Introduire profondément dans le rectum avec un doigt propre, au-delà du sphincter anal interne (environ 3-4 cm). Rester allongé 15 à 30 minutes. Se laver les mains après.</w:t>
      </w:r>
    </w:p>
    <w:p>
      <w:r/>
      <w:r>
        <w:rPr>
          <w:b/>
        </w:rPr>
        <w:t>Notes, Règles d'Or &amp; Pièges au Comptoir :</w:t>
      </w:r>
      <w:r/>
    </w:p>
    <w:p>
      <w:pPr>
        <w:pStyle w:val="ListBullet"/>
      </w:pPr>
      <w:r>
        <w:t>Piège classique : (i) Prolongation du traitement au-delà de 10 jours sans avis médical — risque de masquer une pathologie sous-jacente (thrombose hémorroïdaire, fissure chronique, tumeur rectale) ; (ii) Saignement abondant non exploré — toujours suspecter une autre cause (cancer colorectal) et orienter ; (iii) Thrombose hémorroïdaire externe (boule dure et bleutée, très douloureuse) — le suppositoire est inadapté et douloureux à introduire, préférer une crème locale et orientation proctologique (incision possible sous anesthésie locale) ; (iv) Posologie excessive (&gt; 4 suppositoires/jour) — risque de toxicité systémique de la lidocaïne (somnolence, convulsions, hypotension) ; (v) Patient sous anticoagulant — risque de saignement accru, surveillance ; (vi) Conservation à la chaleur — fonte du suppositoire, conserver au réfrigérateur en été.</w:t>
      </w:r>
    </w:p>
    <w:p>
      <w:pPr>
        <w:pStyle w:val="ListBullet"/>
      </w:pPr>
      <w:r>
        <w:t>Règle de prise : 1 suppositoire matin et soir pendant 7 à 10 jours maximum, après la selle et toilette périanale. Pas de prolongation sans avis médical.</w:t>
      </w:r>
    </w:p>
    <w:p>
      <w:pPr>
        <w:pStyle w:val="ListBullet"/>
      </w:pPr>
      <w:r>
        <w:t>Préparation et Conservation : suppositoires à température ≤ 25 °C, à l'abri de la chaleur et de la lumière. À conserver au réfrigérateur (2-8 °C) si la température ambiante dépasse 25 °C. Sortir le suppositoire du réfrigérateur quelques minutes avant l'usage pour qu'il se ramollisse légèrement et soit plus facile à introduire.</w:t>
      </w:r>
    </w:p>
    <w:p>
      <w:pPr>
        <w:pStyle w:val="ListBullet"/>
      </w:pPr>
      <w:r>
        <w:t>Piège du surdosage / Substitution : en cas de surdosage en lidocaïne (&gt; 5-6 suppositoires/jour), risque de toxicité systémique : somnolence, confusion, tremblements, convulsions, hypotension, bradycardie, arrêt cardiaque (à dose massive). Traitement : arrêt immédiat, symptômatique, ventilation assistée si nécessaire, diazépam IV si convulsions. Substitution possible par d'autres associations hémorroïdaires locales (Procto-Glyvenol, Titanoréine) en fonction de la disponibilité et de la prescription.</w:t>
      </w:r>
    </w:p>
    <w:p>
      <w:pPr>
        <w:pStyle w:val="Heading3"/>
      </w:pPr>
      <w:r>
        <w:t>8. DCI : Octréotide (Analogues somatostatine - Hémorragie digestive/varices) (Seule)</w:t>
      </w:r>
    </w:p>
    <w:p>
      <w:r/>
      <w:r>
        <w:rPr>
          <w:b/>
        </w:rPr>
        <w:t>Liste des Catégories :</w:t>
      </w:r>
      <w:r>
        <w:t xml:space="preserve"> Analogue de la somatostatine ; Vasoconstricteur splanchnique ; Inhibiteur des hormones gastro-entéro-pancréatiques ; Urgence hémorragique digestive (varices).</w:t>
      </w:r>
    </w:p>
    <w:p>
      <w:r>
        <w:t>L'octréotide est un octapeptide synthétique (D-Phe-Cys-Phe-D-Trp-Lys-Thr-Cys-Thr-ol, cyclé par un pont disulfure) qui reproduit la séquence pharmacologiquement active de la somatostatine naturelle (les 4 amino-acides Phe-Trp-Lys-Thr en positions 7-10). L'octréotide présente une puissance 45 fois supérieure à la somatostatine native sur l'inhibition de la GH, 40 fois supérieure sur l'inhibition de l'insuline, et 20 fois supérieure sur l'inhibition du glucagon. Sa demi-vie d'élimination après injection sous-cutanée est de 90 à 120 minutes (contre 2-3 minutes pour la somatostatine native), permettant une administration SC ou IV continue. L'octréotide est administré en SC (absorption complète en 30 minutes, pic plasmatique à 0,4 heure), en IM (forme retard-LAR, non disponible en Algérie), ou en IV (perfusion continue ou bolus). L'élimination est principalement hépatique (60 % par métabolisme et 40 % par excrétion rénale intacte), avec une clairance totale de 160 mL/min. La demi-vie d'élimination terminale est de 1,5 à 2 heures. En perfusion IV continue, l'état d'équilibre est atteint en 4-6 heures. Le Sandostatine (NOVARTIS) est le princeps ; l'OCTREOTIDE BIOINDUSTRIA est le générique disponible en Algérie.</w:t>
      </w:r>
    </w:p>
    <w:p>
      <w:r/>
      <w:r>
        <w:rPr>
          <w:b/>
        </w:rPr>
        <w:t>Médicaments disponibles en Algérie (Marques, Laboratoires, Formes et Dosages) :</w:t>
      </w:r>
      <w:r/>
    </w:p>
    <w:p>
      <w:pPr>
        <w:pStyle w:val="ListBullet"/>
      </w:pPr>
      <w:r/>
      <w:r>
        <w:rPr>
          <w:b/>
        </w:rPr>
        <w:t>OCTREOTIDE BIOINDUSTRIA L.I.M</w:t>
      </w:r>
      <w:r>
        <w:t xml:space="preserve"> (BIOINDUSTRIA LABORATORIO ITALIANO MEDICINALI SPA)</w:t>
      </w:r>
    </w:p>
    <w:p>
      <w:pPr>
        <w:pStyle w:val="ListBullet"/>
      </w:pPr>
      <w:r>
        <w:t>Formes et Dosages : Solution injectable pour perfusion IV et SC, 0,1 mg/mL (soit 100 µg/mL), boîte de 10 ampoules de 1 mL.</w:t>
      </w:r>
    </w:p>
    <w:p>
      <w:pPr>
        <w:pStyle w:val="ListBullet"/>
      </w:pPr>
      <w:r>
        <w:t>Statut : Actif (Liste I).</w:t>
      </w:r>
    </w:p>
    <w:p>
      <w:pPr>
        <w:pStyle w:val="ListBullet"/>
      </w:pPr>
      <w:r/>
      <w:r>
        <w:rPr>
          <w:b/>
        </w:rPr>
        <w:t>OCTREOTIDE BIOINDUSTRIA L.I.M</w:t>
      </w:r>
      <w:r>
        <w:t xml:space="preserve"> (BIOINDUSTRIA LABORATORIO ITALIANO MEDICINALI SPA)</w:t>
      </w:r>
    </w:p>
    <w:p>
      <w:pPr>
        <w:pStyle w:val="ListBullet"/>
      </w:pPr>
      <w:r>
        <w:t>Formes et Dosages : Solution injectable pour perfusion IV et SC, 0,5 mg/mL (soit 500 µg/mL), boîte de 10 ampoules de 1 mL.</w:t>
      </w:r>
    </w:p>
    <w:p>
      <w:pPr>
        <w:pStyle w:val="ListBullet"/>
      </w:pPr>
      <w:r>
        <w:t>Statut : Actif (Liste I).</w:t>
      </w:r>
    </w:p>
    <w:p>
      <w:pPr>
        <w:pStyle w:val="ListBullet"/>
      </w:pPr>
      <w:r/>
      <w:r>
        <w:rPr>
          <w:b/>
        </w:rPr>
        <w:t>SANDOSTATINE</w:t>
      </w:r>
      <w:r>
        <w:t xml:space="preserve"> (NOVARTIS PHARMA S.A.)</w:t>
      </w:r>
    </w:p>
    <w:p>
      <w:pPr>
        <w:pStyle w:val="ListBullet"/>
      </w:pPr>
      <w:r>
        <w:t>Formes et Dosages : Solution injectable, 50 µg/mL, boîte de 6 ampoules.</w:t>
      </w:r>
    </w:p>
    <w:p>
      <w:pPr>
        <w:pStyle w:val="ListBullet"/>
      </w:pPr>
      <w:r>
        <w:t>Statut : Non Renouvelable (Liste I).</w:t>
      </w:r>
    </w:p>
    <w:p>
      <w:pPr>
        <w:pStyle w:val="ListBullet"/>
      </w:pPr>
      <w:r/>
      <w:r>
        <w:rPr>
          <w:b/>
        </w:rPr>
        <w:t>SANDOSTATINE</w:t>
      </w:r>
      <w:r>
        <w:t xml:space="preserve"> (NOVARTIS PHARMA S.A.S)</w:t>
      </w:r>
    </w:p>
    <w:p>
      <w:pPr>
        <w:pStyle w:val="ListBullet"/>
      </w:pPr>
      <w:r>
        <w:t>Formes et Dosages : Solution injectable, 100 µg/mL, boîte de 6 ampoules de 1 mL.</w:t>
      </w:r>
    </w:p>
    <w:p>
      <w:pPr>
        <w:pStyle w:val="ListBullet"/>
      </w:pPr>
      <w:r>
        <w:t>Statut : Non Renouvelable (Liste I).</w:t>
      </w:r>
    </w:p>
    <w:p>
      <w:pPr>
        <w:pStyle w:val="ListBullet"/>
      </w:pPr>
      <w:r/>
      <w:r>
        <w:rPr>
          <w:b/>
        </w:rPr>
        <w:t>SANDOSTATINE</w:t>
      </w:r>
      <w:r>
        <w:t xml:space="preserve"> (NOVARTIS PHARMA S.A.)</w:t>
      </w:r>
    </w:p>
    <w:p>
      <w:pPr>
        <w:pStyle w:val="ListBullet"/>
      </w:pPr>
      <w:r>
        <w:t>Formes et Dosages : Solution injectable, 500 µg/mL, boîte de 6 ampoules de 1 mL.</w:t>
      </w:r>
    </w:p>
    <w:p>
      <w:pPr>
        <w:pStyle w:val="ListBullet"/>
      </w:pPr>
      <w:r>
        <w:t>Statut : Non Renouvelable (Liste I).</w:t>
      </w:r>
    </w:p>
    <w:p>
      <w:r/>
      <w:r>
        <w:rPr>
          <w:b/>
        </w:rPr>
        <w:t>Sous-classe et Mécanisme d'action :</w:t>
      </w:r>
      <w:r/>
    </w:p>
    <w:p>
      <w:pPr>
        <w:pStyle w:val="ListBullet"/>
      </w:pPr>
      <w:r>
        <w:t>Sous-classe : Analogue de la somatostatine (octapeptide), positionné comme traitement d'urgence de l'hémorragie digestive par rupture de varices œsophagiennes chez le cirrhotique, et comme traitement de fond des tumeurs neuroendocrines (acromégalie, tumeurs carcinoïdes, gastrinomes, insulinomes). Prescription en Liste I, réservée à l'usage hospitalier.</w:t>
      </w:r>
    </w:p>
    <w:p>
      <w:pPr>
        <w:pStyle w:val="ListBullet"/>
      </w:pPr>
      <w:r>
        <w:t xml:space="preserve">Mécanisme d'action : l'octréotide se lie à 5 sous-types de récepteurs de la somatostatine (SSTR1 à SSTR5, récepteurs à 7 domaines transmembranaires couplés aux protéines Gi/o), avec une affinité prédominante pour SSTR2 et SSTR5. L'activation des récepteurs entraîne : (i) inhibition de l'adénylate cyclase (baisse de l'AMPc intracellulaire) ; (ii) activation des canaux potassiques rectificateurs entrants (GIRK) avec hyperpolarisation membranaire ; (iii) inhibition des canaux calciques voltage-dépendants (baisse du calcium intracellulaire). Les effets pharmacologiques en découlant sont : (a) </w:t>
      </w:r>
      <w:r>
        <w:rPr>
          <w:b/>
        </w:rPr>
        <w:t>Vasoconstriction splanchnique</w:t>
      </w:r>
      <w:r>
        <w:t xml:space="preserve"> : l'octréotide inhibe la libération de glucagon, de VIP et de substance P par les cellules α pancréatiques et les cellules entéro-endocrines, ce qui supprime le tonus vasodilatateur splanchnique physiologique. Le résultat est une vasoconstriction artériolaire splanchnique directe (effet inhibitif sur le flux portal) avec diminution du débit sanguin portal de 25 à 35 %, baisse de la pression portale de 10 à 15 %, et diminution du gradient de pression hépatique libre (HVPG). Cet effet est spécifiquement bénéfique dans l'hypertension portale du cirrhotique (varices œsophagiennes, gastropathie hypertensive) ; (b) </w:t>
      </w:r>
      <w:r>
        <w:rPr>
          <w:b/>
        </w:rPr>
        <w:t>Inhibition de la sécrétion des hormones gastro-entéro-pancréatiques</w:t>
      </w:r>
      <w:r>
        <w:t xml:space="preserve"> : GH, TSH, insuline, glucagon, gastrine, sécrétine, VIP, motiline, GIP, polypeptide pancréatique, somatostatine endogène ; (c) </w:t>
      </w:r>
      <w:r>
        <w:rPr>
          <w:b/>
        </w:rPr>
        <w:t>Inhibition de la sécrétion exocrine</w:t>
      </w:r>
      <w:r>
        <w:t xml:space="preserve"> : suc gastrique (HCl, pepsine), suc pancréatique exocrine (enzymes, bicarbonate), bile, sécrétions intestinales ; (d) </w:t>
      </w:r>
      <w:r>
        <w:rPr>
          <w:b/>
        </w:rPr>
        <w:t>Inhibition de la motilité intestinale</w:t>
      </w:r>
      <w:r>
        <w:t xml:space="preserve"> : ralentissement du transit, diminution du flux splanchnique ; (e) </w:t>
      </w:r>
      <w:r>
        <w:rPr>
          <w:b/>
        </w:rPr>
        <w:t>Inhibition de la sécrétion de fluides</w:t>
      </w:r>
      <w:r>
        <w:t xml:space="preserve"> dans les fistules digestives (pancréatiques, biliaires, entéro-cutanées) — utilisation dans le traitement conservateur des fistules.</w:t>
      </w:r>
    </w:p>
    <w:p>
      <w:r/>
      <w:r>
        <w:rPr>
          <w:b/>
        </w:rPr>
        <w:t>Profil Pharmacologique :</w:t>
      </w:r>
      <w:r/>
    </w:p>
    <w:p>
      <w:pPr>
        <w:pStyle w:val="ListBullet"/>
      </w:pPr>
      <w:r>
        <w:t xml:space="preserve">Indications : (1) </w:t>
      </w:r>
      <w:r>
        <w:rPr>
          <w:b/>
        </w:rPr>
        <w:t>Urgence gastro-entérologique : hémorragie digestive par rupture de varices œsophagiennes ou gastriques</w:t>
      </w:r>
      <w:r>
        <w:t xml:space="preserve"> chez le cirrhotique, en association à l'endoscopie diagnostique et thérapeutique (ligature élastique ou sclérothérapie) — c'est l'indication princeps selon les recommandations Baveno VII (2022) et EASL (2018) : bolus IV de 50 µg suivi d'une perfusion IV continue de 50 µg/h pendant 3 à 5 jours ; (2) </w:t>
      </w:r>
      <w:r>
        <w:rPr>
          <w:b/>
        </w:rPr>
        <w:t>Acromégalie</w:t>
      </w:r>
      <w:r>
        <w:t xml:space="preserve"> : traitement de fond avant chirurgie hypophysaire, en cas d'échec chirurgical, ou en cas de contre-indication à la chirurgie ; (3) </w:t>
      </w:r>
      <w:r>
        <w:rPr>
          <w:b/>
        </w:rPr>
        <w:t>Tumeurs neuroendocrines gastro-entéro-pancréatiques</w:t>
      </w:r>
      <w:r>
        <w:t xml:space="preserve"> : tumeurs carcinoïdes (syndrome carcinoïde avec flush, diarrhée, asthme, valvulopathie droite), gastrinomes (syndrome de Zollinger-Ellison), insulinomes (hypoglycémies organiques), VIPomes (syndrome de Verner-Morrison : diarrhée hydro-électrolytique sévère), glucagonomes (syndrome de nécrolyse migratoire), somatostatinomes ; (4) </w:t>
      </w:r>
      <w:r>
        <w:rPr>
          <w:b/>
        </w:rPr>
        <w:t>Fistules digestives</w:t>
      </w:r>
      <w:r>
        <w:t xml:space="preserve"> : fistules pancréatiques externes, fistules biliaires, fistules entéro-cutanées post-opératoires — réduction du débit fistuleux et accélération de la fermeture spontanée ; (5) </w:t>
      </w:r>
      <w:r>
        <w:rPr>
          <w:b/>
        </w:rPr>
        <w:t>Pancréatite aiguë sévère</w:t>
      </w:r>
      <w:r>
        <w:t xml:space="preserve"> (effet controversé selon les recommandations, plus utilisé en prévention des complications post-CPRE) ; (6) </w:t>
      </w:r>
      <w:r>
        <w:rPr>
          <w:b/>
        </w:rPr>
        <w:t>Prévention de la pancréatite post-CPRE</w:t>
      </w:r>
      <w:r>
        <w:t xml:space="preserve"> (cholangio-pancréatographie rétrograde endoscopique) : 250 µg SC avant et après la procédure ; (7) </w:t>
      </w:r>
      <w:r>
        <w:rPr>
          <w:b/>
        </w:rPr>
        <w:t>Diarrhées réfractaires</w:t>
      </w:r>
      <w:r>
        <w:t xml:space="preserve"> : diarrhée du syndrome carcinoïde, diarrhée du VIPome, diarrhée du sida, diarrhée post-chimiothérapie (irinotécan), diarrhée chronique idiopathique ; (8) </w:t>
      </w:r>
      <w:r>
        <w:rPr>
          <w:b/>
        </w:rPr>
        <w:t>Complications des transplantations</w:t>
      </w:r>
      <w:r>
        <w:t xml:space="preserve"> : prévention de la nécrose pancréatique post-greffe pancréatique ; (9) </w:t>
      </w:r>
      <w:r>
        <w:rPr>
          <w:b/>
        </w:rPr>
        <w:t>Imagerie nucléaire</w:t>
      </w:r>
      <w:r>
        <w:t xml:space="preserve"> : préparation à la scintigraphie des récepteurs de la somatostatine (Octreoscan) pour le diagnostic et la surveillance des tumeurs neuroendocrines.</w:t>
      </w:r>
    </w:p>
    <w:p>
      <w:pPr>
        <w:pStyle w:val="ListBullet"/>
      </w:pPr>
      <w:r>
        <w:t>Contre-indications : (i) Hypersensibilité à l'octréotide ou à l'un des excipients ; (ii) Insuffisance rénale sévère non dialysée (la clairance de l'octréotide est réduite, nécessitant une adaptation posologique) ; (iii) Chirurgie biliaire récente (risque de lithiase biliaire par stase vésiculaire, liée à l'inhibition de la contraction vésiculaire) ; (iv) Diabète déséquilibré (l'octréotide perturbe la glycémie par inhibition de l'insuline et du glucagon — nécessite une surveillance glycémique rapprochée) ; (v) Hypothyroïdie non traitée (l'octréotide inhibe la TSH, peut aggraver l'hypothyroïdie) ; (vi) Allaitement (par prudence, faute de données) ; (vii) Grossesse (par prudence, sauf urgence vitale neuroendocrinienne).</w:t>
      </w:r>
    </w:p>
    <w:p>
      <w:pPr>
        <w:pStyle w:val="ListBullet"/>
      </w:pPr>
      <w:r>
        <w:t xml:space="preserve">Effets Indésirables : (i) </w:t>
      </w:r>
      <w:r>
        <w:rPr>
          <w:b/>
        </w:rPr>
        <w:t>Troubles gastro-intestinaux</w:t>
      </w:r>
      <w:r>
        <w:t xml:space="preserve"> : nausées, vomissements, crampes abdominales, diarrhée ou constipation, météorisme, stéatorrhée (très fréquents, surtout en début de traitement, par inhibition de la sécrétion exocrine pancréatique) ; (ii) </w:t>
      </w:r>
      <w:r>
        <w:rPr>
          <w:b/>
        </w:rPr>
        <w:t>Troubles métaboliques</w:t>
      </w:r>
      <w:r>
        <w:t xml:space="preserve"> : hypoglycémie ou hyperglycémie (par modification de la sécrétion d'insuline et de glucagon), anomalies du bilan hépatique (augmentation modérée des transaminases) ; (iii) </w:t>
      </w:r>
      <w:r>
        <w:rPr>
          <w:b/>
        </w:rPr>
        <w:t>Troubles cardiovasculaires</w:t>
      </w:r>
      <w:r>
        <w:t xml:space="preserve"> : bradycardie sinusale, ralentissement de la conduction auriculo-ventriculaire (allongement du PR), hypotension transitoire (à l'injection IV rapide) ; (iv) </w:t>
      </w:r>
      <w:r>
        <w:rPr>
          <w:b/>
        </w:rPr>
        <w:t>Lithiase biliaire et vésicule biliaire paresseuse</w:t>
      </w:r>
      <w:r>
        <w:t xml:space="preserve"> (très fréquents à long terme : 20 à 30 % des patients au-delà de 1 mois de traitement, par inhibition de la contraction vésiculaire et modification de la composition de la bile) — prévention par administration d'acide ursodésoxycholique (AUDC) et surveillance échographique ; (v) </w:t>
      </w:r>
      <w:r>
        <w:rPr>
          <w:b/>
        </w:rPr>
        <w:t>Pancréatite aiguë</w:t>
      </w:r>
      <w:r>
        <w:t xml:space="preserve"> (rare, par stagnation des sécrétions pancréatiques) ; (vi) </w:t>
      </w:r>
      <w:r>
        <w:rPr>
          <w:b/>
        </w:rPr>
        <w:t>Réactions au site d'injection</w:t>
      </w:r>
      <w:r>
        <w:t xml:space="preserve"> : douleur, rougeur, induration (fréquents en SC) ; (vii) </w:t>
      </w:r>
      <w:r>
        <w:rPr>
          <w:b/>
        </w:rPr>
        <w:t>Réactions allergiques</w:t>
      </w:r>
      <w:r>
        <w:t xml:space="preserve"> : rash, prurit, urticaire, anaphylaxie (rares) ; (viii) </w:t>
      </w:r>
      <w:r>
        <w:rPr>
          <w:b/>
        </w:rPr>
        <w:t>Perturbation de la thyroïde</w:t>
      </w:r>
      <w:r>
        <w:t xml:space="preserve"> : hypothyroïdie par inhibition de la TSH (à long terme) ; (ix) </w:t>
      </w:r>
      <w:r>
        <w:rPr>
          <w:b/>
        </w:rPr>
        <w:t>Modération de la croissance tumorale</w:t>
      </w:r>
      <w:r>
        <w:t xml:space="preserve"> (effet recherché dans les tumeurs neuroendocrines, mais peut masquer une progression tumorale sous-jacente d'une autre nature).</w:t>
      </w:r>
    </w:p>
    <w:p>
      <w:r/>
      <w:r>
        <w:rPr>
          <w:b/>
        </w:rPr>
        <w:t>Prévention et Gestion des Effets Indésirables :</w:t>
      </w:r>
      <w:r/>
    </w:p>
    <w:p>
      <w:pPr>
        <w:pStyle w:val="ListBullet"/>
      </w:pPr>
      <w:r>
        <w:t>Mesures Préventives : (i) Surveillance glycémique rapprochée (toutes les 1-2 heures en IV continue, toutes les 6-12 heures en SC), avec adaptation de l'insuline ou des antidiabétiques oraux ; (ii) Surveillance ECG en IV continue chez le patient cardiaque ou âgé (risque de bradycardie, de bloc AV) ; (iii) Surveillance échographique de la vésicule biliaire tous les 6 à 12 mois en traitement prolongé (acromégalie, tumeurs neuroendocrines) ; (iv) Bilan thyroïdien (TSH, T4 libre) tous les 6 mois en traitement prolongé ; (v) Prévention de la lithiase biliaire par AUDC (500 mg/jour) en traitement prolongé ; (vi) Injection SC dans des sites alternatifs (face antéro-externe des cuisses, paroi abdominale, bras) pour prévenir les réactions locales ; (vii) Surveillance clinique de la tolérance digestive (nausées, diarrhée) en début de traitement, réduction de dose si nécessaire ; (viii) Information du patient sur la nécessité de signaler tout symptôme évocateur de pancréatite aiguë (douleur épigastrique transfixiante, vomissements) ou de cholécystite (douleur de l'hypochondre droit, fièvre).</w:t>
      </w:r>
    </w:p>
    <w:p>
      <w:pPr>
        <w:pStyle w:val="ListBullet"/>
      </w:pPr>
      <w:r>
        <w:t>Conduite à Tenir : (i) Hypoglycémie ou hyperglycémie sévère : arrêt temporaire, ajustement du traitement antidiabétique, surveillance glycémique continue ; (ii) Bradycardie symptomatique ou bloc AV : arrêt, surveillance ECG continue, atropine si nécessaire ; (iii) Pancréatite aiguë : arrêt immédiat, scanner abdominal, traitement symptomatique ; (iv) Lithiase biliaire symptomatique (colique biliaire, cholécystite) : arrêt si possible, AUDC, antibiothérapie, cholécystectomie en urgence si cholécystite ; (v) Réaction allergique : arrêt définitif, antihistaminiques, corticoïdes, adrenaline si anaphylaxie.</w:t>
      </w:r>
    </w:p>
    <w:p>
      <w:r/>
      <w:r>
        <w:rPr>
          <w:b/>
        </w:rPr>
        <w:t>Interactions Importantes :</w:t>
      </w:r>
      <w:r/>
    </w:p>
    <w:p>
      <w:pPr>
        <w:pStyle w:val="ListBullet"/>
      </w:pPr>
      <w:r/>
      <w:r>
        <w:rPr>
          <w:b/>
        </w:rPr>
        <w:t>Octréotide + Cyclosporine</w:t>
      </w:r>
      <w:r>
        <w:t xml:space="preserve"> (immunosuppresseur) : diminution de l'absorption intestinale de la cyclosporine (l'octréotide inhibe la motilité intestinale et la sécrétion exocrine pancréatique, ce qui réduit l'absorption de la cyclosporine). Risque de baisse du taux sanguin de cyclosporine avec risque de rejet de greffe. Surveillance quotidienne des taux sanguins de cyclosporine, adaptation posologique.</w:t>
      </w:r>
    </w:p>
    <w:p>
      <w:pPr>
        <w:pStyle w:val="ListBullet"/>
      </w:pPr>
      <w:r/>
      <w:r>
        <w:rPr>
          <w:b/>
        </w:rPr>
        <w:t>Octréotide + Insuline, sulfamides hypoglycémiants, metformine</w:t>
      </w:r>
      <w:r>
        <w:t xml:space="preserve"> : l'octréotide inhibe la sécrétion d'insuline et de glucagon, ce qui peut modifier la glycémie (effet variable selon le contexte : hypoglycémie ou hyperglycémie). Surveillance glycémique rapprochée, ajustement des doses.</w:t>
      </w:r>
    </w:p>
    <w:p>
      <w:pPr>
        <w:pStyle w:val="ListBullet"/>
      </w:pPr>
      <w:r/>
      <w:r>
        <w:rPr>
          <w:b/>
        </w:rPr>
        <w:t>Octréotide + Bromocriptine</w:t>
      </w:r>
      <w:r>
        <w:t xml:space="preserve"> (agoniste dopaminergique utilisé dans l'acromégalie) : potentialisation de l'effet anti-GH. Association synergique.</w:t>
      </w:r>
    </w:p>
    <w:p>
      <w:pPr>
        <w:pStyle w:val="ListBullet"/>
      </w:pPr>
      <w:r/>
      <w:r>
        <w:rPr>
          <w:b/>
        </w:rPr>
        <w:t>Octréotide + L-DOPA</w:t>
      </w:r>
      <w:r>
        <w:t xml:space="preserve"> (maladie de Parkinson) : augmentation possible de la biodisponibilité de la L-DOPA (inhibition de la motilité gastrique).</w:t>
      </w:r>
    </w:p>
    <w:p>
      <w:pPr>
        <w:pStyle w:val="ListBullet"/>
      </w:pPr>
      <w:r/>
      <w:r>
        <w:rPr>
          <w:b/>
        </w:rPr>
        <w:t>Octréotide + Bêta-bloquants, inhibiteurs calciques, digoxine</w:t>
      </w:r>
      <w:r>
        <w:t xml:space="preserve"> : bradycardie additive, surveillance ECG.</w:t>
      </w:r>
    </w:p>
    <w:p>
      <w:pPr>
        <w:pStyle w:val="ListBullet"/>
      </w:pPr>
      <w:r/>
      <w:r>
        <w:rPr>
          <w:b/>
        </w:rPr>
        <w:t>Octréotide + Diurétiques</w:t>
      </w:r>
      <w:r>
        <w:t xml:space="preserve"> : l'octréotide peut modifier l'équilibre hydroélectrolytique, surveillance de la natrémie et de la kaliémie.</w:t>
      </w:r>
    </w:p>
    <w:p>
      <w:pPr>
        <w:pStyle w:val="ListBullet"/>
      </w:pPr>
      <w:r/>
      <w:r>
        <w:rPr>
          <w:b/>
        </w:rPr>
        <w:t>Octréotide + Anticoagulants oraux (AVK)</w:t>
      </w:r>
      <w:r>
        <w:t xml:space="preserve"> : pas d'interaction directe, mais surveillance de l'INR en raison des modifications digestives possibles (malabsorption).</w:t>
      </w:r>
    </w:p>
    <w:p>
      <w:pPr>
        <w:pStyle w:val="ListBullet"/>
      </w:pPr>
      <w:r/>
      <w:r>
        <w:rPr>
          <w:b/>
        </w:rPr>
        <w:t>Octréotide +Œstrogènes, contraception orale</w:t>
      </w:r>
      <w:r>
        <w:t xml:space="preserve"> : diminution possible de l'absorption des œstrogènes (effet de ralentissement de la motilité gastrique). Surveillance clinique, méthode contraceptive complémentaire.</w:t>
      </w:r>
    </w:p>
    <w:p>
      <w:r/>
      <w:r>
        <w:rPr>
          <w:b/>
        </w:rPr>
        <w:t>Grossesse et Allaitement :</w:t>
      </w:r>
      <w:r/>
    </w:p>
    <w:p>
      <w:pPr>
        <w:pStyle w:val="ListBullet"/>
      </w:pPr>
      <w:r>
        <w:t>Grossesse : À éviter par prudence (CRAT : données cliniques limitées). Les études animales n'ont pas montré d'effet tératogène, mais l'octréotide traverse le placenta et peut inhiber la sécrétion de GH et de TSH fœtales. Chez la femme enceinte présentant une acromégalie active ou un syndrome carcinoïde sévère, l'octréotide peut être discuté au cas par cas (équilibre bénéfice/risque). En cas d'hémorragie digestive par rupture de varices chez la femme enceinte cirrhotique (situation rare mais grave), l'octréotide peut être utilisé en urgence (pas d'alternative). Pour les tumeurs neuroendocrines diagnostiquées pendant la grossesse, retarder le traitement à l'octréotide au post-partum si possible.</w:t>
      </w:r>
    </w:p>
    <w:p>
      <w:pPr>
        <w:pStyle w:val="ListBullet"/>
      </w:pPr>
      <w:r>
        <w:t>Allaitement : À éviter par prudence. On ignore si l'octréotide passe dans le lait maternel, mais sa nature peptidique et sa taille (PM 1019 Da) suggèrent un passage minime. Par prudence, ne pas allaiter pendant le traitement à l'octréotide.</w:t>
      </w:r>
    </w:p>
    <w:p>
      <w:pPr>
        <w:pStyle w:val="ListBullet"/>
      </w:pPr>
      <w:r>
        <w:t>Précisions : Pour les patientes présentant une acromégalie ou une tumeur neuroendocrine découvertes pendant la grossesse, la prise en charge doit être multidisciplinaire (endocrinologue, obstétricien, anesthésiste). Le traitement chirurgical hypophysaire (acromégalie) ou tumoral (tumeur neuroendocrine) peut être réalisé pendant la grossesse selon le terme et la sévérité.</w:t>
      </w:r>
    </w:p>
    <w:p>
      <w:r/>
      <w:r>
        <w:rPr>
          <w:b/>
        </w:rPr>
        <w:t>Posologie et Mode d'administration (Standard) :</w:t>
      </w:r>
      <w:r/>
    </w:p>
    <w:p>
      <w:pPr>
        <w:pStyle w:val="ListBullet"/>
      </w:pPr>
      <w:r>
        <w:t>Adulte (hémorragie digestive par rupture de varices œsophagiennes) : bolus IV de 50 µg (en 3-5 minutes), suivi d'une perfusion IV continue de 50 µg/h (soit 1 ampoule de 0,1 mg/mL dans 50 mL de NaCl 0,9 % à la vitesse de 25 mL/h, ou 1 ampoule de 0,5 mg/mL dans 250 mL à 25 mL/h). Durée : 3 à 5 jours (selon les recommandations Baveno VII). Possibilité d'augmenter à 100 µg/h en cas de saignement non contrôlé.</w:t>
      </w:r>
    </w:p>
    <w:p>
      <w:pPr>
        <w:pStyle w:val="ListBullet"/>
      </w:pPr>
      <w:r>
        <w:t>Adulte (acromégalie) : 100 µg SC x 3/jour (soit 300 µg/jour) en début de traitement, puis adaptation selon la réponse clinique et biologique (IGF-1). Relais par forme IM retard (Sandostatine LAR, non disponible en Algérie) si accessible à l'étranger.</w:t>
      </w:r>
    </w:p>
    <w:p>
      <w:pPr>
        <w:pStyle w:val="ListBullet"/>
      </w:pPr>
      <w:r>
        <w:t>Adulte (tumeurs neuroendocrines) : 200 µg SC x 3/jour (soit 600 µg/jour) en début, augmentation possible jusqu'à 1500 µg/jour selon la sévérité.</w:t>
      </w:r>
    </w:p>
    <w:p>
      <w:pPr>
        <w:pStyle w:val="ListBullet"/>
      </w:pPr>
      <w:r>
        <w:t>Adulte (fistules digestives) : 100 µg SC x 3/jour jusqu'à fermeture de la fistule (jusqu'à 2-3 semaines).</w:t>
      </w:r>
    </w:p>
    <w:p>
      <w:pPr>
        <w:pStyle w:val="ListBullet"/>
      </w:pPr>
      <w:r>
        <w:t>Adulte (prévention de la pancréatite post-CPRE) : 250 µg SC ou IV avant la procédure, puis 250 µg SC x 3/jour pendant 24-48 heures.</w:t>
      </w:r>
    </w:p>
    <w:p>
      <w:pPr>
        <w:pStyle w:val="ListBullet"/>
      </w:pPr>
      <w:r>
        <w:t>Adulte (diarrhée du syndrome carcinoïde) : 100-200 µg SC x 3/jour, augmentation possible jusqu'à 600 µg/jour.</w:t>
      </w:r>
    </w:p>
    <w:p>
      <w:pPr>
        <w:pStyle w:val="ListBullet"/>
      </w:pPr>
      <w:r>
        <w:t>Sujet âgé : pas d'adaptation posologique, mais surveillance cardiovasculaire (bradycardie) et glycémique.</w:t>
      </w:r>
    </w:p>
    <w:p>
      <w:pPr>
        <w:pStyle w:val="ListBullet"/>
      </w:pPr>
      <w:r>
        <w:t>Durée : hémorragie digestive = 3 à 5 jours (urgence). Acromégalie et tumeurs neuroendocrines = traitement au long cours à vie. Fistules = traitement limité à la fermeture.</w:t>
      </w:r>
    </w:p>
    <w:p>
      <w:pPr>
        <w:pStyle w:val="ListBullet"/>
      </w:pPr>
      <w:r>
        <w:t>Moment de prise : en urgence pour hémorragie digestive (administration immédiate dès la suspicion). Pour les indications chroniques : répartition régulière toutes les 8 heures en SC.</w:t>
      </w:r>
    </w:p>
    <w:p>
      <w:r/>
      <w:r>
        <w:rPr>
          <w:b/>
        </w:rPr>
        <w:t>Arbitrage et Bénéfices des Formes Galéniques :</w:t>
      </w:r>
      <w:r/>
    </w:p>
    <w:p>
      <w:pPr>
        <w:pStyle w:val="ListBullet"/>
      </w:pPr>
      <w:r>
        <w:t>Solution injectable 0,1 mg/mL (100 µg/mL), 1 mL ampoule (Octréotide Bioindustria) : dosage standard pour les perfusions IV continues (dilué dans NaCl 0,9 %) et les injections SC. Pratique pour les petites doses SC (50 à 100 µg).</w:t>
      </w:r>
    </w:p>
    <w:p>
      <w:pPr>
        <w:pStyle w:val="ListBullet"/>
      </w:pPr>
      <w:r>
        <w:t>Solution injectable 0,5 mg/mL (500 µg/mL), 1 mL ampoule (Octréotide Bioindustria) : dosage concentré pour les perfusions IV continues prolongées à haute dose (permet de réduire le volume perfusé). Pratique pour les administrations à dose élevée.</w:t>
      </w:r>
    </w:p>
    <w:p>
      <w:pPr>
        <w:pStyle w:val="ListBullet"/>
      </w:pPr>
      <w:r>
        <w:t>Solution injectable 50 µg/mL, 100 µg/mL, 500 µg/mL (Sandostatine, Novartis) : princeps historique, non renouvelable en Algérie. Disponible à l'étranger en forme IM retard-LAR (Sandostatine LAR 10, 20, 30 mg, injection mensuelle) — non commercialisée en Algérie.</w:t>
      </w:r>
    </w:p>
    <w:p>
      <w:pPr>
        <w:pStyle w:val="ListBullet"/>
      </w:pPr>
      <w:r>
        <w:t xml:space="preserve">Voies d'administration : (i) </w:t>
      </w:r>
      <w:r>
        <w:rPr>
          <w:b/>
        </w:rPr>
        <w:t>SC</w:t>
      </w:r>
      <w:r>
        <w:t xml:space="preserve"> : voie de référence pour les indications chroniques (acromégalie, tumeurs neuroendocrines, fistules) — absorption complète, pic en 30 min, demi-vie 1,5-2 h, injections x 3/jour ; (ii) </w:t>
      </w:r>
      <w:r>
        <w:rPr>
          <w:b/>
        </w:rPr>
        <w:t>IV bolus</w:t>
      </w:r>
      <w:r>
        <w:t xml:space="preserve"> (en 3-5 min) : pour l'urgence hémorragique (50 µg en bolus) ; (iii) </w:t>
      </w:r>
      <w:r>
        <w:rPr>
          <w:b/>
        </w:rPr>
        <w:t>IV perfusion continue</w:t>
      </w:r>
      <w:r>
        <w:t xml:space="preserve"> : pour l'urgence hémorragique (50 µg/h pendant 3-5 jours) et pour les situations critiques.</w:t>
      </w:r>
    </w:p>
    <w:p>
      <w:pPr>
        <w:pStyle w:val="ListBullet"/>
      </w:pPr>
      <w:r>
        <w:t>Comparaison des marques : Octréotide Bioindustria (générique italien, disponible) ; Sandostatine Novartis (princeps, non renouvelable en Algérie mais importable pour les indications chroniques en IM retard-LAR).</w:t>
      </w:r>
    </w:p>
    <w:p>
      <w:r/>
      <w:r>
        <w:rPr>
          <w:b/>
        </w:rPr>
        <w:t>Instructions et Conseils au Patient :</w:t>
      </w:r>
      <w:r/>
    </w:p>
    <w:p>
      <w:pPr>
        <w:pStyle w:val="ListBullet"/>
      </w:pPr>
      <w:r>
        <w:t>Communication au comptoir : ce médicament est un analogue de la somatostatine utilisé en milieu hospitalier uniquement, par voie injectable. Il agit en réduisant le flux sanguin vers le foie (effet vasoconstricteur splanchnique), ce qui permet de stopper les saignements des varices œsophagiennes en cas de cirrhose. Il est également utilisé pour traiter certaines tumeurs hormonales (acromégalie, tumeurs neuroendocrines) et les fistules digestives. Les principaux effets indésirables sont des troubles digestifs (nausées, diarrhée), une modification de la glycémie (surveillance), une bradycardie (surveillance ECG), et à long terme un risque de lithiase biliaire (surveillance échographique). Ce produit est strictement réservé à l'usage médical hospitalier et n'est pas délivré en pharmacie d'officine sans ordonnance. Les patients acromégales ou porteurs de tumeurs neuroendocrines sous octréotide au long cours doivent être informés des auto-injections SC (technique d'injection, sites alternatifs, conservation au réfrigérateur).</w:t>
      </w:r>
    </w:p>
    <w:p>
      <w:pPr>
        <w:pStyle w:val="ListBullet"/>
      </w:pPr>
      <w:r>
        <w:t>Mode d'utilisation pratique : (i) En milieu hospitalier : par voie IV en perfusion continue à l'aide d'une pompe volumétrique réglée à 25 mL/h (concentration 0,1 mg/mL dans 50 mL de NaCl 0,9 %, soit 50 µg/h). Surveillance continue : scope ECG, tension artérielle, glycémie capillaire toutes les 1-2 heures, diurèse, recherche de signes de récidive hémorragique (hématémèse, méléna, état de choc). (ii) Auto-injections SC à domicile (acromégalie, tumeurs neuroendocrines) : préparer la dose avec l'ampoule à 100 µg/mL (1 mL = 100 µg), utiliser une seringue de 1 mL avec aiguille SC (25-27 G), désinfecter le site d'injection (face antéro-externe cuisse, paroi abdominale, bras), pincer le pli cutané, injecter à 45°, masser légèrement après retrait. Conservation : au réfrigérateur (2-8 °C), ne pas congeler. Sortir l'ampoule 15 minutes avant l'injection pour qu'elle soit à température ambiante.</w:t>
      </w:r>
    </w:p>
    <w:p>
      <w:r/>
      <w:r>
        <w:rPr>
          <w:b/>
        </w:rPr>
        <w:t>Notes, Règles d'Or &amp; Pièges au Comptoir :</w:t>
      </w:r>
      <w:r/>
    </w:p>
    <w:p>
      <w:pPr>
        <w:pStyle w:val="ListBullet"/>
      </w:pPr>
      <w:r>
        <w:t>Piège classique : (i) Administration IV directe (bolus rapide) — risque d'hypotension brutale, de bradycardie, voire d'arrêt cardiaque ; toujours diluer et perfuser lentement (bolus sur 3-5 min) ; (ii) Non-association à l'endoscopie diagnostique et thérapeutique (ligature élastique) — l'octréotide seul est insuffisant, l'endoscopie doit être réalisée dans les 12 heures ; (iii) Non-prescription d'antibiotique prophylactique (céftriaxone IV) — risque accru d'infection bactérienne spontanée du liquide d'ascite (SBP) chez le cirrhotique hémorragique ; (iv) Non-surveillance glycémique — risque d'hypo- ou d'hyperglycémie sévère non détectée ; (v) Usage chronique sans surveillance échographique de la vésicule — risque de lithiase biliaire asymptomatique évolutive ; (vi) Patient sous cyclosporine (greffe) — surveillance quotidienne des taux sanguins de cyclosporine, risque de rejet de greffe ; (vii) Non-prise en charge de l'hypertension portale sous-jacente — l'octréotide est un traitement d'urgence, le traitement de fond de l'hypertension portale (bêta-bloquant, IEC, etc.) doit être discuté ; (viii) Administration SC dans le même site — risque d'atrophie sous-cutanée et de lipodystrophie, alterner les sites.</w:t>
      </w:r>
    </w:p>
    <w:p>
      <w:pPr>
        <w:pStyle w:val="ListBullet"/>
      </w:pPr>
      <w:r>
        <w:t>Règle de prise : bolus IV 50 µg + perfusion IV 50 µg/h pendant 3-5 jours (urgence hémorragique) ; 100 µg SC x 3/jour (acromégalie, tumeurs neuroendocrines) ; 100-200 µg SC x 3/jour (fistules, diarrhées).</w:t>
      </w:r>
    </w:p>
    <w:p>
      <w:pPr>
        <w:pStyle w:val="ListBullet"/>
      </w:pPr>
      <w:r>
        <w:t>Préparation et Conservation : ampoules à conserver au réfrigérateur (2-8 °C), à l'abri de la lumière, ne pas congeler. Après ouverture, l'ampoule doit être utilisée immédiatement (la solution se conserve au réfrigérateur 24 heures maximum après ouverture). La solution diluée pour perfusion IV (dans NaCl 0,9 %) est stable 24 heures à température ambiante.</w:t>
      </w:r>
    </w:p>
    <w:p>
      <w:pPr>
        <w:pStyle w:val="ListBullet"/>
      </w:pPr>
      <w:r>
        <w:t>Piège du surdosage / Substitution : en cas de surdosage aigu (&gt; 1000 µg en 1 heure), risque de bradycardie sévère, hypotension, bloc AV, dépression respiratoire, coma hypoglycémique. Traitement : arrêt immédiat de l'octréotide, surveillance ECG continue, atropine IV si bradycardie symptomatique, perfusion de glucosé si hypoglycémie, ventilation assistée si nécessaire. Substitution possible entre Octréotide Bioindustria et Sandostatine Novartis (équivalents stricts), mais le Sandostatine n'est plus commercialisé en Algérie. Pour les indications chroniques au long cours (acromégalie, tumeurs neuroendocrines), la forme IM retard-LAR (Sandostatine LAR) est préférable (1 injection mensuelle) mais nécessite une importation.</w:t>
      </w:r>
    </w:p>
    <w:p>
      <w:pPr>
        <w:pStyle w:val="Heading2"/>
      </w:pPr>
      <w:r>
        <w:t>Tableau Comparatif Synthétique des 8 DCI</w:t>
      </w:r>
    </w:p>
    <w:p>
      <w:r>
        <w:t>Le tableau ci-dessous résume les éléments pharmacologiques essentiels des huit DCI traitées dans ce chapitre. Il est destiné à un usage synthétique au comptoir ou en consultation, et doit être complété par la lecture détaillée des fiches précédentes pour les situations cliniques particulières.</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Mécanisme d'action principal</w:t>
            </w:r>
          </w:p>
        </w:tc>
        <w:tc>
          <w:tcPr>
            <w:tcW w:type="dxa" w:w="1169"/>
          </w:tcPr>
          <w:p>
            <w:r>
              <w:rPr>
                <w:b/>
                <w:sz w:val="20"/>
              </w:rPr>
              <w:t>Délai d'action</w:t>
            </w:r>
          </w:p>
        </w:tc>
        <w:tc>
          <w:tcPr>
            <w:tcW w:type="dxa" w:w="1169"/>
          </w:tcPr>
          <w:p>
            <w:r>
              <w:rPr>
                <w:b/>
                <w:sz w:val="20"/>
              </w:rPr>
              <w:t>Posologie adulte standard</w:t>
            </w:r>
          </w:p>
        </w:tc>
        <w:tc>
          <w:tcPr>
            <w:tcW w:type="dxa" w:w="1169"/>
          </w:tcPr>
          <w:p>
            <w:r>
              <w:rPr>
                <w:b/>
                <w:sz w:val="20"/>
              </w:rPr>
              <w:t>Effet indésirable majeur</w:t>
            </w:r>
          </w:p>
        </w:tc>
        <w:tc>
          <w:tcPr>
            <w:tcW w:type="dxa" w:w="1169"/>
          </w:tcPr>
          <w:p>
            <w:r>
              <w:rPr>
                <w:b/>
                <w:sz w:val="20"/>
              </w:rPr>
              <w:t>Contre-indication majeure</w:t>
            </w:r>
          </w:p>
        </w:tc>
        <w:tc>
          <w:tcPr>
            <w:tcW w:type="dxa" w:w="1169"/>
          </w:tcPr>
          <w:p>
            <w:r>
              <w:rPr>
                <w:b/>
                <w:sz w:val="20"/>
              </w:rPr>
              <w:t>Grossesse</w:t>
            </w:r>
          </w:p>
        </w:tc>
      </w:tr>
      <w:tr>
        <w:tc>
          <w:tcPr>
            <w:tcW w:type="dxa" w:w="1169"/>
          </w:tcPr>
          <w:p>
            <w:r>
              <w:rPr>
                <w:sz w:val="20"/>
              </w:rPr>
              <w:t>**Acide ursodésoxycholique (AUDC)**</w:t>
            </w:r>
          </w:p>
        </w:tc>
        <w:tc>
          <w:tcPr>
            <w:tcW w:type="dxa" w:w="1169"/>
          </w:tcPr>
          <w:p>
            <w:r>
              <w:rPr>
                <w:sz w:val="20"/>
              </w:rPr>
              <w:t>Acide biliaire litholytique/cholérétique</w:t>
            </w:r>
          </w:p>
        </w:tc>
        <w:tc>
          <w:tcPr>
            <w:tcW w:type="dxa" w:w="1169"/>
          </w:tcPr>
          <w:p>
            <w:r>
              <w:rPr>
                <w:sz w:val="20"/>
              </w:rPr>
              <w:t>Enrichissement pool biliaire en AUDC + inhibition HMG-CoA réductase + cytoprotection cholangio-entérocytaire + immunomodulation</w:t>
            </w:r>
          </w:p>
        </w:tc>
        <w:tc>
          <w:tcPr>
            <w:tcW w:type="dxa" w:w="1169"/>
          </w:tcPr>
          <w:p>
            <w:r>
              <w:rPr>
                <w:sz w:val="20"/>
              </w:rPr>
              <w:t>3-6 mois (litholyse) ; 4-6 sem (CBP)</w:t>
            </w:r>
          </w:p>
        </w:tc>
        <w:tc>
          <w:tcPr>
            <w:tcW w:type="dxa" w:w="1169"/>
          </w:tcPr>
          <w:p>
            <w:r>
              <w:rPr>
                <w:sz w:val="20"/>
              </w:rPr>
              <w:t>10-15 mg/kg/j en 2-3 prises pendant les repas</w:t>
            </w:r>
          </w:p>
        </w:tc>
        <w:tc>
          <w:tcPr>
            <w:tcW w:type="dxa" w:w="1169"/>
          </w:tcPr>
          <w:p>
            <w:r>
              <w:rPr>
                <w:sz w:val="20"/>
              </w:rPr>
              <w:t>Diarrhée, hypertransaminasémie transitoire</w:t>
            </w:r>
          </w:p>
        </w:tc>
        <w:tc>
          <w:tcPr>
            <w:tcW w:type="dxa" w:w="1169"/>
          </w:tcPr>
          <w:p>
            <w:r>
              <w:rPr>
                <w:sz w:val="20"/>
              </w:rPr>
              <w:t>Calculs calcifiés, vésicule non fonctionnelle, obstruction biliaire complète</w:t>
            </w:r>
          </w:p>
        </w:tc>
        <w:tc>
          <w:tcPr>
            <w:tcW w:type="dxa" w:w="1169"/>
          </w:tcPr>
          <w:p>
            <w:r>
              <w:rPr>
                <w:sz w:val="20"/>
              </w:rPr>
              <w:t>Compatible (référence cholestase gravidique)</w:t>
            </w:r>
          </w:p>
        </w:tc>
      </w:tr>
      <w:tr>
        <w:tc>
          <w:tcPr>
            <w:tcW w:type="dxa" w:w="1169"/>
          </w:tcPr>
          <w:p>
            <w:r>
              <w:rPr>
                <w:sz w:val="20"/>
              </w:rPr>
              <w:t>**Ornithine / Arginine aspartate**</w:t>
            </w:r>
          </w:p>
        </w:tc>
        <w:tc>
          <w:tcPr>
            <w:tcW w:type="dxa" w:w="1169"/>
          </w:tcPr>
          <w:p>
            <w:r>
              <w:rPr>
                <w:sz w:val="20"/>
              </w:rPr>
              <w:t>Hépato-protecteur amino-acide métabolique</w:t>
            </w:r>
          </w:p>
        </w:tc>
        <w:tc>
          <w:tcPr>
            <w:tcW w:type="dxa" w:w="1169"/>
          </w:tcPr>
          <w:p>
            <w:r>
              <w:rPr>
                <w:sz w:val="20"/>
              </w:rPr>
              <w:t>Précurseur cycle de l'urée (détoxification NH₃) + précurseur NO endothélial + soutien cycle de Krebs</w:t>
            </w:r>
          </w:p>
        </w:tc>
        <w:tc>
          <w:tcPr>
            <w:tcW w:type="dxa" w:w="1169"/>
          </w:tcPr>
          <w:p>
            <w:r>
              <w:rPr>
                <w:sz w:val="20"/>
              </w:rPr>
              <w:t>30-60 min</w:t>
            </w:r>
          </w:p>
        </w:tc>
        <w:tc>
          <w:tcPr>
            <w:tcW w:type="dxa" w:w="1169"/>
          </w:tcPr>
          <w:p>
            <w:r>
              <w:rPr>
                <w:sz w:val="20"/>
              </w:rPr>
              <w:t>1-2 ampoules/jour (1-2 g/j) diluées dans l'eau</w:t>
            </w:r>
          </w:p>
        </w:tc>
        <w:tc>
          <w:tcPr>
            <w:tcW w:type="dxa" w:w="1169"/>
          </w:tcPr>
          <w:p>
            <w:r>
              <w:rPr>
                <w:sz w:val="20"/>
              </w:rPr>
              <w:t>Troubles digestifs, hypotension, récurrences herpétiques</w:t>
            </w:r>
          </w:p>
        </w:tc>
        <w:tc>
          <w:tcPr>
            <w:tcW w:type="dxa" w:w="1169"/>
          </w:tcPr>
          <w:p>
            <w:r>
              <w:rPr>
                <w:sz w:val="20"/>
              </w:rPr>
              <w:t>Insuffisance rénale sévère, herpès récidivant, post-IDM récent</w:t>
            </w:r>
          </w:p>
        </w:tc>
        <w:tc>
          <w:tcPr>
            <w:tcW w:type="dxa" w:w="1169"/>
          </w:tcPr>
          <w:p>
            <w:r>
              <w:rPr>
                <w:sz w:val="20"/>
              </w:rPr>
              <w:t>À éviter par prudence</w:t>
            </w:r>
          </w:p>
        </w:tc>
      </w:tr>
      <w:tr>
        <w:tc>
          <w:tcPr>
            <w:tcW w:type="dxa" w:w="1169"/>
          </w:tcPr>
          <w:p>
            <w:r>
              <w:rPr>
                <w:sz w:val="20"/>
              </w:rPr>
              <w:t>**Citicoline**</w:t>
            </w:r>
          </w:p>
        </w:tc>
        <w:tc>
          <w:tcPr>
            <w:tcW w:type="dxa" w:w="1169"/>
          </w:tcPr>
          <w:p>
            <w:r>
              <w:rPr>
                <w:sz w:val="20"/>
              </w:rPr>
              <w:t>Hépato-protecteur précurseur membranaire</w:t>
            </w:r>
          </w:p>
        </w:tc>
        <w:tc>
          <w:tcPr>
            <w:tcW w:type="dxa" w:w="1169"/>
          </w:tcPr>
          <w:p>
            <w:r>
              <w:rPr>
                <w:sz w:val="20"/>
              </w:rPr>
              <w:t>Précurseur phosphatidylcholine (voie de Kennedy) + antioxydant + stabilisation mitochondriale</w:t>
            </w:r>
          </w:p>
        </w:tc>
        <w:tc>
          <w:tcPr>
            <w:tcW w:type="dxa" w:w="1169"/>
          </w:tcPr>
          <w:p>
            <w:r>
              <w:rPr>
                <w:sz w:val="20"/>
              </w:rPr>
              <w:t>4-6 sem</w:t>
            </w:r>
          </w:p>
        </w:tc>
        <w:tc>
          <w:tcPr>
            <w:tcW w:type="dxa" w:w="1169"/>
          </w:tcPr>
          <w:p>
            <w:r>
              <w:rPr>
                <w:sz w:val="20"/>
              </w:rPr>
              <w:t>500-1000 mg/jour (5-10 mL sirop) ou 500-1000 mg IM/IV</w:t>
            </w:r>
          </w:p>
        </w:tc>
        <w:tc>
          <w:tcPr>
            <w:tcW w:type="dxa" w:w="1169"/>
          </w:tcPr>
          <w:p>
            <w:r>
              <w:rPr>
                <w:sz w:val="20"/>
              </w:rPr>
              <w:t>Troubles digestifs, insomnie, hypotension, bradycardie</w:t>
            </w:r>
          </w:p>
        </w:tc>
        <w:tc>
          <w:tcPr>
            <w:tcW w:type="dxa" w:w="1169"/>
          </w:tcPr>
          <w:p>
            <w:r>
              <w:rPr>
                <w:sz w:val="20"/>
              </w:rPr>
              <w:t>Hypertension intracrânienne, épilepsie non contrôlée</w:t>
            </w:r>
          </w:p>
        </w:tc>
        <w:tc>
          <w:tcPr>
            <w:tcW w:type="dxa" w:w="1169"/>
          </w:tcPr>
          <w:p>
            <w:r>
              <w:rPr>
                <w:sz w:val="20"/>
              </w:rPr>
              <w:t>À éviter par prudence</w:t>
            </w:r>
          </w:p>
        </w:tc>
      </w:tr>
      <w:tr>
        <w:tc>
          <w:tcPr>
            <w:tcW w:type="dxa" w:w="1169"/>
          </w:tcPr>
          <w:p>
            <w:r>
              <w:rPr>
                <w:sz w:val="20"/>
              </w:rPr>
              <w:t>**Pancréatine**</w:t>
            </w:r>
          </w:p>
        </w:tc>
        <w:tc>
          <w:tcPr>
            <w:tcW w:type="dxa" w:w="1169"/>
          </w:tcPr>
          <w:p>
            <w:r>
              <w:rPr>
                <w:sz w:val="20"/>
              </w:rPr>
              <w:t>Enzyme digestive substitutive (lipase, amylase, protéases)</w:t>
            </w:r>
          </w:p>
        </w:tc>
        <w:tc>
          <w:tcPr>
            <w:tcW w:type="dxa" w:w="1169"/>
          </w:tcPr>
          <w:p>
            <w:r>
              <w:rPr>
                <w:sz w:val="20"/>
              </w:rPr>
              <w:t>Hydrolyse luminale des triglycérides (lipase), amidon (amylase), protéines (trypsine, chymotrypsine) ; action luminale pure</w:t>
            </w:r>
          </w:p>
        </w:tc>
        <w:tc>
          <w:tcPr>
            <w:tcW w:type="dxa" w:w="1169"/>
          </w:tcPr>
          <w:p>
            <w:r>
              <w:rPr>
                <w:sz w:val="20"/>
              </w:rPr>
              <w:t>Immédiat (pendant le repas)</w:t>
            </w:r>
          </w:p>
        </w:tc>
        <w:tc>
          <w:tcPr>
            <w:tcW w:type="dxa" w:w="1169"/>
          </w:tcPr>
          <w:p>
            <w:r>
              <w:rPr>
                <w:sz w:val="20"/>
              </w:rPr>
              <w:t>25 000-40 000 UI lipase/repas principal ; 10 000-25 000 UI/collation</w:t>
            </w:r>
          </w:p>
        </w:tc>
        <w:tc>
          <w:tcPr>
            <w:tcW w:type="dxa" w:w="1169"/>
          </w:tcPr>
          <w:p>
            <w:r>
              <w:rPr>
                <w:sz w:val="20"/>
              </w:rPr>
              <w:t>Sténose colique (enfant mucoviscidosique à haute dose), allergie, hyperuricurie</w:t>
            </w:r>
          </w:p>
        </w:tc>
        <w:tc>
          <w:tcPr>
            <w:tcW w:type="dxa" w:w="1169"/>
          </w:tcPr>
          <w:p>
            <w:r>
              <w:rPr>
                <w:sz w:val="20"/>
              </w:rPr>
              <w:t>Pancréatite aiguë, occlusion intestinale, enfant &lt; 6 ans pour forme 25 000 UI</w:t>
            </w:r>
          </w:p>
        </w:tc>
        <w:tc>
          <w:tcPr>
            <w:tcW w:type="dxa" w:w="1169"/>
          </w:tcPr>
          <w:p>
            <w:r>
              <w:rPr>
                <w:sz w:val="20"/>
              </w:rPr>
              <w:t>Compatible</w:t>
            </w:r>
          </w:p>
        </w:tc>
      </w:tr>
      <w:tr>
        <w:tc>
          <w:tcPr>
            <w:tcW w:type="dxa" w:w="1169"/>
          </w:tcPr>
          <w:p>
            <w:r>
              <w:rPr>
                <w:sz w:val="20"/>
              </w:rPr>
              <w:t>**Polyenzymes (α-amylase, chymotrypsine)**</w:t>
            </w:r>
          </w:p>
        </w:tc>
        <w:tc>
          <w:tcPr>
            <w:tcW w:type="dxa" w:w="1169"/>
          </w:tcPr>
          <w:p>
            <w:r>
              <w:rPr>
                <w:sz w:val="20"/>
              </w:rPr>
              <w:t>Enzyme digestive polyenzyme</w:t>
            </w:r>
          </w:p>
        </w:tc>
        <w:tc>
          <w:tcPr>
            <w:tcW w:type="dxa" w:w="1169"/>
          </w:tcPr>
          <w:p>
            <w:r>
              <w:rPr>
                <w:sz w:val="20"/>
              </w:rPr>
              <w:t>Hydrolyse mucines bronchiques (amylase, mucolytique) + protéolyse anti-inflammatoire (chymotrypsine IM)</w:t>
            </w:r>
          </w:p>
        </w:tc>
        <w:tc>
          <w:tcPr>
            <w:tcW w:type="dxa" w:w="1169"/>
          </w:tcPr>
          <w:p>
            <w:r>
              <w:rPr>
                <w:sz w:val="20"/>
              </w:rPr>
              <w:t>30-60 min (sirop) ; 24-48 h (chymotrypsine IM)</w:t>
            </w:r>
          </w:p>
        </w:tc>
        <w:tc>
          <w:tcPr>
            <w:tcW w:type="dxa" w:w="1169"/>
          </w:tcPr>
          <w:p>
            <w:r>
              <w:rPr>
                <w:sz w:val="20"/>
              </w:rPr>
              <w:t>α-amylase : 1-2 c. à soupe/jour sirop ; chymotrypsine : 5 mg IM/jour</w:t>
            </w:r>
          </w:p>
        </w:tc>
        <w:tc>
          <w:tcPr>
            <w:tcW w:type="dxa" w:w="1169"/>
          </w:tcPr>
          <w:p>
            <w:r>
              <w:rPr>
                <w:sz w:val="20"/>
              </w:rPr>
              <w:t>Troubles digestifs, allergie (Aspergillus), bronchospasme</w:t>
            </w:r>
          </w:p>
        </w:tc>
        <w:tc>
          <w:tcPr>
            <w:tcW w:type="dxa" w:w="1169"/>
          </w:tcPr>
          <w:p>
            <w:r>
              <w:rPr>
                <w:sz w:val="20"/>
              </w:rPr>
              <w:t>Allergie Aspergillus, mucoviscidose (préférer pancréatine)</w:t>
            </w:r>
          </w:p>
        </w:tc>
        <w:tc>
          <w:tcPr>
            <w:tcW w:type="dxa" w:w="1169"/>
          </w:tcPr>
          <w:p>
            <w:r>
              <w:rPr>
                <w:sz w:val="20"/>
              </w:rPr>
              <w:t>À éviter par prudence</w:t>
            </w:r>
          </w:p>
        </w:tc>
      </w:tr>
      <w:tr>
        <w:tc>
          <w:tcPr>
            <w:tcW w:type="dxa" w:w="1169"/>
          </w:tcPr>
          <w:p>
            <w:r>
              <w:rPr>
                <w:sz w:val="20"/>
              </w:rPr>
              <w:t>**Diosmine + Hespéridine (Daflon)**</w:t>
            </w:r>
          </w:p>
        </w:tc>
        <w:tc>
          <w:tcPr>
            <w:tcW w:type="dxa" w:w="1169"/>
          </w:tcPr>
          <w:p>
            <w:r>
              <w:rPr>
                <w:sz w:val="20"/>
              </w:rPr>
              <w:t>Veno-actif flavonoïque (FFPM)</w:t>
            </w:r>
          </w:p>
        </w:tc>
        <w:tc>
          <w:tcPr>
            <w:tcW w:type="dxa" w:w="1169"/>
          </w:tcPr>
          <w:p>
            <w:r>
              <w:rPr>
                <w:sz w:val="20"/>
              </w:rPr>
              <w:t>↑ tonus veineux (noradrénaline) + ↓ perméabilité capillaire + ↑ drainage lymphatique + antioxydant + anti-inflammatoire</w:t>
            </w:r>
          </w:p>
        </w:tc>
        <w:tc>
          <w:tcPr>
            <w:tcW w:type="dxa" w:w="1169"/>
          </w:tcPr>
          <w:p>
            <w:r>
              <w:rPr>
                <w:sz w:val="20"/>
              </w:rPr>
              <w:t>6 h (pic) ; 12 h (durée d'action)</w:t>
            </w:r>
          </w:p>
        </w:tc>
        <w:tc>
          <w:tcPr>
            <w:tcW w:type="dxa" w:w="1169"/>
          </w:tcPr>
          <w:p>
            <w:r>
              <w:rPr>
                <w:sz w:val="20"/>
              </w:rPr>
              <w:t>1000 mg/jour (IVC) ; 6 cp 500 mg/j x 4 j puis 4 cp/j x 3 j (crise hémorroïdaire)</w:t>
            </w:r>
          </w:p>
        </w:tc>
        <w:tc>
          <w:tcPr>
            <w:tcW w:type="dxa" w:w="1169"/>
          </w:tcPr>
          <w:p>
            <w:r>
              <w:rPr>
                <w:sz w:val="20"/>
              </w:rPr>
              <w:t>Troubles digestifs, céphalées, allergic reactions</w:t>
            </w:r>
          </w:p>
        </w:tc>
        <w:tc>
          <w:tcPr>
            <w:tcW w:type="dxa" w:w="1169"/>
          </w:tcPr>
          <w:p>
            <w:r>
              <w:rPr>
                <w:sz w:val="20"/>
              </w:rPr>
              <w:t>Thrombose veineuse profonde aiguë, IVC sévère avec ulceration</w:t>
            </w:r>
          </w:p>
        </w:tc>
        <w:tc>
          <w:tcPr>
            <w:tcW w:type="dxa" w:w="1169"/>
          </w:tcPr>
          <w:p>
            <w:r>
              <w:rPr>
                <w:sz w:val="20"/>
              </w:rPr>
              <w:t>Compatible à partir du 2e trimestre</w:t>
            </w:r>
          </w:p>
        </w:tc>
      </w:tr>
      <w:tr>
        <w:tc>
          <w:tcPr>
            <w:tcW w:type="dxa" w:w="1169"/>
          </w:tcPr>
          <w:p>
            <w:r>
              <w:rPr>
                <w:sz w:val="20"/>
              </w:rPr>
              <w:t>**Tribénoside + Lidocaïne (Proctolon Neo)**</w:t>
            </w:r>
          </w:p>
        </w:tc>
        <w:tc>
          <w:tcPr>
            <w:tcW w:type="dxa" w:w="1169"/>
          </w:tcPr>
          <w:p>
            <w:r>
              <w:rPr>
                <w:sz w:val="20"/>
              </w:rPr>
              <w:t>Veno-actif en association hémorroïdaire</w:t>
            </w:r>
          </w:p>
        </w:tc>
        <w:tc>
          <w:tcPr>
            <w:tcW w:type="dxa" w:w="1169"/>
          </w:tcPr>
          <w:p>
            <w:r>
              <w:rPr>
                <w:sz w:val="20"/>
              </w:rPr>
              <w:t>Tribénoside : ↑ tonus veineux + anti-inflammatoire ; Lidocaïne : blocage canaux Na⁺ (anesthésie locale)</w:t>
            </w:r>
          </w:p>
        </w:tc>
        <w:tc>
          <w:tcPr>
            <w:tcW w:type="dxa" w:w="1169"/>
          </w:tcPr>
          <w:p>
            <w:r>
              <w:rPr>
                <w:sz w:val="20"/>
              </w:rPr>
              <w:t>10-15 min (lidocaïne) ; 4-6 h (tribénoside)</w:t>
            </w:r>
          </w:p>
        </w:tc>
        <w:tc>
          <w:tcPr>
            <w:tcW w:type="dxa" w:w="1169"/>
          </w:tcPr>
          <w:p>
            <w:r>
              <w:rPr>
                <w:sz w:val="20"/>
              </w:rPr>
              <w:t>1 suppositoire matin et soir pendant 7-10 jours</w:t>
            </w:r>
          </w:p>
        </w:tc>
        <w:tc>
          <w:tcPr>
            <w:tcW w:type="dxa" w:w="1169"/>
          </w:tcPr>
          <w:p>
            <w:r>
              <w:rPr>
                <w:sz w:val="20"/>
              </w:rPr>
              <w:t>Brûlure transitoire, prurit, toxicité systémique lidocaïne si surdosage</w:t>
            </w:r>
          </w:p>
        </w:tc>
        <w:tc>
          <w:tcPr>
            <w:tcW w:type="dxa" w:w="1169"/>
          </w:tcPr>
          <w:p>
            <w:r>
              <w:rPr>
                <w:sz w:val="20"/>
              </w:rPr>
              <w:t>Thrombose hémorroïdaire externe, abscès périanal, insuffisance hépatique sévère</w:t>
            </w:r>
          </w:p>
        </w:tc>
        <w:tc>
          <w:tcPr>
            <w:tcW w:type="dxa" w:w="1169"/>
          </w:tcPr>
          <w:p>
            <w:r>
              <w:rPr>
                <w:sz w:val="20"/>
              </w:rPr>
              <w:t>Compatible avec prudence (2e-3e trimestres)</w:t>
            </w:r>
          </w:p>
        </w:tc>
      </w:tr>
      <w:tr>
        <w:tc>
          <w:tcPr>
            <w:tcW w:type="dxa" w:w="1169"/>
          </w:tcPr>
          <w:p>
            <w:r>
              <w:rPr>
                <w:sz w:val="20"/>
              </w:rPr>
              <w:t>**Octréotide**</w:t>
            </w:r>
          </w:p>
        </w:tc>
        <w:tc>
          <w:tcPr>
            <w:tcW w:type="dxa" w:w="1169"/>
          </w:tcPr>
          <w:p>
            <w:r>
              <w:rPr>
                <w:sz w:val="20"/>
              </w:rPr>
              <w:t>Analogue somatostatine (urgence GE)</w:t>
            </w:r>
          </w:p>
        </w:tc>
        <w:tc>
          <w:tcPr>
            <w:tcW w:type="dxa" w:w="1169"/>
          </w:tcPr>
          <w:p>
            <w:r>
              <w:rPr>
                <w:sz w:val="20"/>
              </w:rPr>
              <w:t>Vasoconstriction splanchnique (↓ glucagon, VIP) + inhibition sécrétions GEP + inhibition motilité intestinale</w:t>
            </w:r>
          </w:p>
        </w:tc>
        <w:tc>
          <w:tcPr>
            <w:tcW w:type="dxa" w:w="1169"/>
          </w:tcPr>
          <w:p>
            <w:r>
              <w:rPr>
                <w:sz w:val="20"/>
              </w:rPr>
              <w:t>30 min (SC) ; immédiat (IV bolus)</w:t>
            </w:r>
          </w:p>
        </w:tc>
        <w:tc>
          <w:tcPr>
            <w:tcW w:type="dxa" w:w="1169"/>
          </w:tcPr>
          <w:p>
            <w:r>
              <w:rPr>
                <w:sz w:val="20"/>
              </w:rPr>
              <w:t>Hémorragie varices : bolus 50 µg IV + perfusion 50 µg/h x 3-5 j ; Acromégalie : 100 µg SC x 3/j</w:t>
            </w:r>
          </w:p>
        </w:tc>
        <w:tc>
          <w:tcPr>
            <w:tcW w:type="dxa" w:w="1169"/>
          </w:tcPr>
          <w:p>
            <w:r>
              <w:rPr>
                <w:sz w:val="20"/>
              </w:rPr>
              <w:t>Troubles digestifs, bradycardie, lithiase biliaire, hypoglycémie/hyperglycémie, pancréatite</w:t>
            </w:r>
          </w:p>
        </w:tc>
        <w:tc>
          <w:tcPr>
            <w:tcW w:type="dxa" w:w="1169"/>
          </w:tcPr>
          <w:p>
            <w:r>
              <w:rPr>
                <w:sz w:val="20"/>
              </w:rPr>
              <w:t>Chirurgie biliaire récente, diabète déséquilibré, hypothyroïdie non traitée</w:t>
            </w:r>
          </w:p>
        </w:tc>
        <w:tc>
          <w:tcPr>
            <w:tcW w:type="dxa" w:w="1169"/>
          </w:tcPr>
          <w:p>
            <w:r>
              <w:rPr>
                <w:sz w:val="20"/>
              </w:rPr>
              <w:t>À éviter par prudence (sauf urgence vitale)</w:t>
            </w:r>
          </w:p>
        </w:tc>
      </w:tr>
    </w:tbl>
    <w:p/>
    <w:p>
      <w:pPr>
        <w:pStyle w:val="Heading2"/>
      </w:pPr>
      <w:r>
        <w:t>Récapitulatif des indications privilégiées par situation clinique</w:t>
      </w:r>
    </w:p>
    <w:p>
      <w:pPr>
        <w:pStyle w:val="Heading3"/>
      </w:pPr>
      <w:r>
        <w:t>Pathologies hépatiques et biliaires</w:t>
      </w:r>
    </w:p>
    <w:p>
      <w:pPr>
        <w:pStyle w:val="ListBullet"/>
      </w:pPr>
      <w:r/>
      <w:r>
        <w:rPr>
          <w:b/>
        </w:rPr>
        <w:t>Lithiase biliaire cholestérolique asymptomatique</w:t>
      </w:r>
      <w:r>
        <w:t xml:space="preserve"> : pas de traitement pharmacologique (cholécystectomie seulement si symptomatique). AUDC non indiqué en cas de vésicule non fonctionnelle ou de calculs calcifiés.</w:t>
      </w:r>
    </w:p>
    <w:p>
      <w:pPr>
        <w:pStyle w:val="ListBullet"/>
      </w:pPr>
      <w:r/>
      <w:r>
        <w:rPr>
          <w:b/>
        </w:rPr>
        <w:t>Lithiase biliaire cholestérolique symptomatique (coliques biliaires récidivantes), refus de chirugie</w:t>
      </w:r>
      <w:r>
        <w:t xml:space="preserve"> : AUDC 10-15 mg/kg/j pendant 6-24 mois (calculs radiotransparents &lt; 15 mm).</w:t>
      </w:r>
    </w:p>
    <w:p>
      <w:pPr>
        <w:pStyle w:val="ListBullet"/>
      </w:pPr>
      <w:r/>
      <w:r>
        <w:rPr>
          <w:b/>
        </w:rPr>
        <w:t>Cholangite biliaire primitive (CBP)</w:t>
      </w:r>
      <w:r>
        <w:t xml:space="preserve"> : AUDC 13-15 mg/kg/j à vie (seul traitement démontrant une efficacité sur la mortalité et la transplantation).</w:t>
      </w:r>
    </w:p>
    <w:p>
      <w:pPr>
        <w:pStyle w:val="ListBullet"/>
      </w:pPr>
      <w:r/>
      <w:r>
        <w:rPr>
          <w:b/>
        </w:rPr>
        <w:t>Cholangite sclérosante primitive (CSP)</w:t>
      </w:r>
      <w:r>
        <w:t xml:space="preserve"> : AUDC en association à d'autres traitements (efficacité modeste).</w:t>
      </w:r>
    </w:p>
    <w:p>
      <w:pPr>
        <w:pStyle w:val="ListBullet"/>
      </w:pPr>
      <w:r/>
      <w:r>
        <w:rPr>
          <w:b/>
        </w:rPr>
        <w:t>Cholestase gravidique intra-hépatique (CGIH)</w:t>
      </w:r>
      <w:r>
        <w:t xml:space="preserve"> : AUDC 10-15 mg/kg/j (molécule de choix selon CRAT).</w:t>
      </w:r>
    </w:p>
    <w:p>
      <w:pPr>
        <w:pStyle w:val="ListBullet"/>
      </w:pPr>
      <w:r/>
      <w:r>
        <w:rPr>
          <w:b/>
        </w:rPr>
        <w:t>Hépatite chronique médicamenteuse ou alcoolique</w:t>
      </w:r>
      <w:r>
        <w:t xml:space="preserve"> : Citicoline 500-1000 mg/j en adjuvant pendant 2-3 mois.</w:t>
      </w:r>
    </w:p>
    <w:p>
      <w:pPr>
        <w:pStyle w:val="ListBullet"/>
      </w:pPr>
      <w:r/>
      <w:r>
        <w:rPr>
          <w:b/>
        </w:rPr>
        <w:t>Encéphalopathie hépatique débutante (cirrhose Child-Pugh A-B)</w:t>
      </w:r>
      <w:r>
        <w:t xml:space="preserve"> : Lactulose (référence) + Arginine aspartate (adjuvant).</w:t>
      </w:r>
    </w:p>
    <w:p>
      <w:pPr>
        <w:pStyle w:val="ListBullet"/>
      </w:pPr>
      <w:r/>
      <w:r>
        <w:rPr>
          <w:b/>
        </w:rPr>
        <w:t>Stéatose hépatique métabolique (NASH/NAFLD)</w:t>
      </w:r>
      <w:r>
        <w:t xml:space="preserve"> : perte de poids, exercice physique, AUDC discuté, Citicoline en adjuvant.</w:t>
      </w:r>
    </w:p>
    <w:p>
      <w:pPr>
        <w:pStyle w:val="Heading3"/>
      </w:pPr>
      <w:r>
        <w:t>Insuffisance pancréatique exocrine</w:t>
      </w:r>
    </w:p>
    <w:p>
      <w:pPr>
        <w:pStyle w:val="ListBullet"/>
      </w:pPr>
      <w:r/>
      <w:r>
        <w:rPr>
          <w:b/>
        </w:rPr>
        <w:t>Mucoviscidose</w:t>
      </w:r>
      <w:r>
        <w:t xml:space="preserve"> : Pancréatine (Creon 10 000 ou 25 000) à vie, dose adaptée au poids et au contenu des repas (1 000-2 500 UI lipase/kg/repas, max 10 000 UI/kg/j).</w:t>
      </w:r>
    </w:p>
    <w:p>
      <w:pPr>
        <w:pStyle w:val="ListBullet"/>
      </w:pPr>
      <w:r/>
      <w:r>
        <w:rPr>
          <w:b/>
        </w:rPr>
        <w:t>Pancréatite chronique calcifiante (alcoolique)</w:t>
      </w:r>
      <w:r>
        <w:t xml:space="preserve"> : Pancréatine à vie, dose adaptée, association IPP si pH gastrique très acide.</w:t>
      </w:r>
    </w:p>
    <w:p>
      <w:pPr>
        <w:pStyle w:val="ListBullet"/>
      </w:pPr>
      <w:r/>
      <w:r>
        <w:rPr>
          <w:b/>
        </w:rPr>
        <w:t>Post-chirurgie pancréatique (Whipple, pancréatectomie)</w:t>
      </w:r>
      <w:r>
        <w:t xml:space="preserve"> : Pancréatine à vie, dose adaptée.</w:t>
      </w:r>
    </w:p>
    <w:p>
      <w:pPr>
        <w:pStyle w:val="ListBullet"/>
      </w:pPr>
      <w:r/>
      <w:r>
        <w:rPr>
          <w:b/>
        </w:rPr>
        <w:t>Cancer du pancréas obstructif</w:t>
      </w:r>
      <w:r>
        <w:t xml:space="preserve"> : Pancréatine selon les symptômes.</w:t>
      </w:r>
    </w:p>
    <w:p>
      <w:pPr>
        <w:pStyle w:val="Heading3"/>
      </w:pPr>
      <w:r>
        <w:t>Pathologies veineuses et hémorroïdaires</w:t>
      </w:r>
    </w:p>
    <w:p>
      <w:pPr>
        <w:pStyle w:val="ListBullet"/>
      </w:pPr>
      <w:r/>
      <w:r>
        <w:rPr>
          <w:b/>
        </w:rPr>
        <w:t>Insuffisance veineuse chronique modérée</w:t>
      </w:r>
      <w:r>
        <w:t xml:space="preserve"> : FFPM (Daflon 1000 mg/j) + mesures hygiéno-diététiques + compression médicale.</w:t>
      </w:r>
    </w:p>
    <w:p>
      <w:pPr>
        <w:pStyle w:val="ListBullet"/>
      </w:pPr>
      <w:r/>
      <w:r>
        <w:rPr>
          <w:b/>
        </w:rPr>
        <w:t>IVC sévère avec ulceration</w:t>
      </w:r>
      <w:r>
        <w:t xml:space="preserve"> : FFPM + compression + soins locaux + avis chirurgical.</w:t>
      </w:r>
    </w:p>
    <w:p>
      <w:pPr>
        <w:pStyle w:val="ListBullet"/>
      </w:pPr>
      <w:r/>
      <w:r>
        <w:rPr>
          <w:b/>
        </w:rPr>
        <w:t>Crise hémorroïdaire aiguë</w:t>
      </w:r>
      <w:r>
        <w:t xml:space="preserve"> : FFPM 6 cp 500 mg/j x 4 jours puis 4 cp/j x 3 jours + Proctolon Neo suppositoire (tribénoside + lidocaïne) 1-2/jour + mesures hygiéno-diététiques.</w:t>
      </w:r>
    </w:p>
    <w:p>
      <w:pPr>
        <w:pStyle w:val="ListBullet"/>
      </w:pPr>
      <w:r/>
      <w:r>
        <w:rPr>
          <w:b/>
        </w:rPr>
        <w:t>Maladie hémorroïdaire chronique</w:t>
      </w:r>
      <w:r>
        <w:t xml:space="preserve"> : FFPM 1 cp 1000 mg/j en entretien + suppositoires à la demande.</w:t>
      </w:r>
    </w:p>
    <w:p>
      <w:pPr>
        <w:pStyle w:val="ListBullet"/>
      </w:pPr>
      <w:r/>
      <w:r>
        <w:rPr>
          <w:b/>
        </w:rPr>
        <w:t>Hémorroïdes gravidiques</w:t>
      </w:r>
      <w:r>
        <w:t xml:space="preserve"> : FFPM 500 mg x 2/jour à partir du 2e trimestre + Proctolon Neo suppositoire ± Procto-Glyvenol.</w:t>
      </w:r>
    </w:p>
    <w:p>
      <w:pPr>
        <w:pStyle w:val="Heading3"/>
      </w:pPr>
      <w:r>
        <w:t>Urgence hémorragique digestive (varices œsophagiennes)</w:t>
      </w:r>
    </w:p>
    <w:p>
      <w:pPr>
        <w:pStyle w:val="ListBullet"/>
      </w:pPr>
      <w:r/>
      <w:r>
        <w:rPr>
          <w:b/>
        </w:rPr>
        <w:t>Hémorragie active par rupture de varices</w:t>
      </w:r>
      <w:r>
        <w:t xml:space="preserve"> : Octréotide bolus 50 µg IV + perfusion 50 µg/h pendant 3-5 jours + endoscopie urgente (ligature élastique) + antibiothérapie prophylactique (céftriaxone IV) + traitement de fond de l'hypertension portale (bêta-bloquant non sélectif : propranolol, nadolol, carvédilol).</w:t>
      </w:r>
    </w:p>
    <w:p>
      <w:pPr>
        <w:pStyle w:val="ListBullet"/>
      </w:pPr>
      <w:r/>
      <w:r>
        <w:rPr>
          <w:b/>
        </w:rPr>
        <w:t>Prévention secondaire</w:t>
      </w:r>
      <w:r>
        <w:t xml:space="preserve"> : bêta-bloquant non sélectif ou ligature élastique prophylactique.</w:t>
      </w:r>
    </w:p>
    <w:p>
      <w:pPr>
        <w:pStyle w:val="Heading2"/>
      </w:pPr>
      <w:r>
        <w:t>Points clés pour la pratique au comptoir</w:t>
      </w:r>
    </w:p>
    <w:p>
      <w:pPr>
        <w:pStyle w:val="ListNumber"/>
      </w:pPr>
      <w:r/>
      <w:r>
        <w:rPr>
          <w:b/>
        </w:rPr>
        <w:t>Toujours vérifier l'indication et les contre-indications de l'AUDC</w:t>
      </w:r>
      <w:r>
        <w:t xml:space="preserve"> : la litholyse ne concerne que les calculs cholestéroliques radiotransparents &lt; 15 mm avec vésicule fonctionnelle. Les calculs calcifiés, pigmentaires, ou de grande taille nécessitent la chirurgie. La CBP est l'indication où l'AUDC démontre la meilleure efficacité (prescription à vie). La cholestase gravidique est une indication urgente ( Compatible avec la grossesse, AUDC = molécule de référence).</w:t>
      </w:r>
    </w:p>
    <w:p>
      <w:pPr>
        <w:pStyle w:val="ListNumber"/>
      </w:pPr>
      <w:r/>
      <w:r>
        <w:rPr>
          <w:b/>
        </w:rPr>
        <w:t>Pancréatine : ne pas confondre avec les polyenzymes</w:t>
      </w:r>
      <w:r>
        <w:t xml:space="preserve"> : la pancréatine gastro-résistante (Creon) est le seul traitement de l'insuffisance pancréatique exocrine vraie (mucoviscidose, pancréatite chronique, post-chirurgical). Les polyenzymes (alpha-amylase en sirop, Maxilase) sont utilisés comme mucolytiques dans les toux grasses, sans réelle efficacité prouvée et sans aucune place dans l'insuffisance pancréatique exocrine.</w:t>
      </w:r>
    </w:p>
    <w:p>
      <w:pPr>
        <w:pStyle w:val="ListNumber"/>
      </w:pPr>
      <w:r/>
      <w:r>
        <w:rPr>
          <w:b/>
        </w:rPr>
        <w:t>Pancréatine : prise pendant les repas obligatoire</w:t>
      </w:r>
      <w:r>
        <w:t xml:space="preserve"> : la prise avant ou après les repas est un échec thérapeutique. Les gélules peuvent être ouvertes et les microgranules mélangés à une compote de pomme ou un yaourt chez l'enfant. Ne jamais écraser ni croquer les microgranules (destruction de la gastro-résistance). Dose maximale : 10 000 UI lipase/kg/jour (risque de sténose colique chez l'enfant mucoviscidosique).</w:t>
      </w:r>
    </w:p>
    <w:p>
      <w:pPr>
        <w:pStyle w:val="ListNumber"/>
      </w:pPr>
      <w:r/>
      <w:r>
        <w:rPr>
          <w:b/>
        </w:rPr>
        <w:t>Daflon (FFPM) : respecter la dose d'attaque en crise hémorroïdaire</w:t>
      </w:r>
      <w:r>
        <w:t xml:space="preserve"> : 6 cp 500 mg/jour (3 matin + 3 soir) pendant 4 jours, puis 4 cp/jour (2 matin + 2 soir) pendant 3 jours. La dose insuffisante est un échec thérapeutique. En entretien : 1 cp 1000 mg/jour ou 2 cp 500 mg/jour. Compatible avec la grossesse à partir du 2e trimestre.</w:t>
      </w:r>
    </w:p>
    <w:p>
      <w:pPr>
        <w:pStyle w:val="ListNumber"/>
      </w:pPr>
      <w:r/>
      <w:r>
        <w:rPr>
          <w:b/>
        </w:rPr>
        <w:t>Octréotide : urgence hospitalière</w:t>
      </w:r>
      <w:r>
        <w:t xml:space="preserve"> : l'octréotide n'est pas délivré en pharmacie d'officina pour l'urgence hémorragique. Son utilisation est strictement hospitalière. Le pharmacien peut néanmoins délivrer l'octréotide SC (Octréotide Bioindustria 100 µg/mL) pour les indications chroniques (acromégalie, tumeurs neuroendocrines) sur ordonnance spécialisée. Surveillance glycémique, échographique vésiculaire, et thyroïdienne indispensable.</w:t>
      </w:r>
    </w:p>
    <w:p>
      <w:pPr>
        <w:pStyle w:val="ListNumber"/>
      </w:pPr>
      <w:r/>
      <w:r>
        <w:rPr>
          <w:b/>
        </w:rPr>
        <w:t>Citicoline : précautions d'usage</w:t>
      </w:r>
      <w:r>
        <w:t xml:space="preserve"> : prise le matin ou à midi (éviter le soir en raison de l'effet stimulant cholinergique = insomnie). Ne pas confondre solution buvable et solution injectable (la forme injectable ne se prend pas par voie orale). Compatible avec les hépatopathies chroniques en adjuvant, mais n'est pas un traitement de fond.</w:t>
      </w:r>
    </w:p>
    <w:p>
      <w:pPr>
        <w:pStyle w:val="ListNumber"/>
      </w:pPr>
      <w:r/>
      <w:r>
        <w:rPr>
          <w:b/>
        </w:rPr>
        <w:t>Arginine aspartate : prudence chez le patient herpétique</w:t>
      </w:r>
      <w:r>
        <w:t xml:space="preserve"> : l'arginine favorise la réplication du virus herpes simplex (HSV-1 et HSV-2). Chez le patient ayant des récurrences herpétiques fréquentes (≥ 6 épisodes/an), éviter l'arginine aspartate ou associer de la L-lysine. Prudence également chez le patient sous antihypertenseur (effet additif) ou sous inhibiteur de la PDE-5 (sildénafil).</w:t>
      </w:r>
    </w:p>
    <w:p>
      <w:pPr>
        <w:pStyle w:val="ListNumber"/>
      </w:pPr>
      <w:r/>
      <w:r>
        <w:rPr>
          <w:b/>
        </w:rPr>
        <w:t>Proctolon Neo (tribénoside + lidocaïne) : limitation à 7-10 jours</w:t>
      </w:r>
      <w:r>
        <w:t xml:space="preserve"> : tout saignement anal abondant, toute douleur insupportable avec tuméfaction bleutée (thrombose hémorroïdaire externe), toute fièvre, doivent faire orienter le patient en consultation proctologique sans prolonger le traitement local. Le risque de masquer une pathologie sous-jacente (fissure chronique, fistule, tumeur rectale) est réel.</w:t>
      </w:r>
    </w:p>
    <w:p>
      <w:pPr>
        <w:pStyle w:val="ListNumber"/>
      </w:pPr>
      <w:r/>
      <w:r>
        <w:rPr>
          <w:b/>
        </w:rPr>
        <w:t>Grossesse et allaitement</w:t>
      </w:r>
      <w:r>
        <w:t xml:space="preserve"> : les compatibles (CRAT) sont l'AUDC (référence cholestase gravidique), la FFPM (Daflon, à partir du 2e trimestre pour hémorroïdes gravidiques), la pancréatine (pour IPE), le tribénoside + lidocaïne (avec prudence). À éviter par prudence : arginine aspartate, citicoline, alpha-amylase, octréotide (sauf urgence vitale).</w:t>
      </w:r>
    </w:p>
    <w:p>
      <w:pPr>
        <w:pStyle w:val="ListNumber"/>
      </w:pPr>
      <w:r/>
      <w:r>
        <w:rPr>
          <w:b/>
        </w:rPr>
        <w:t>Collaboration pharmacien-médecin-patient</w:t>
      </w:r>
      <w:r>
        <w:t xml:space="preserve"> : la plupart de ces molécules nécessitent une surveillance biologique régulière (AUDC : transaminases tous les 3-6 mois ; pancréatine : coefficient d'absorption des graisses ; octréotide : glycémie, échographie vésiculaire, thyroïde ; FFPM : tolérance digestive). Le pharmacien d'officina joue un rôle clé dans l'éducation thérapeutique, l'observance, et la détection des effets indésirables.</w:t>
      </w:r>
    </w:p>
    <w:p>
      <w:pPr>
        <w:pStyle w:val="Heading2"/>
      </w:pPr>
      <w:r>
        <w:t>Conclusion du chapitre</w:t>
      </w:r>
    </w:p>
    <w:p>
      <w:r>
        <w:t>Les hépato-protecteurs, acides biliaires, enzymes digestives et véno-actifs constituent un ensemble hétérogène de médicaments essentiels à la pharmacie clinique algérienne. Leur maîtrise pharmacologique permet au pharmacien d'officina et au médecin de proposer une prise en charge graduée et personnalisée des pathologies hépatobiliaires, pancréatiques exocrines, veineuses, et des urgences hémorragiques digestives. L'</w:t>
      </w:r>
      <w:r>
        <w:rPr>
          <w:b/>
        </w:rPr>
        <w:t>acide ursodésoxycholique</w:t>
      </w:r>
      <w:r>
        <w:t xml:space="preserve"> reste la pierre angulaire du traitement de la cholangite biliaire primitive et de la cholestase gravidique, avec un niveau de preuve élevé (EASL, CRAT). La </w:t>
      </w:r>
      <w:r>
        <w:rPr>
          <w:b/>
        </w:rPr>
        <w:t>pancréatine</w:t>
      </w:r>
      <w:r>
        <w:t xml:space="preserve"> gastro-résistante (Creon) est irremplaçable dans l'insuffisance pancréatique exocrine de la mucoviscidose et de la pancréatite chronique, à condition de respecter strictement les règles de prise (pendant les repas, ne pas écraser) et de surveillance (dose maximale 10 000 UI/kg/j chez l'enfant). Le </w:t>
      </w:r>
      <w:r>
        <w:rPr>
          <w:b/>
        </w:rPr>
        <w:t>Daflon</w:t>
      </w:r>
      <w:r>
        <w:t xml:space="preserve"> (FFPM) est le traitement de référence de l'insuffisance veineuse chronique et de la maladie hémorroïdaire, avec un niveau de preuve clinique solide. L'</w:t>
      </w:r>
      <w:r>
        <w:rPr>
          <w:b/>
        </w:rPr>
        <w:t>octréotide</w:t>
      </w:r>
      <w:r>
        <w:t xml:space="preserve"> demeure l'outil pharmacologique majeur de l'urgence hémorragique digestive par rupture de varices, en association à l'endoscopie thérapeutique et à l'antibiothérapie prophylactique (Baveno VII). Les </w:t>
      </w:r>
      <w:r>
        <w:rPr>
          <w:b/>
        </w:rPr>
        <w:t>hépato-protecteurs</w:t>
      </w:r>
      <w:r>
        <w:t xml:space="preserve"> (citicoline, arginine aspartate) et les </w:t>
      </w:r>
      <w:r>
        <w:rPr>
          <w:b/>
        </w:rPr>
        <w:t>polyenzymes</w:t>
      </w:r>
      <w:r>
        <w:t xml:space="preserve"> (alpha-amylase) ont une place plus modeste, justifiée par leur bonne tolérance mais limitée par un niveau de preuve clinique modeste. La collaboration pharmacien-médecin-patient est essentielle pour assurer un usage rationnel, sécurisé et efficace de ces médicaments, en tenant compte de l'âge, du terrain, de la grossesse, de l'allaitement, et des comorbidités.</w:t>
      </w:r>
    </w:p>
    <w:p>
      <w:pPr>
        <w:pStyle w:val="Heading1"/>
      </w:pPr>
      <w:r>
        <w:t>Chapitre 56 — Biothérapies des Maladies Inflammatoires Chroniques de l'Intestin (MICI)</w:t>
      </w:r>
    </w:p>
    <w:p>
      <w:pPr>
        <w:pStyle w:val="Heading2"/>
      </w:pPr>
      <w:r>
        <w:t>Introduction générale — Biothérapies et MICI</w:t>
      </w:r>
    </w:p>
    <w:p>
      <w:r>
        <w:t xml:space="preserve">Les </w:t>
      </w:r>
      <w:r>
        <w:rPr>
          <w:b/>
        </w:rPr>
        <w:t>Maladies Inflammatoires Chroniques de l'Intestin (MICI)</w:t>
      </w:r>
      <w:r>
        <w:t xml:space="preserve"> regroupent essentiellement deux entités nosologiques distinctes mais partageant une composante immunologique commune : la </w:t>
      </w:r>
      <w:r>
        <w:rPr>
          <w:b/>
        </w:rPr>
        <w:t>maladie de Crohn (MC)</w:t>
      </w:r>
      <w:r>
        <w:t xml:space="preserve"> et la </w:t>
      </w:r>
      <w:r>
        <w:rPr>
          <w:b/>
        </w:rPr>
        <w:t>rectocolite hémorragique (RCH)</w:t>
      </w:r>
      <w:r>
        <w:t xml:space="preserve">. Ces affections évoluent par poussées entrecoupées de rémissions spontanées ou thérapeutiques, et leur prévalence en Algérie ne cesse de croître, en lien avec l'occidentalisation du mode de vie, la modification du microbiote intestinal et l'amélioration des moyens diagnostics (coloscopie, entéro-IRM, capsule endoscopique). La prise en charge thérapeutique a été profondément transformée depuis le début des années 2000 par l'avènement des </w:t>
      </w:r>
      <w:r>
        <w:rPr>
          <w:b/>
        </w:rPr>
        <w:t>biothérapies</w:t>
      </w:r>
      <w:r>
        <w:t>, médicaments issus du génie génétique, anticorps monoclonaux ou protéines de fusion ciblant un médiateur précis de la cascade inflammatoire.</w:t>
      </w:r>
    </w:p>
    <w:p>
      <w:r>
        <w:t xml:space="preserve">Les biothérapies ont révolutionné le pronostic fonctionnel et structural des MICI en permettant, au-delà de la simple maîtrise des symptômes (rémission clinique), l'obtention d'une </w:t>
      </w:r>
      <w:r>
        <w:rPr>
          <w:b/>
        </w:rPr>
        <w:t>rémission endoscopique</w:t>
      </w:r>
      <w:r>
        <w:t xml:space="preserve"> (réduction de l'inflammation muqueuse), voire d'une </w:t>
      </w:r>
      <w:r>
        <w:rPr>
          <w:b/>
        </w:rPr>
        <w:t>cicatrisation muqueuse profonde</w:t>
      </w:r>
      <w:r>
        <w:t xml:space="preserve"> — objectif thérapeutique aujourd'hui reconnu comme prédictif d'un meilleur pronostic à long terme (réduction des hospitalisations, des chirurgies, des stomies et du handicap). Quatre familles mécanistiques sont actuellement disponibles en Algérie : (i) les </w:t>
      </w:r>
      <w:r>
        <w:rPr>
          <w:b/>
        </w:rPr>
        <w:t>anti-TNFα</w:t>
      </w:r>
      <w:r>
        <w:t xml:space="preserve"> (infliximab, adalimumab, certolizumab pegol, golimumab) qui ont ouvert la voie en 1999 avec le REMICADE ; (ii) les </w:t>
      </w:r>
      <w:r>
        <w:rPr>
          <w:b/>
        </w:rPr>
        <w:t>anti-intégrine α4β7</w:t>
      </w:r>
      <w:r>
        <w:t xml:space="preserve"> (vedolizumab) à tropisme intestinal sélectif ; (iii) les </w:t>
      </w:r>
      <w:r>
        <w:rPr>
          <w:b/>
        </w:rPr>
        <w:t>anti-IL-12/23</w:t>
      </w:r>
      <w:r>
        <w:t xml:space="preserve"> (ustekinumab) agissant en amont de l'activation lymphocytaire Th1/Th17 ; et (iv) les </w:t>
      </w:r>
      <w:r>
        <w:rPr>
          <w:b/>
        </w:rPr>
        <w:t>inhibiteurs des Janus kinases (JAK)</w:t>
      </w:r>
      <w:r>
        <w:t xml:space="preserve"> (tofacitinib, upadacitinib), petites molécules administrées par voie orale, qui bloquent la signalisation intracellulaire de multiples cytokines.</w:t>
      </w:r>
    </w:p>
    <w:p>
      <w:r>
        <w:t xml:space="preserve">La prescription d'une biothérapie dans les MICI n'est jamais anodine : elle s'inscrit dans une </w:t>
      </w:r>
      <w:r>
        <w:rPr>
          <w:b/>
        </w:rPr>
        <w:t>stratégie ascending care (step-up)</w:t>
      </w:r>
      <w:r>
        <w:t xml:space="preserve"> après échec des aminosalicylés, de la corticothérapie et des immunosuppresseurs conventionnels (azathioprine, 6-mercaptopurine, méthotrexate), ou dans une approche </w:t>
      </w:r>
      <w:r>
        <w:rPr>
          <w:b/>
        </w:rPr>
        <w:t>top-down</w:t>
      </w:r>
      <w:r>
        <w:t xml:space="preserve"> agressive chez les patients présentant d'emblée des facteurs pronostiques péjoratifs (jeune âge, maladie extensive, lésions profondes, antécédents chirurgicaux). Le pharmacien d'officine et l'interne en pharmacie clinique doivent maîtriser non seulement les posologies, mais surtout les </w:t>
      </w:r>
      <w:r>
        <w:rPr>
          <w:b/>
        </w:rPr>
        <w:t>prérequis à l'initiation</w:t>
      </w:r>
      <w:r>
        <w:t xml:space="preserve"> (dépistage tuberculose, hépatites virales, statut vaccinal), la </w:t>
      </w:r>
      <w:r>
        <w:rPr>
          <w:b/>
        </w:rPr>
        <w:t>surveillance</w:t>
      </w:r>
      <w:r>
        <w:t xml:space="preserve"> (NFS, transaminases, CRP, calprotectine fécale), les </w:t>
      </w:r>
      <w:r>
        <w:rPr>
          <w:b/>
        </w:rPr>
        <w:t>risques infectieux et néoplasiques</w:t>
      </w:r>
      <w:r>
        <w:t xml:space="preserve">, les particularités </w:t>
      </w:r>
      <w:r>
        <w:rPr>
          <w:b/>
        </w:rPr>
        <w:t>obstétricales</w:t>
      </w:r>
      <w:r>
        <w:t xml:space="preserve"> (grossesse, conception, allaitement) ainsi que les </w:t>
      </w:r>
      <w:r>
        <w:rPr>
          <w:b/>
        </w:rPr>
        <w:t>modalités de conservation</w:t>
      </w:r>
      <w:r>
        <w:t xml:space="preserve"> de la chaîne du froid — autant d'éléments qui constituent le cœur de l'éducation thérapeutique du patient (ETP) et de la sécurité d'usage.</w:t>
      </w:r>
    </w:p>
    <w:p>
      <w:r>
        <w:t xml:space="preserve">Ce chapitre aborde successivement les </w:t>
      </w:r>
      <w:r>
        <w:rPr>
          <w:b/>
        </w:rPr>
        <w:t>quatre sous-classes mécanistiques</w:t>
      </w:r>
      <w:r>
        <w:t xml:space="preserve"> avec une fiche détaillée pour chaque DCI disponible sur le marché algérien (7 DCIs, plus de 20 spécialités commerciales — princeps et biosimilaires confondus), selon une structure systématique : introduction pharmacocinétique, spécialités algériennes avec statut réglementaire, mécanisme d'action, profil pharmacologique (indications, contre-indications, effets indésirables), prévention et gestion des EI, interactions médicamenteuses, grossesse/allaitement (référentiel CRAT), posologie et mode d'administration, arbitrage des formes galéniques, conseils au patient, et enfin pièges et règles d'or au comptoir.</w:t>
      </w:r>
    </w:p>
    <w:p>
      <w:pPr>
        <w:pStyle w:val="Heading2"/>
      </w:pPr>
      <w:r>
        <w:t>1. Sous-classe : Biothérapies MICI — Anti-TNFα</w:t>
      </w:r>
    </w:p>
    <w:p>
      <w:r>
        <w:t xml:space="preserve">Le </w:t>
      </w:r>
      <w:r>
        <w:rPr>
          <w:b/>
        </w:rPr>
        <w:t>Tumor Necrosis Factor alpha (TNFα)</w:t>
      </w:r>
      <w:r>
        <w:t xml:space="preserve"> est une cytokine pro-inflammatoire centrale dans la physiopathologie des MICI. Produite principalement par les macrophages activés, les lymphocytes T helper et les cellules dendritiques, elle exerce ses effets via deux récepteurs membranaires (TNFR1/p55 et TNFR2/p75) qui déclenchent à la fois la signalisation NF-κB (synthèse de cytokines, chimiokines, molécules d'adhésion) et la voie apoptotique. Dans la muqueuse intestinale des patients atteints de MC ou de RCH, la surproduction locale de TNFα entretient un cercle vicieux inflammatoire : recrutement lymphocytaire, activation des métalloprotéinases (MMP), destruction matricielle, ulcération transmurale (MC) ou superficielle (RCH).</w:t>
      </w:r>
    </w:p>
    <w:p>
      <w:r>
        <w:t xml:space="preserve">Les </w:t>
      </w:r>
      <w:r>
        <w:rPr>
          <w:b/>
        </w:rPr>
        <w:t>anti-TNFα</w:t>
      </w:r>
      <w:r>
        <w:t xml:space="preserve"> sont des biothérapies ciblant spécifiquement cette cytokine, soit sous forme soluble libre, soit sous sa forme transmembranaire (mTNFα) exprimée à la surface des monocytes activés. Quatre molécules sont disponibles en Algérie : </w:t>
      </w:r>
      <w:r>
        <w:rPr>
          <w:b/>
        </w:rPr>
        <w:t>infliximab</w:t>
      </w:r>
      <w:r>
        <w:t xml:space="preserve"> (anticorps monoclonal chimérique IgG1κ, ~25% murin), </w:t>
      </w:r>
      <w:r>
        <w:rPr>
          <w:b/>
        </w:rPr>
        <w:t>adalimumab</w:t>
      </w:r>
      <w:r>
        <w:t xml:space="preserve"> (anticorps monoclonal entièrement humain IgG1), </w:t>
      </w:r>
      <w:r>
        <w:rPr>
          <w:b/>
        </w:rPr>
        <w:t>certolizumab pegol</w:t>
      </w:r>
      <w:r>
        <w:t xml:space="preserve"> (fragment Fab' pégylé dépourvu de fragment Fc) et </w:t>
      </w:r>
      <w:r>
        <w:rPr>
          <w:b/>
        </w:rPr>
        <w:t>golimumab</w:t>
      </w:r>
      <w:r>
        <w:t xml:space="preserve"> (anticorps monoclonal humain IgG1). Toutes partagent la neutralisation du TNFα mais diffèrent par leur structure (chimérique vs humain vs fragment), leur voie d'administration (IV perfusion vs SC), leur pharmacocinétique (demi-vie 7-20 jours), et leur immunogénicité. L'infliximab, première biothérapie de l'histoire des MICI (1999), reste la référence en phase aiguë sévère ; l'adalimumab permet l'auto-administration sous-cutanée et bénéficie du plus large panel de biosimilaires en Algérie (9 spécialités actives en 2026, dont 2 productions locales SAIDAL).</w:t>
      </w:r>
    </w:p>
    <w:p>
      <w:r>
        <w:t>Les indications AMM des anti-TNFα dans les MICI couvrent la maladie de Crohn active modérée à sévère (lumique, fistulisante, pédiatrique), la rectocolite hémorragique modérée à sévère réfractaire aux conventionsnels, mais aussi (selon la molécule) la polyarthrite rhumatoïde (PR), le rhumatisme psoriasique, le psoriasis cutané sévère, la spondyloarthrite ankylosante (SA), l'uvéite non infectieuse et, pour l'infliximab, la maladie de Behçet avec atteinte oculaire. Cette polyvalence explique la place prépondérante des anti-TNFα dans l'arsenal thérapeutique algérien, mais impose aussi une vigilance transversale quant aux effets indésirables de classe : infections (notamment tuberculose réactivée, infections opportunistes), réactions à la perfusion, immunogénicité avec perte d'efficacité, lymphomes (notamment hépatosplénique T), démyélinisation, induction ou aggravation d'insuffisance cardiaque, cytopénies et syndromes lupiques.</w:t>
      </w:r>
    </w:p>
    <w:p>
      <w:pPr>
        <w:pStyle w:val="Heading3"/>
      </w:pPr>
      <w:r>
        <w:t>1. DCI : Infliximab (Seule)</w:t>
      </w:r>
    </w:p>
    <w:p>
      <w:r/>
      <w:r>
        <w:rPr>
          <w:b/>
        </w:rPr>
        <w:t>Liste des Catégories :</w:t>
      </w:r>
      <w:r>
        <w:t xml:space="preserve"> LISTE I — Biothérapie anticorps monoclonal anti-TNFα, prescription hospitalière spécialisée, réserve hospitalière initiale.</w:t>
      </w:r>
    </w:p>
    <w:p>
      <w:r>
        <w:t>L'</w:t>
      </w:r>
      <w:r>
        <w:rPr>
          <w:b/>
        </w:rPr>
        <w:t>infliximab</w:t>
      </w:r>
      <w:r>
        <w:t xml:space="preserve"> est un anticorps monoclonal </w:t>
      </w:r>
      <w:r>
        <w:rPr>
          <w:b/>
        </w:rPr>
        <w:t>chimérique IgG1κ</w:t>
      </w:r>
      <w:r>
        <w:t xml:space="preserve"> composé de régions variables d'origine murine (25%) greffées sur une structure constante humaine (75%). Commercialisé depuis 1999 sous le nom de REMICADE, il a été le premier anti-TNFα autorisé dans les MICI et reste la biothérapie de référence en situation aiguë sévère. Administré </w:t>
      </w:r>
      <w:r>
        <w:rPr>
          <w:b/>
        </w:rPr>
        <w:t>exclusivement par voie intraveineuse</w:t>
      </w:r>
      <w:r>
        <w:t xml:space="preserve"> en perfusion de 2 heures (protocole court possible 1h sous surveillance), il impose une administration en milieu hospitalier ou de jour spécialisé. Sa pharmacocinétique est non linéaire, dose-dépendante : à 5 mg/kg, la demi-vie terminale est d'environ 8-10 jours ; à 10 mg/kg, elle s'allonge à 12-15 jours. L'élimination se fait principalement par réticulo-endothéliale (Fc des IgG) et par liaisons tissulaires au TNFα. La concentration résiduelle cible (trough level) à adapter en cas de réponse insuffisante est typiquement &gt;3 µg/mL en association, &gt;7 µg/mL en monothérapie. La pose d'un </w:t>
      </w:r>
      <w:r>
        <w:rPr>
          <w:b/>
        </w:rPr>
        <w:t>suivi thérapeutique pharmacologique (STP)</w:t>
      </w:r>
      <w:r>
        <w:t xml:space="preserve"> avec mesure des concentrations résiduelles et des anticorps anti-infliximab (AcAI) est devenue indispensable à l'optimisation thérapeutique.</w:t>
      </w:r>
    </w:p>
    <w:p>
      <w:r/>
      <w:r>
        <w:rPr>
          <w:b/>
        </w:rPr>
        <w:t>Médicaments disponibles en Algérie (Marques, Laboratoires, Formes et Dosages) :</w:t>
      </w:r>
      <w:r/>
    </w:p>
    <w:p>
      <w:pPr>
        <w:pStyle w:val="ListBullet"/>
      </w:pPr>
      <w:r/>
      <w:r>
        <w:rPr>
          <w:b/>
        </w:rPr>
        <w:t>IXIFI</w:t>
      </w:r>
      <w:r>
        <w:t xml:space="preserve"> (PFIZER JAPAN INC)</w:t>
      </w:r>
    </w:p>
    <w:p>
      <w:pPr>
        <w:pStyle w:val="ListBullet"/>
      </w:pPr>
      <w:r>
        <w:t>Formes et Dosages : Poudre pour solution pour perfusion IV, 100 mg/flacon, flacon de 15 mL</w:t>
      </w:r>
    </w:p>
    <w:p>
      <w:pPr>
        <w:pStyle w:val="ListBullet"/>
      </w:pPr>
      <w:r>
        <w:t>Statut : Actif (biosimilaire de l'infliximab)</w:t>
      </w:r>
    </w:p>
    <w:p>
      <w:pPr>
        <w:pStyle w:val="ListBullet"/>
      </w:pPr>
      <w:r/>
      <w:r>
        <w:rPr>
          <w:b/>
        </w:rPr>
        <w:t>REMICADE</w:t>
      </w:r>
      <w:r>
        <w:t xml:space="preserve"> (JANSSEN BIOLOGICS)</w:t>
      </w:r>
    </w:p>
    <w:p>
      <w:pPr>
        <w:pStyle w:val="ListBullet"/>
      </w:pPr>
      <w:r>
        <w:t>Formes et Dosages : Poudre pour solution pour perfusion IV, 100 mg/flacon, boîte de 1 flacon</w:t>
      </w:r>
    </w:p>
    <w:p>
      <w:pPr>
        <w:pStyle w:val="ListBullet"/>
      </w:pPr>
      <w:r>
        <w:t>Statut : Actif (princeps de référence)</w:t>
      </w:r>
    </w:p>
    <w:p>
      <w:pPr>
        <w:pStyle w:val="ListBullet"/>
      </w:pPr>
      <w:r/>
      <w:r>
        <w:rPr>
          <w:b/>
        </w:rPr>
        <w:t>INFLIXIMAB-SAIDAL</w:t>
      </w:r>
      <w:r>
        <w:t xml:space="preserve"> (GROUPE SAIDAL)</w:t>
      </w:r>
    </w:p>
    <w:p>
      <w:pPr>
        <w:pStyle w:val="ListBullet"/>
      </w:pPr>
      <w:r>
        <w:t>Formes et Dosages : Poudre pour solution pour perfusion IV, 100 mg/flacon, boîte de 1 flacon</w:t>
      </w:r>
    </w:p>
    <w:p>
      <w:pPr>
        <w:pStyle w:val="ListBullet"/>
      </w:pPr>
      <w:r>
        <w:t>Statut : Actif (biosimilaire local algérien, production Saidal)</w:t>
      </w:r>
    </w:p>
    <w:p>
      <w:pPr>
        <w:pStyle w:val="ListBullet"/>
      </w:pPr>
      <w:r/>
      <w:r>
        <w:rPr>
          <w:b/>
        </w:rPr>
        <w:t>REMSIMA</w:t>
      </w:r>
      <w:r>
        <w:t xml:space="preserve"> (HIKMA PHARMA ALGERIA)</w:t>
      </w:r>
    </w:p>
    <w:p>
      <w:pPr>
        <w:pStyle w:val="ListBullet"/>
      </w:pPr>
      <w:r>
        <w:t>Formes et Dosages : Poudre pour solution pour perfusion IV, 100 mg/flacon, boîte de 1 flacon</w:t>
      </w:r>
    </w:p>
    <w:p>
      <w:pPr>
        <w:pStyle w:val="ListBullet"/>
      </w:pPr>
      <w:r>
        <w:t>Statut : Actif (biosimilaire)</w:t>
      </w:r>
    </w:p>
    <w:p>
      <w:r/>
      <w:r>
        <w:rPr>
          <w:b/>
        </w:rPr>
        <w:t>Sous-classe et Mécanisme d'action :</w:t>
      </w:r>
      <w:r/>
    </w:p>
    <w:p>
      <w:pPr>
        <w:pStyle w:val="ListBullet"/>
      </w:pPr>
      <w:r>
        <w:t>Sous-classe : Anti-TNFα, anticorps monoclonal chimérique IgG1κ (première génération, 1999).</w:t>
      </w:r>
    </w:p>
    <w:p>
      <w:pPr>
        <w:pStyle w:val="ListBullet"/>
      </w:pPr>
      <w:r>
        <w:t xml:space="preserve">Mécanisme d'action : L'infliximab se lie avec une </w:t>
      </w:r>
      <w:r>
        <w:rPr>
          <w:b/>
        </w:rPr>
        <w:t>haute affinité</w:t>
      </w:r>
      <w:r>
        <w:t xml:space="preserve"> (Kd ~10⁻¹⁰ M) aux formes </w:t>
      </w:r>
      <w:r>
        <w:rPr>
          <w:b/>
        </w:rPr>
        <w:t>soluble et transmembranaire</w:t>
      </w:r>
      <w:r>
        <w:t xml:space="preserve"> du TNFα humain, bloquant ainsi la fixation de la cytokine à ses récepteurs TNFR1 et TNFR2. Cette neutralisation empêche la signalisation NF-κB, AP-1 et JNK, réduisant l'expression des molécules d'adhésion (ICAM-1, VCAM-1, E-selectine), des chimiokines (IL-8, MCP-1, RANTES) et des métalloprotéinases (MMP-1, MMP-3, MMP-9). Par ailleurs, la fixation du fragment Fc de l'infliximab au mTNFα exprimé à la surface des monocytes/macrophages activés entraîne leur </w:t>
      </w:r>
      <w:r>
        <w:rPr>
          <w:b/>
        </w:rPr>
        <w:t>lyse par cytotoxicité à médiation cellulaire dépendante des anticorps (CDC et ADCC)</w:t>
      </w:r>
      <w:r>
        <w:t>, contribuant à l'élimination des cellules inflammatoires résidentes. L'efficacité rapide (parfois dès 1-2 semaines) tient à cette double action neutralisante et cytotoxique.</w:t>
      </w:r>
    </w:p>
    <w:p>
      <w:r/>
      <w:r>
        <w:rPr>
          <w:b/>
        </w:rPr>
        <w:t>Profil Pharmacologique :</w:t>
      </w:r>
      <w:r/>
    </w:p>
    <w:p>
      <w:pPr>
        <w:pStyle w:val="ListBullet"/>
      </w:pPr>
      <w:r>
        <w:t>Indications : Maladie de Crohn active sévère (adulte et enfant &gt;6 ans) réfractaire à un traitement conventionnel adéquat (corticoïdes, immunosuppresseurs) ; maladie de Crohn fistulisée ; rectocolite hémorragique modérée à sévère (adulte et enfant &gt;6 ans) en cas de réponse inadéquate aux conventionnels ; polyarthrite rhumatoïde (en association au méthotrexate) ; spondyloarthrite ankylosante sévère active ; rhumatisme psoriasique ; psoriasis cutané en plaques modéré à sévère ; maladie de Behçet avec uvéite postérieure réfractaire. Dans la RCH, l'infliximab a également démontré son efficacité dans les formes sévères aiguës (rescue therapy après échec des corticoïdes IV — stratégie « rescue » avant colectomie).</w:t>
      </w:r>
    </w:p>
    <w:p>
      <w:pPr>
        <w:pStyle w:val="ListBullet"/>
      </w:pPr>
      <w:r>
        <w:t>Contre-indications : Tuberculose active ou latente non traitée ; infections sévères actives (sepsis, abcès, pneumonie bactérienne, infection opportuniste) ; hépatite B chronique ou porteur AgHBs positif non évalué ; insuffisance cardiaque modérée à sévère (NYHA III-IV) ; antécédent de démeylinisation (sclérose en plaques, névrite optique) ; cancer actif ou antécédent récent (&lt;5 ans) non guéri ; hypersensibilité à l'infliximab ou à l'un des excipients (saccharose, polysorbate 80) ; grossesse à évaluer cas par cas au 3e trimestre (IgG traversant le placenta, accumulation néonatale possible).</w:t>
      </w:r>
    </w:p>
    <w:p>
      <w:pPr>
        <w:pStyle w:val="ListBullet"/>
      </w:pPr>
      <w:r>
        <w:t>Effets Indésirables :</w:t>
      </w:r>
    </w:p>
    <w:p>
      <w:pPr>
        <w:pStyle w:val="ListBullet"/>
      </w:pPr>
      <w:r/>
      <w:r>
        <w:rPr>
          <w:b/>
        </w:rPr>
        <w:t>Infections</w:t>
      </w:r>
      <w:r>
        <w:t xml:space="preserve"> : majorité — infections des voies respiratoires supérieures, urinaires, herpès, candidose. Risque majoré de tuberculose (réactivation d'une primo-infection ou d'une tuberculose latente — formes souvent extrapulmonaires ou disséminées), de listériose, d'infection à mycobactéries atypiques, de pneumocystose, d'histoplasmose. Réactivation du VHB (hépatite fulminante possible).</w:t>
      </w:r>
    </w:p>
    <w:p>
      <w:pPr>
        <w:pStyle w:val="ListBullet"/>
      </w:pPr>
      <w:r/>
      <w:r>
        <w:rPr>
          <w:b/>
        </w:rPr>
        <w:t>Réactions à la perfusion</w:t>
      </w:r>
      <w:r>
        <w:t xml:space="preserve"> (≤10%) : fièvre, frissons, prurit, urticaire, dyspnée, hypotension, plus rarement choc anaphylactique. Surviennent surtout lors des 2e-3e perfusions (immunogénicité anti-chimérique). Les réactions tardives (24-72h post-perfusion) associent myalgies, arthralgies, fièvre, rash.</w:t>
      </w:r>
    </w:p>
    <w:p>
      <w:pPr>
        <w:pStyle w:val="ListBullet"/>
      </w:pPr>
      <w:r/>
      <w:r>
        <w:rPr>
          <w:b/>
        </w:rPr>
        <w:t>Immunogénicité</w:t>
      </w:r>
      <w:r>
        <w:t xml:space="preserve"> : développement d'anticorps anti-infliximab (AcAI, principalement anti-idiotypes) chez 6-30% des patients en monothérapie, &gt;50% sans association immunosuppressive à 2 ans. Conséquences : perte d'efficacité, réactions à la perfusion, augmentation de la clairance (trough effondré).</w:t>
      </w:r>
    </w:p>
    <w:p>
      <w:pPr>
        <w:pStyle w:val="ListBullet"/>
      </w:pPr>
      <w:r/>
      <w:r>
        <w:rPr>
          <w:b/>
        </w:rPr>
        <w:t>Hépatiques</w:t>
      </w:r>
      <w:r>
        <w:t xml:space="preserve"> : cytolyse, cholestase, hépatite auto-immune induite, réactivation VHB.</w:t>
      </w:r>
    </w:p>
    <w:p>
      <w:pPr>
        <w:pStyle w:val="ListBullet"/>
      </w:pPr>
      <w:r/>
      <w:r>
        <w:rPr>
          <w:b/>
        </w:rPr>
        <w:t>Hématologiques</w:t>
      </w:r>
      <w:r>
        <w:t xml:space="preserve"> : neutropénie, thrombopénie, aplasie médullaire (rares).</w:t>
      </w:r>
    </w:p>
    <w:p>
      <w:pPr>
        <w:pStyle w:val="ListBullet"/>
      </w:pPr>
      <w:r/>
      <w:r>
        <w:rPr>
          <w:b/>
        </w:rPr>
        <w:t>Neurologiques</w:t>
      </w:r>
      <w:r>
        <w:t xml:space="preserve"> : démyélinisation centrale (SEP), neuropathies périphériques démyélinisantes, syndrome de Guillain-Barré.</w:t>
      </w:r>
    </w:p>
    <w:p>
      <w:pPr>
        <w:pStyle w:val="ListBullet"/>
      </w:pPr>
      <w:r/>
      <w:r>
        <w:rPr>
          <w:b/>
        </w:rPr>
        <w:t>Cardiaques</w:t>
      </w:r>
      <w:r>
        <w:t xml:space="preserve"> : aggravation d'insuffisance cardiaque préexistante.</w:t>
      </w:r>
    </w:p>
    <w:p>
      <w:pPr>
        <w:pStyle w:val="ListBullet"/>
      </w:pPr>
      <w:r/>
      <w:r>
        <w:rPr>
          <w:b/>
        </w:rPr>
        <w:t>Néoplasies</w:t>
      </w:r>
      <w:r>
        <w:t xml:space="preserve"> : lymphome (surtout hépatosplénique T chez young male sous AZA combinée), cancers cutanés (carcinomes basocellulaires, spinocellulaires), mélanome.</w:t>
      </w:r>
    </w:p>
    <w:p>
      <w:pPr>
        <w:pStyle w:val="ListBullet"/>
      </w:pPr>
      <w:r/>
      <w:r>
        <w:rPr>
          <w:b/>
        </w:rPr>
        <w:t>Cutanés</w:t>
      </w:r>
      <w:r>
        <w:t xml:space="preserve"> : psoriasis paradoxal (lésions psoriasiformes de novo), lupus induit (ACAN positifs).</w:t>
      </w:r>
    </w:p>
    <w:p>
      <w:r/>
      <w:r>
        <w:rPr>
          <w:b/>
        </w:rPr>
        <w:t>Prévention et Gestion des Effets Indésirables :</w:t>
      </w:r>
      <w:r/>
    </w:p>
    <w:p>
      <w:pPr>
        <w:pStyle w:val="ListBullet"/>
      </w:pPr>
      <w:r>
        <w:t>Mesures Préventives :</w:t>
      </w:r>
    </w:p>
    <w:p>
      <w:pPr>
        <w:pStyle w:val="ListBullet"/>
      </w:pPr>
      <w:r/>
      <w:r>
        <w:rPr>
          <w:b/>
        </w:rPr>
        <w:t>Bilan pré-thérapeutique obligatoire</w:t>
      </w:r>
      <w:r>
        <w:t xml:space="preserve"> avant toute initiation : IDR à la tuberculine (seuil ≥5 mm) ou IGRA (QuantiFERON-TB Gold), radiographie thoracique systématique ; sérologies VIH, VHB (AgHBs, Ac anti-HBs, Ac anti-HBc), VHC ; NFS-plaquettes, transaminases, créatinine, CRP, électrophorèse des protéines.</w:t>
      </w:r>
    </w:p>
    <w:p>
      <w:pPr>
        <w:pStyle w:val="ListBullet"/>
      </w:pPr>
      <w:r/>
      <w:r>
        <w:rPr>
          <w:b/>
        </w:rPr>
        <w:t>Vaccination</w:t>
      </w:r>
      <w:r>
        <w:t xml:space="preserve"> : mise à jour des vaccins inactivés au moins 2 semaines avant initiation (grippe annuelle, pneumocoque, hépatite B si séronégatif, HPV selon âge, tétanos-polio). Vaccins vivants (ROR, BCG, fièvre jaune, varicelle, rotavirus) </w:t>
      </w:r>
      <w:r>
        <w:rPr>
          <w:b/>
        </w:rPr>
        <w:t>contre-indiqués</w:t>
      </w:r>
      <w:r>
        <w:t xml:space="preserve"> pendant et jusqu'à 3 mois après l'arrêt.</w:t>
      </w:r>
    </w:p>
    <w:p>
      <w:pPr>
        <w:pStyle w:val="ListBullet"/>
      </w:pPr>
      <w:r/>
      <w:r>
        <w:rPr>
          <w:b/>
        </w:rPr>
        <w:t>Couverture immunosuppressive associée</w:t>
      </w:r>
      <w:r>
        <w:t xml:space="preserve"> : association systématique à l'azathioprine (ou méthotrexate) pendant au moins 6 mois pour réduire l'immunogénicité (AcAI divisés par 3-4), particulièrement chez les patients n'ayant pas reçu d'immunosuppresseur préalable.</w:t>
      </w:r>
    </w:p>
    <w:p>
      <w:pPr>
        <w:pStyle w:val="ListBullet"/>
      </w:pPr>
      <w:r/>
      <w:r>
        <w:rPr>
          <w:b/>
        </w:rPr>
        <w:t>Prémédication antihistaminique</w:t>
      </w:r>
      <w:r>
        <w:t xml:space="preserve"> (dexchlorphéniramine 5 mg IV) +/- hydrocortisone 100 mg IV avant la perfusion en cas d'antécédent de réaction.</w:t>
      </w:r>
    </w:p>
    <w:p>
      <w:pPr>
        <w:pStyle w:val="ListBullet"/>
      </w:pPr>
      <w:r/>
      <w:r>
        <w:rPr>
          <w:b/>
        </w:rPr>
        <w:t>Surveillance</w:t>
      </w:r>
      <w:r>
        <w:t xml:space="preserve"> : NFS et transaminases mensuelles pendant 3 mois puis trimestrielles ; CRP et calprotectine fécale avant chaque perfusion ; examen clinique systématique à la recherche de signes infectieux ; suivi dermatologique annuel.</w:t>
      </w:r>
    </w:p>
    <w:p>
      <w:pPr>
        <w:pStyle w:val="ListBullet"/>
      </w:pPr>
      <w:r>
        <w:t>Conduite à Tenir :</w:t>
      </w:r>
    </w:p>
    <w:p>
      <w:pPr>
        <w:pStyle w:val="ListBullet"/>
      </w:pPr>
      <w:r/>
      <w:r>
        <w:rPr>
          <w:b/>
        </w:rPr>
        <w:t>Infection sévère</w:t>
      </w:r>
      <w:r>
        <w:t xml:space="preserve"> : arrêt immédiat de l'infliximab, prélèvements bactériologiques adaptés, antibiothérapie large spectre, hospitalisation si nécessaire. Ne pas reprendre avant contrôle complet.</w:t>
      </w:r>
    </w:p>
    <w:p>
      <w:pPr>
        <w:pStyle w:val="ListBullet"/>
      </w:pPr>
      <w:r/>
      <w:r>
        <w:rPr>
          <w:b/>
        </w:rPr>
        <w:t>Réaction à la perfusion légère</w:t>
      </w:r>
      <w:r>
        <w:t xml:space="preserve"> : ralentir le débit (50%), surveillance, antihistaminique. </w:t>
      </w:r>
      <w:r>
        <w:rPr>
          <w:b/>
        </w:rPr>
        <w:t>Réaction modérée à sévère</w:t>
      </w:r>
      <w:r>
        <w:t xml:space="preserve"> : arrêt immédiat, réanimation symptomatique (antihistaminique, corticothérapie, adrénaline si choc), contre-indication à la reprise si anaphylaxie grave.</w:t>
      </w:r>
    </w:p>
    <w:p>
      <w:pPr>
        <w:pStyle w:val="ListBullet"/>
      </w:pPr>
      <w:r/>
      <w:r>
        <w:rPr>
          <w:b/>
        </w:rPr>
        <w:t>Perte d'efficacité</w:t>
      </w:r>
      <w:r>
        <w:t xml:space="preserve"> : dosage AcAI et trough level (si AcAI+ et trough bas → switch vers un autre anti-TNFα ou changement de classe) ; si AcAI− et trough bas → augmentation dose (10 mg/kg) ou raccourcissement intervalle (/6 sem).</w:t>
      </w:r>
    </w:p>
    <w:p>
      <w:pPr>
        <w:pStyle w:val="ListBullet"/>
      </w:pPr>
      <w:r/>
      <w:r>
        <w:rPr>
          <w:b/>
        </w:rPr>
        <w:t>Tuberculose latente</w:t>
      </w:r>
      <w:r>
        <w:t xml:space="preserve"> : chimioprophylaxie par isoniazide 5 mg/kg/j (max 300 mg) × 9 mois ou rifampicine 10 mg/kg/j × 4 mois, à débuter au moins 1 mois avant l'infliximab.</w:t>
      </w:r>
    </w:p>
    <w:p>
      <w:pPr>
        <w:pStyle w:val="ListBullet"/>
      </w:pPr>
      <w:r/>
      <w:r>
        <w:rPr>
          <w:b/>
        </w:rPr>
        <w:t>Porteur AgHBs+</w:t>
      </w:r>
      <w:r>
        <w:t xml:space="preserve"> : prophylaxie par entécavir 0,5 mg/j ou ténofovir 245 mg/j pendant toute la durée du traitement et 12 mois après l'arrêt.</w:t>
      </w:r>
    </w:p>
    <w:p>
      <w:r/>
      <w:r>
        <w:rPr>
          <w:b/>
        </w:rPr>
        <w:t>Interactions Importantes :</w:t>
      </w:r>
      <w:r/>
    </w:p>
    <w:p>
      <w:pPr>
        <w:pStyle w:val="ListBullet"/>
      </w:pPr>
      <w:r/>
      <w:r>
        <w:rPr>
          <w:b/>
        </w:rPr>
        <w:t>Infliximab + vaccins vivants</w:t>
      </w:r>
      <w:r>
        <w:t xml:space="preserve"> : contre-indication absolue — risque d'infection vaccinale généralisée (BCGite, rougeole vaccinale). Attendre 3 mois après l'arrêt pour vacciner.</w:t>
      </w:r>
    </w:p>
    <w:p>
      <w:pPr>
        <w:pStyle w:val="ListBullet"/>
      </w:pPr>
      <w:r/>
      <w:r>
        <w:rPr>
          <w:b/>
        </w:rPr>
        <w:t>Infliximab + azathioprine/6-MP</w:t>
      </w:r>
      <w:r>
        <w:t xml:space="preserve"> : synergie d'efficacité et réduction de l'immunogénicité (AcAI diminués de 30% à &lt;5%). Surveillance hépatique accrue (hépatotoxicité additive), surveillance NFS hebdomadaire le premier mois.</w:t>
      </w:r>
    </w:p>
    <w:p>
      <w:pPr>
        <w:pStyle w:val="ListBullet"/>
      </w:pPr>
      <w:r/>
      <w:r>
        <w:rPr>
          <w:b/>
        </w:rPr>
        <w:t>Infliximab + anakinra (anti-IL-1) ou abatacept (anti-CD80/86)</w:t>
      </w:r>
      <w:r>
        <w:t xml:space="preserve"> : augmentation du risque infectieux grave, association déconseillée.</w:t>
      </w:r>
    </w:p>
    <w:p>
      <w:pPr>
        <w:pStyle w:val="ListBullet"/>
      </w:pPr>
      <w:r/>
      <w:r>
        <w:rPr>
          <w:b/>
        </w:rPr>
        <w:t>Infliximab + méthotrexate</w:t>
      </w:r>
      <w:r>
        <w:t xml:space="preserve"> : réduction de l'immunogénicité, association recommandée en PR.</w:t>
      </w:r>
    </w:p>
    <w:p>
      <w:pPr>
        <w:pStyle w:val="ListBullet"/>
      </w:pPr>
      <w:r/>
      <w:r>
        <w:rPr>
          <w:b/>
        </w:rPr>
        <w:t>Infliximab + corticoïdes</w:t>
      </w:r>
      <w:r>
        <w:t xml:space="preserve"> : pas d'interaction pharmacocinétique majeure mais majoration du risque infectieux et ostéoporotique.</w:t>
      </w:r>
    </w:p>
    <w:p>
      <w:pPr>
        <w:pStyle w:val="ListBullet"/>
      </w:pPr>
      <w:r/>
      <w:r>
        <w:rPr>
          <w:b/>
        </w:rPr>
        <w:t>Infliximab + inhibit CYP450</w:t>
      </w:r>
      <w:r>
        <w:t xml:space="preserve"> : pas d'interaction pertinente (catabolisme protéique non enzymatique).</w:t>
      </w:r>
    </w:p>
    <w:p>
      <w:r/>
      <w:r>
        <w:rPr>
          <w:b/>
        </w:rPr>
        <w:t>Grossesse et Allaitement :</w:t>
      </w:r>
      <w:r/>
    </w:p>
    <w:p>
      <w:pPr>
        <w:pStyle w:val="ListBullet"/>
      </w:pPr>
      <w:r>
        <w:t xml:space="preserve">Grossesse : Selon le CRAT, l'infliximab est </w:t>
      </w:r>
      <w:r>
        <w:rPr>
          <w:b/>
        </w:rPr>
        <w:t>compatible</w:t>
      </w:r>
      <w:r>
        <w:t xml:space="preserve"> avec la grossesse si nécessaire (pas de sur-risque malformatif). Les IgG1 traversent le placenta principalement à partir du 2e trimestre, avec une </w:t>
      </w:r>
      <w:r>
        <w:rPr>
          <w:b/>
        </w:rPr>
        <w:t>accumulation active au 3e trimestre</w:t>
      </w:r>
      <w:r>
        <w:t xml:space="preserve"> (transport FcRn). Recommandation : maintenir les perfusions pendant la grossesse pour contrôler la maladie (poussée maternelle = danger fœtal supérieur) ; </w:t>
      </w:r>
      <w:r>
        <w:rPr>
          <w:b/>
        </w:rPr>
        <w:t>administrer la dernière perfusion entre S30 et S34</w:t>
      </w:r>
      <w:r>
        <w:t xml:space="preserve"> puis suspendre jusqu'à l'accouchement pour minimiser l'imprégnation néonatale. Chez le nouveau-né, l'infliximab persiste jusqu'à 6 mois dans le sang.</w:t>
      </w:r>
    </w:p>
    <w:p>
      <w:pPr>
        <w:pStyle w:val="ListBullet"/>
      </w:pPr>
      <w:r>
        <w:t xml:space="preserve">Allaitement : Selon le CRAT, l'infliximab est </w:t>
      </w:r>
      <w:r>
        <w:rPr>
          <w:b/>
        </w:rPr>
        <w:t>compatible</w:t>
      </w:r>
      <w:r>
        <w:t xml:space="preserve"> avec l'allaitement (passage minimal dans le lait maternel, dégradation protéique digestive chez le nourrisson). Reprise possible dès J0 post-partum.</w:t>
      </w:r>
    </w:p>
    <w:p>
      <w:pPr>
        <w:pStyle w:val="ListBullet"/>
      </w:pPr>
      <w:r>
        <w:t xml:space="preserve">Précisions : les </w:t>
      </w:r>
      <w:r>
        <w:rPr>
          <w:b/>
        </w:rPr>
        <w:t>vaccins vivants du nourrisson (BCG à la naissance, ROR à 9-12 mois) doivent être différés</w:t>
      </w:r>
      <w:r>
        <w:t xml:space="preserve"> chez un enfant né de mère traitée par infliximab — BCG &gt;6 mois, ROR après 6 mois et après vérification de la clairance de l'anticorps (parfois jusqu'à 12 mois). Les vaccins inactivés (DTaP, Hib, pneumocoque, hépatite B, polio inactivé) peuvent être administrés selon le calendrier normal.</w:t>
      </w:r>
    </w:p>
    <w:p>
      <w:r/>
      <w:r>
        <w:rPr>
          <w:b/>
        </w:rPr>
        <w:t>Posologie et Mode d'administration (Standard) :</w:t>
      </w:r>
      <w:r/>
    </w:p>
    <w:p>
      <w:pPr>
        <w:pStyle w:val="ListBullet"/>
      </w:pPr>
      <w:r>
        <w:t>Adulte :</w:t>
      </w:r>
    </w:p>
    <w:p>
      <w:pPr>
        <w:pStyle w:val="ListBullet"/>
      </w:pPr>
      <w:r>
        <w:t xml:space="preserve">Schéma d'induction standard : </w:t>
      </w:r>
      <w:r>
        <w:rPr>
          <w:b/>
        </w:rPr>
        <w:t>5 mg/kg IV à S0, S2, S6</w:t>
      </w:r>
      <w:r>
        <w:t xml:space="preserve">, puis </w:t>
      </w:r>
      <w:r>
        <w:rPr>
          <w:b/>
        </w:rPr>
        <w:t>5 mg/kg toutes les 8 semaines</w:t>
      </w:r>
      <w:r>
        <w:t xml:space="preserve"> en entretien.</w:t>
      </w:r>
    </w:p>
    <w:p>
      <w:pPr>
        <w:pStyle w:val="ListBullet"/>
      </w:pPr>
      <w:r>
        <w:t xml:space="preserve">En cas de réponse insuffisante : adaptation à </w:t>
      </w:r>
      <w:r>
        <w:rPr>
          <w:b/>
        </w:rPr>
        <w:t>10 mg/kg</w:t>
      </w:r>
      <w:r>
        <w:t xml:space="preserve"> et/ou </w:t>
      </w:r>
      <w:r>
        <w:rPr>
          <w:b/>
        </w:rPr>
        <w:t>raccourcissement à /6 semaines</w:t>
      </w:r>
      <w:r>
        <w:t>.</w:t>
      </w:r>
    </w:p>
    <w:p>
      <w:pPr>
        <w:pStyle w:val="ListBullet"/>
      </w:pPr>
      <w:r>
        <w:t>Maladie de Crohn fistulisante : 5 mg/kg S0, S2, S6 puis /8 sem.</w:t>
      </w:r>
    </w:p>
    <w:p>
      <w:pPr>
        <w:pStyle w:val="ListBullet"/>
      </w:pPr>
      <w:r>
        <w:t>RCH aiguë sévère : 5 mg/kg unique (rescue therapy), suivi du schéma classique en cas de réponse.</w:t>
      </w:r>
    </w:p>
    <w:p>
      <w:pPr>
        <w:pStyle w:val="ListBullet"/>
      </w:pPr>
      <w:r>
        <w:t>Mode d'administration : perfusion IV de 2 heures (initial), possibilité de raccourcir à 1 heure après 4 perfusions bien tolérées. Dilution dans 250 mL NaCl 0,9%, ligne avec filtre 1,2 µm, surveillance continue pendant et 2h après la perfusion.</w:t>
      </w:r>
    </w:p>
    <w:p>
      <w:pPr>
        <w:pStyle w:val="ListBullet"/>
      </w:pPr>
      <w:r>
        <w:t>Sujet âgé (&gt;65 ans) : pas d'adaptation posologique systématique, mais évaluation gériatrique globale requise (fonction rénale, statut nutritionnel, comorbidités, vaccinations). Risque infectieux majoré.</w:t>
      </w:r>
    </w:p>
    <w:p>
      <w:pPr>
        <w:pStyle w:val="ListBullet"/>
      </w:pPr>
      <w:r>
        <w:t>Durée : au long cours, réévaluation annuelle. Arrêt à discuter en cas de rémission profonde prolongée (≥2 ans, biomarqueurs normaux, endoscopie normale) — risque de rechute 30-40% à 1 an après arrêt.</w:t>
      </w:r>
    </w:p>
    <w:p>
      <w:pPr>
        <w:pStyle w:val="ListBullet"/>
      </w:pPr>
      <w:r>
        <w:t>Moment de prise : selon calendrier hospitalier, perfusion programmée.</w:t>
      </w:r>
    </w:p>
    <w:p>
      <w:r/>
      <w:r>
        <w:rPr>
          <w:b/>
        </w:rPr>
        <w:t>Arbitrage et Bénéfices des Formes Galéniques :</w:t>
      </w:r>
      <w:r/>
    </w:p>
    <w:p>
      <w:r>
        <w:t xml:space="preserve">L'infliximab est exclusivement disponible en </w:t>
      </w:r>
      <w:r>
        <w:rPr>
          <w:b/>
        </w:rPr>
        <w:t>forme IV perfusion</w:t>
      </w:r>
      <w:r>
        <w:t xml:space="preserve"> (poudre lyophilisée à reconstituer), ce qui impose un passage hospitalier mais garantit : (i) biodisponibilité complète (100% par rapport à la forme SC ~60%); (ii) surveillance médicale immédiate des réactions de perfusion ; (iii) pics sériques élevés (utiles en phase aiguë sévère, RCH fulminante, Crohn sévère hospitalisé) ; (iv) respect absolu de la chaîne du froid. L'inconvénient est la contrainte logistique (rendez-vous hospitalier toutes les 8 semaines, durée de session 4-6h), l'immunogénicité plus marquée que les anti-TNF entièrement humains, et l'impossibilité d'auto-administration. Le choix entre princeps (REMICADE) et biosimilaires (IXIFI, INFLIXIMAB-SAIDAL, REMSIMA) se fait sur des critères économiques et de disponibilité, après information éclairée du patient ; une fois initié avec un biosimilaire, le maintien du même produit est recommandé (pas de switch répété).</w:t>
      </w:r>
    </w:p>
    <w:p>
      <w:r/>
      <w:r>
        <w:rPr>
          <w:b/>
        </w:rPr>
        <w:t>Instructions et Conseils au Patient :</w:t>
      </w:r>
      <w:r/>
    </w:p>
    <w:p>
      <w:pPr>
        <w:pStyle w:val="ListBullet"/>
      </w:pPr>
      <w:r>
        <w:t>Communication au comptoir : "Votre traitement s'appelle l'infliximab, c'est un anticorps monoclonal qui cible une protéine inflammatoire spécifique, le TNFα. Il est administré à l'hôpital en perfusion intraveineuse pendant 2 heures, selon un calendrier précis (semaine 0, semaine 2, semaine 6, puis toutes les 8 semaines). Ce médicament réduit l'inflammation de votre intestin, diminue la douleur, la diarrhée et le risque de complications (fistules, chirurgie). Il n'est pas un antalgique : son effet met 2-4 semaines à s'installer mais dure ensuite des mois. Les principaux risques sont infectieux (bronchites, infections urinaires, tuberculose) et des réactions allergiques pendant la perfusion — c'est pourquoi vous êtes surveillé(e) à l'hôpital pendant 2 heures après la perfusion. Signalez immédiatement toute fièvre, toux persistante, perte de poids, sueurs nocturnes, douleur abdominale, ou lésion cutanée."</w:t>
      </w:r>
    </w:p>
    <w:p>
      <w:pPr>
        <w:pStyle w:val="ListBullet"/>
      </w:pPr>
      <w:r>
        <w:t>Mode d'utilisation pratique : prévoir la demi-journée d'hospitalisation, venir à jeun (selon protocole local), apporter le carnet de suivi des perfusions et le dossier vaccinal, prévoir un accompagnement (interdiction de conduire le jour J selon protocole). En cas de retard de plus de 8 jours sur le rendez-vous, prévenir le service.</w:t>
      </w:r>
    </w:p>
    <w:p>
      <w:r/>
      <w:r>
        <w:rPr>
          <w:b/>
        </w:rPr>
        <w:t>Notes, Règles d'Or &amp; Pièges au Comptoir :</w:t>
      </w:r>
      <w:r/>
    </w:p>
    <w:p>
      <w:pPr>
        <w:pStyle w:val="ListBullet"/>
      </w:pPr>
      <w:r>
        <w:t xml:space="preserve">Piège classique : </w:t>
      </w:r>
      <w:r>
        <w:rPr>
          <w:b/>
        </w:rPr>
        <w:t>oubli du dépistage tuberculose avant initiation</w:t>
      </w:r>
      <w:r>
        <w:t xml:space="preserve"> — systématiquement rechercher la preuve d'une IDR ou IGRA datant de moins de 3 mois avant la première perfusion. Le pharmacien doit demander la fiche d'initiation.</w:t>
      </w:r>
    </w:p>
    <w:p>
      <w:pPr>
        <w:pStyle w:val="ListBullet"/>
      </w:pPr>
      <w:r>
        <w:t xml:space="preserve">Règle de prise : </w:t>
      </w:r>
      <w:r>
        <w:rPr>
          <w:b/>
        </w:rPr>
        <w:t>chaîne du froid +2 à +8°C</w:t>
      </w:r>
      <w:r>
        <w:t>, ne pas congeler, ne pas agiter vigoureusement, reconstitution par le personnel infirmier formé, perfusion dans les 3 heures suivant la reconstitution.</w:t>
      </w:r>
    </w:p>
    <w:p>
      <w:pPr>
        <w:pStyle w:val="ListBullet"/>
      </w:pPr>
      <w:r>
        <w:t>Préparation et Conservation : poudre lyophilisée à conserver à +2-8°C, à l'abri de la lumière. Après reconstitution : stable 24h à 2-8°C.</w:t>
      </w:r>
    </w:p>
    <w:p>
      <w:pPr>
        <w:pStyle w:val="ListBullet"/>
      </w:pPr>
      <w:r>
        <w:t xml:space="preserve">Piège du surdosage / Substitution : </w:t>
      </w:r>
      <w:r>
        <w:rPr>
          <w:b/>
        </w:rPr>
        <w:t>pas de substitution automatique</w:t>
      </w:r>
      <w:r>
        <w:t xml:space="preserve"> entre princeps et biosimilaire ni entre biosimilaires — la décision appartient au médecin prescripteur en accord avec le patient. En cas de switch, surveillance accrue pendant 6 mois (efficacité, tolérance, immunogénicité). Le pharmacien doit tracer le produit délivré (numéro de lot, nom commercial exact).</w:t>
      </w:r>
    </w:p>
    <w:p>
      <w:pPr>
        <w:pStyle w:val="ListBullet"/>
      </w:pPr>
      <w:r>
        <w:t xml:space="preserve">Piège vaccin : ne jamais oublier de demander la mise à jour vaccinale </w:t>
      </w:r>
      <w:r>
        <w:rPr>
          <w:b/>
        </w:rPr>
        <w:t>avant initiation</w:t>
      </w:r>
      <w:r>
        <w:t xml:space="preserve"> (les vaccins vivants sont définitivement CI pendant le traitement).</w:t>
      </w:r>
    </w:p>
    <w:p>
      <w:pPr>
        <w:pStyle w:val="ListBullet"/>
      </w:pPr>
      <w:r>
        <w:t xml:space="preserve">Règle du 3e trimestre : chez la femme enceinte, </w:t>
      </w:r>
      <w:r>
        <w:rPr>
          <w:b/>
        </w:rPr>
        <w:t>suspendre l'infliximab après S34</w:t>
      </w:r>
      <w:r>
        <w:t xml:space="preserve"> et reprendre après l'accouchement. Le nouveau-né doit être suivi (vaccins vivants différés).</w:t>
      </w:r>
    </w:p>
    <w:p>
      <w:pPr>
        <w:pStyle w:val="Heading3"/>
      </w:pPr>
      <w:r>
        <w:t>2. DCI : Adalimumab (Seule)</w:t>
      </w:r>
    </w:p>
    <w:p>
      <w:r/>
      <w:r>
        <w:rPr>
          <w:b/>
        </w:rPr>
        <w:t>Liste des Catégories :</w:t>
      </w:r>
      <w:r>
        <w:t xml:space="preserve"> LISTE I — Biothérapie anticorps monoclonal anti-TNFα, prescription hospitalière initiale puis renouvellement possible en ville.</w:t>
      </w:r>
    </w:p>
    <w:p>
      <w:r>
        <w:t>L'</w:t>
      </w:r>
      <w:r>
        <w:rPr>
          <w:b/>
        </w:rPr>
        <w:t>adalimumab</w:t>
      </w:r>
      <w:r>
        <w:t xml:space="preserve"> est un anticorps monoclonal </w:t>
      </w:r>
      <w:r>
        <w:rPr>
          <w:b/>
        </w:rPr>
        <w:t>entièrement humain de type IgG1</w:t>
      </w:r>
      <w:r>
        <w:t xml:space="preserve"> dirigé contre le TNFα. Cette pleine humanisation (obtenue par la technologie Phage Display) en fait l'anti-TNFα le moins immunogène de la classe, avec un taux d'anticorps anti-adalimumab (AcAA) de 5-12% en monothérapie et &lt;3% en association aux immunosuppresseurs. Administré par voie </w:t>
      </w:r>
      <w:r>
        <w:rPr>
          <w:b/>
        </w:rPr>
        <w:t>sous-cutanée</w:t>
      </w:r>
      <w:r>
        <w:t xml:space="preserve"> à l'aide d'une seringue préremplie ou d'un stylo auto-injecteur, il permet l'</w:t>
      </w:r>
      <w:r>
        <w:rPr>
          <w:b/>
        </w:rPr>
        <w:t>auto-administration à domicile</w:t>
      </w:r>
      <w:r>
        <w:t xml:space="preserve"> après formation initiale à l'hôpital de jour — un avantage majeur par rapport à l'infliximab (IV) en termes d'autonomie et de qualité de vie. Sa pharmacocinétique est linéaire, avec une biodisponibilité SC d'environ 64%, un pic sérique (Cmax) en 5 jours, une demi-vie terminale de 10-20 jours (moyenne ~14 jours) et une clairance dépendante du poids corporel et de la charge inflammatoire (la CRP élevée augmente la clairance). La concentration résiduelle cible est &gt;5 µg/mL (en association) à &gt;8 µg/mL (monothérapie). L'adalimumab bénéficie en Algérie du plus large éventail de biosimilaires disponibles (9 spécialités en 2026, dont 2 productions locales SAIDAL et Pur Lab), ce qui en fait un pilier économique de l'accès aux biothérapies.</w:t>
      </w:r>
    </w:p>
    <w:p>
      <w:r/>
      <w:r>
        <w:rPr>
          <w:b/>
        </w:rPr>
        <w:t>Médicaments disponibles en Algérie (Marques, Laboratoires, Formes et Dosages) :</w:t>
      </w:r>
      <w:r/>
    </w:p>
    <w:p>
      <w:pPr>
        <w:pStyle w:val="ListBullet"/>
      </w:pPr>
      <w:r/>
      <w:r>
        <w:rPr>
          <w:b/>
        </w:rPr>
        <w:t>HUMIRA</w:t>
      </w:r>
      <w:r>
        <w:t xml:space="preserve"> (LABORATOIRES ABBVIE)</w:t>
      </w:r>
    </w:p>
    <w:p>
      <w:pPr>
        <w:pStyle w:val="ListBullet"/>
      </w:pPr>
      <w:r>
        <w:t>Formes et Dosages : Solution injectable SC en seringue préremplie, 40 mg/0,8 mL, boîte de 2 seringues</w:t>
      </w:r>
    </w:p>
    <w:p>
      <w:pPr>
        <w:pStyle w:val="ListBullet"/>
      </w:pPr>
      <w:r>
        <w:t>Statut : Actif (princeps de référence)</w:t>
      </w:r>
    </w:p>
    <w:p>
      <w:pPr>
        <w:pStyle w:val="ListBullet"/>
      </w:pPr>
      <w:r/>
      <w:r>
        <w:rPr>
          <w:b/>
        </w:rPr>
        <w:t>AMGEVITA</w:t>
      </w:r>
      <w:r>
        <w:t xml:space="preserve"> (AMGEN EUROPE B.V.)</w:t>
      </w:r>
    </w:p>
    <w:p>
      <w:pPr>
        <w:pStyle w:val="ListBullet"/>
      </w:pPr>
      <w:r>
        <w:t>Formes et Dosages : Solution injectable SC en seringue préremplie, 40 mg/0,8 mL, boîte de 2 seringues</w:t>
      </w:r>
    </w:p>
    <w:p>
      <w:pPr>
        <w:pStyle w:val="ListBullet"/>
      </w:pPr>
      <w:r>
        <w:t>Statut : Actif (biosimilaire)</w:t>
      </w:r>
    </w:p>
    <w:p>
      <w:pPr>
        <w:pStyle w:val="ListBullet"/>
      </w:pPr>
      <w:r/>
      <w:r>
        <w:rPr>
          <w:b/>
        </w:rPr>
        <w:t>CINNORA</w:t>
      </w:r>
      <w:r>
        <w:t xml:space="preserve"> (ORION LAB)</w:t>
      </w:r>
    </w:p>
    <w:p>
      <w:pPr>
        <w:pStyle w:val="ListBullet"/>
      </w:pPr>
      <w:r>
        <w:t>Formes et Dosages : Solution injectable SC en seringue préremplie, 40 mg/0,8 mL, boîte de 2 seringues</w:t>
      </w:r>
    </w:p>
    <w:p>
      <w:pPr>
        <w:pStyle w:val="ListBullet"/>
      </w:pPr>
      <w:r>
        <w:t>Statut : Actif (biosimilaire)</w:t>
      </w:r>
    </w:p>
    <w:p>
      <w:pPr>
        <w:pStyle w:val="ListBullet"/>
      </w:pPr>
      <w:r/>
      <w:r>
        <w:rPr>
          <w:b/>
        </w:rPr>
        <w:t>AMSPARITY</w:t>
      </w:r>
      <w:r>
        <w:t xml:space="preserve"> (PFIZER EUROPE MA EEIG)</w:t>
      </w:r>
    </w:p>
    <w:p>
      <w:pPr>
        <w:pStyle w:val="ListBullet"/>
      </w:pPr>
      <w:r>
        <w:t>Formes et Dosages : Solution injectable SC en seringue préremplie, 40 mg/0,8 mL, boîte de 2 seringues</w:t>
      </w:r>
    </w:p>
    <w:p>
      <w:pPr>
        <w:pStyle w:val="ListBullet"/>
      </w:pPr>
      <w:r>
        <w:t>Statut : Actif (biosimilaire)</w:t>
      </w:r>
    </w:p>
    <w:p>
      <w:pPr>
        <w:pStyle w:val="ListBullet"/>
      </w:pPr>
      <w:r/>
      <w:r>
        <w:rPr>
          <w:b/>
        </w:rPr>
        <w:t>HULIO</w:t>
      </w:r>
      <w:r>
        <w:t xml:space="preserve"> (BIOSIMILAR COLLABORATIONS IRELAND LIMITED BCIL)</w:t>
      </w:r>
    </w:p>
    <w:p>
      <w:pPr>
        <w:pStyle w:val="ListBullet"/>
      </w:pPr>
      <w:r>
        <w:t>Formes et Dosages : Solution injectable SC en seringue préremplie, 40 mg/0,8 mL, boîte de 2 seringues</w:t>
      </w:r>
    </w:p>
    <w:p>
      <w:pPr>
        <w:pStyle w:val="ListBullet"/>
      </w:pPr>
      <w:r>
        <w:t>Statut : Actif (biosimilaire)</w:t>
      </w:r>
    </w:p>
    <w:p>
      <w:pPr>
        <w:pStyle w:val="ListBullet"/>
      </w:pPr>
      <w:r/>
      <w:r>
        <w:rPr>
          <w:b/>
        </w:rPr>
        <w:t>HYRIMOZ</w:t>
      </w:r>
      <w:r>
        <w:t xml:space="preserve"> (SANDOZ GMBH AUTRICHE)</w:t>
      </w:r>
    </w:p>
    <w:p>
      <w:pPr>
        <w:pStyle w:val="ListBullet"/>
      </w:pPr>
      <w:r>
        <w:t>Formes et Dosages : Solution injectable SC en seringue préremplie, 40 mg/0,8 mL, boîte de 2 seringues</w:t>
      </w:r>
    </w:p>
    <w:p>
      <w:pPr>
        <w:pStyle w:val="ListBullet"/>
      </w:pPr>
      <w:r>
        <w:t>Statut : Actif (biosimilaire)</w:t>
      </w:r>
    </w:p>
    <w:p>
      <w:pPr>
        <w:pStyle w:val="ListBullet"/>
      </w:pPr>
      <w:r/>
      <w:r>
        <w:rPr>
          <w:b/>
        </w:rPr>
        <w:t>IDACIO</w:t>
      </w:r>
      <w:r>
        <w:t xml:space="preserve"> (FRESENIUS KABI DEUTSCHLAND GMBH)</w:t>
      </w:r>
    </w:p>
    <w:p>
      <w:pPr>
        <w:pStyle w:val="ListBullet"/>
      </w:pPr>
      <w:r>
        <w:t>Formes et Dosages : Solution injectable SC en seringue préremplie, 40 mg/0,8 mL, boîte de 2 seringues</w:t>
      </w:r>
    </w:p>
    <w:p>
      <w:pPr>
        <w:pStyle w:val="ListBullet"/>
      </w:pPr>
      <w:r>
        <w:t>Statut : Actif (biosimilaire)</w:t>
      </w:r>
    </w:p>
    <w:p>
      <w:pPr>
        <w:pStyle w:val="ListBullet"/>
      </w:pPr>
      <w:r/>
      <w:r>
        <w:rPr>
          <w:b/>
        </w:rPr>
        <w:t>ADAMIRA</w:t>
      </w:r>
      <w:r>
        <w:t xml:space="preserve"> (PUR LAB)</w:t>
      </w:r>
    </w:p>
    <w:p>
      <w:pPr>
        <w:pStyle w:val="ListBullet"/>
      </w:pPr>
      <w:r>
        <w:t>Formes et Dosages : Solution injectable SC en seringue préremplie, 40 mg/0,8 mL, boîte de 2 seringues</w:t>
      </w:r>
    </w:p>
    <w:p>
      <w:pPr>
        <w:pStyle w:val="ListBullet"/>
      </w:pPr>
      <w:r>
        <w:t>Statut : Actif (biosimilaire local algérien)</w:t>
      </w:r>
    </w:p>
    <w:p>
      <w:pPr>
        <w:pStyle w:val="ListBullet"/>
      </w:pPr>
      <w:r/>
      <w:r>
        <w:rPr>
          <w:b/>
        </w:rPr>
        <w:t>ADALIMUMAB-SAIDAL</w:t>
      </w:r>
      <w:r>
        <w:t xml:space="preserve"> (GROUPE SAIDAL)</w:t>
      </w:r>
    </w:p>
    <w:p>
      <w:pPr>
        <w:pStyle w:val="ListBullet"/>
      </w:pPr>
      <w:r>
        <w:t>Formes et Dosages : Solution injectable SC en seringue préremplie, 40 mg/0,8 mL, boîte de 2 seringues</w:t>
      </w:r>
    </w:p>
    <w:p>
      <w:pPr>
        <w:pStyle w:val="ListBullet"/>
      </w:pPr>
      <w:r>
        <w:t>Statut : Actif (biosimilaire local algérien, production Saidal)</w:t>
      </w:r>
    </w:p>
    <w:p>
      <w:r/>
      <w:r>
        <w:rPr>
          <w:b/>
        </w:rPr>
        <w:t>Sous-classe et Mécanisme d'action :</w:t>
      </w:r>
      <w:r/>
    </w:p>
    <w:p>
      <w:pPr>
        <w:pStyle w:val="ListBullet"/>
      </w:pPr>
      <w:r>
        <w:t xml:space="preserve">Sous-classe : Anti-TNFα, anticorps monoclonal </w:t>
      </w:r>
      <w:r>
        <w:rPr>
          <w:b/>
        </w:rPr>
        <w:t>entièrement humain</w:t>
      </w:r>
      <w:r>
        <w:t xml:space="preserve"> IgG1, 2e génération (2003).</w:t>
      </w:r>
    </w:p>
    <w:p>
      <w:pPr>
        <w:pStyle w:val="ListBullet"/>
      </w:pPr>
      <w:r>
        <w:t xml:space="preserve">Mécanisme d'action : L'adalimumab se lie spécifiquement au TNFα soluble et transmembranaire et </w:t>
      </w:r>
      <w:r>
        <w:rPr>
          <w:b/>
        </w:rPr>
        <w:t>neutralise sa liaison aux récepteurs p55 (TNFR1) et p75 (TNFR2)</w:t>
      </w:r>
      <w:r>
        <w:t>. Contrairement à l'infliximab (chimérique), son caractère entièrement humain réduit drastiquement l'immunogénicité. Le fragment Fc fonctionnel permet la lyse des cellules exprimant le mTNF (monocytes activés) par ADCC et CDC. L'adalimumab inhibe l'expression des molécules d'adhésion endothéliales (E-sélectine, ICAM-1), diminue le chimiotactisme leucocytaire, réduit la production d'IL-6 et de CRP, et diminue la synthèse des MMP. L'effet clinique s'installe en 2-4 semaines (induction) avec un pic d'efficacité à S12-S16.</w:t>
      </w:r>
    </w:p>
    <w:p>
      <w:r/>
      <w:r>
        <w:rPr>
          <w:b/>
        </w:rPr>
        <w:t>Profil Pharmacologique :</w:t>
      </w:r>
      <w:r/>
    </w:p>
    <w:p>
      <w:pPr>
        <w:pStyle w:val="ListBullet"/>
      </w:pPr>
      <w:r>
        <w:t>Indications : Maladie de Crohn active modérée à sévère (adulte et enfant ≥6 ans) en cas de réponse inadéquate aux conventionnels ; rectocolite hémorragique modérée à sévère (adulte, enfant ≥5 ans) ; polyarthrite rhumatoïde (active, sévère, naïve de MTX ou en échec) ; spondyloarthrite ankylosante ; rhumatisme psoriasique ; psoriasis cutané en plaques modéré à sévère ; hidrosadénite suppurée active modérée à sévère ; uvéite non infectieuse (postérieure, panuvéite) chez l'adulte ; arthrite juvénile idiopathique polyarticulaire (enfant ≥2 ans). Utilisation off-label possible dans la maladie de Behçet, le pyoderma gangrenosum.</w:t>
      </w:r>
    </w:p>
    <w:p>
      <w:pPr>
        <w:pStyle w:val="ListBullet"/>
      </w:pPr>
      <w:r>
        <w:t>Contre-indications : Tuberculose active ou latente non traitée ; infection sévère active ; sepsis ; abcès (en particulier maladie de Crohn abcédée non drainée) ; insuffisance cardiaque NYHA III-IV ; démeylinisation centrale ; cancer actif ou antécédent récent ; hépatite B non évaluée ni couverte ; hypersensibilité ; 3e trimestre de grossesse (suspension à S30-S34 par prudence).</w:t>
      </w:r>
    </w:p>
    <w:p>
      <w:pPr>
        <w:pStyle w:val="ListBullet"/>
      </w:pPr>
      <w:r>
        <w:t>Effets Indésirables :</w:t>
      </w:r>
    </w:p>
    <w:p>
      <w:pPr>
        <w:pStyle w:val="ListBullet"/>
      </w:pPr>
      <w:r/>
      <w:r>
        <w:rPr>
          <w:b/>
        </w:rPr>
        <w:t>Réactions au site d'injection</w:t>
      </w:r>
      <w:r>
        <w:t xml:space="preserve"> (~15-20%) : érythème, prurit, douleur, hématome au point d'injection — souvent transitoires, s'atténuent avec le temps. Rotation des sites recommandée.</w:t>
      </w:r>
    </w:p>
    <w:p>
      <w:pPr>
        <w:pStyle w:val="ListBullet"/>
      </w:pPr>
      <w:r/>
      <w:r>
        <w:rPr>
          <w:b/>
        </w:rPr>
        <w:t>Infections</w:t>
      </w:r>
      <w:r>
        <w:t xml:space="preserve"> : identiques à la classe — bronchites, sinusites, urinaires, herpès, candidose. Tuberculose réactivée, infections opportunistes (histoplasmose, listériose, pneumocystose), réactivation VHB.</w:t>
      </w:r>
    </w:p>
    <w:p>
      <w:pPr>
        <w:pStyle w:val="ListBullet"/>
      </w:pPr>
      <w:r/>
      <w:r>
        <w:rPr>
          <w:b/>
        </w:rPr>
        <w:t>Immunogénicité</w:t>
      </w:r>
      <w:r>
        <w:t xml:space="preserve"> : AcAA 5-12%, responsable de perte d'efficacité et de réactions locales ; dépistage par STP.</w:t>
      </w:r>
    </w:p>
    <w:p>
      <w:pPr>
        <w:pStyle w:val="ListBullet"/>
      </w:pPr>
      <w:r/>
      <w:r>
        <w:rPr>
          <w:b/>
        </w:rPr>
        <w:t>Hépatiques</w:t>
      </w:r>
      <w:r>
        <w:t xml:space="preserve"> : cytolyse, cholestase, hépatite auto-immune (rare), réactivation VHB (risque identique à l'infliximab).</w:t>
      </w:r>
    </w:p>
    <w:p>
      <w:pPr>
        <w:pStyle w:val="ListBullet"/>
      </w:pPr>
      <w:r/>
      <w:r>
        <w:rPr>
          <w:b/>
        </w:rPr>
        <w:t>Hématologiques</w:t>
      </w:r>
      <w:r>
        <w:t xml:space="preserve"> : neutropénie, thrombopénie, aplasie (rares).</w:t>
      </w:r>
    </w:p>
    <w:p>
      <w:pPr>
        <w:pStyle w:val="ListBullet"/>
      </w:pPr>
      <w:r/>
      <w:r>
        <w:rPr>
          <w:b/>
        </w:rPr>
        <w:t>Neurologiques</w:t>
      </w:r>
      <w:r>
        <w:t xml:space="preserve"> : démyélinisation, neuropathies.</w:t>
      </w:r>
    </w:p>
    <w:p>
      <w:pPr>
        <w:pStyle w:val="ListBullet"/>
      </w:pPr>
      <w:r/>
      <w:r>
        <w:rPr>
          <w:b/>
        </w:rPr>
        <w:t>Cardiaques</w:t>
      </w:r>
      <w:r>
        <w:t xml:space="preserve"> : aggravation insuffisance cardiaque.</w:t>
      </w:r>
    </w:p>
    <w:p>
      <w:pPr>
        <w:pStyle w:val="ListBullet"/>
      </w:pPr>
      <w:r/>
      <w:r>
        <w:rPr>
          <w:b/>
        </w:rPr>
        <w:t>Cutanés</w:t>
      </w:r>
      <w:r>
        <w:t xml:space="preserve"> : psoriasis paradoxal, lupus induit, eczéma.</w:t>
      </w:r>
    </w:p>
    <w:p>
      <w:pPr>
        <w:pStyle w:val="ListBullet"/>
      </w:pPr>
      <w:r/>
      <w:r>
        <w:rPr>
          <w:b/>
        </w:rPr>
        <w:t>Néoplasies</w:t>
      </w:r>
      <w:r>
        <w:t xml:space="preserve"> : lymphome (surtout en association AZA), cancers cutanés, mélanome.</w:t>
      </w:r>
    </w:p>
    <w:p>
      <w:pPr>
        <w:pStyle w:val="ListBullet"/>
      </w:pPr>
      <w:r/>
      <w:r>
        <w:rPr>
          <w:b/>
        </w:rPr>
        <w:t>Poumon</w:t>
      </w:r>
      <w:r>
        <w:t xml:space="preserve"> : pneumopathie interstitielle (rare).</w:t>
      </w:r>
    </w:p>
    <w:p>
      <w:r/>
      <w:r>
        <w:rPr>
          <w:b/>
        </w:rPr>
        <w:t>Prévention et Gestion des Effets Indésirables :</w:t>
      </w:r>
      <w:r/>
    </w:p>
    <w:p>
      <w:pPr>
        <w:pStyle w:val="ListBullet"/>
      </w:pPr>
      <w:r>
        <w:t>Mesures Préventives :</w:t>
      </w:r>
    </w:p>
    <w:p>
      <w:pPr>
        <w:pStyle w:val="ListBullet"/>
      </w:pPr>
      <w:r/>
      <w:r>
        <w:rPr>
          <w:b/>
        </w:rPr>
        <w:t>Bilan pré-thérapeutique identique à l'infliximab</w:t>
      </w:r>
      <w:r>
        <w:t xml:space="preserve"> : IDR/IGRA tuberculose, Rx thorax, sérologies VIH/VHB/VHC, NFS, transaminases, créatinine, électrophorèse.</w:t>
      </w:r>
    </w:p>
    <w:p>
      <w:pPr>
        <w:pStyle w:val="ListBullet"/>
      </w:pPr>
      <w:r/>
      <w:r>
        <w:rPr>
          <w:b/>
        </w:rPr>
        <w:t>Vaccination</w:t>
      </w:r>
      <w:r>
        <w:t xml:space="preserve"> : mise à jour vaccins inactivés 2 semaines avant (grippe, pneumocoque, hépatite B, HPV, tétanos). Vaccins vivants CI.</w:t>
      </w:r>
    </w:p>
    <w:p>
      <w:pPr>
        <w:pStyle w:val="ListBullet"/>
      </w:pPr>
      <w:r/>
      <w:r>
        <w:rPr>
          <w:b/>
        </w:rPr>
        <w:t>Formation à l'auto-administration SC</w:t>
      </w:r>
      <w:r>
        <w:t xml:space="preserve"> : éducation au geste technique (rotation des sites, hygiène, gestion des dispositifs), au repérage des signes d'alerte (fièvre, infection, réaction locale sévère).</w:t>
      </w:r>
    </w:p>
    <w:p>
      <w:pPr>
        <w:pStyle w:val="ListBullet"/>
      </w:pPr>
      <w:r/>
      <w:r>
        <w:rPr>
          <w:b/>
        </w:rPr>
        <w:t>Couverture immunosuppressive associée</w:t>
      </w:r>
      <w:r>
        <w:t xml:space="preserve"> : azathioprine ou méthotrexate pendant 6 mois minimum pour réduire l'immunogénicité (efficace surtout chez Crohn).</w:t>
      </w:r>
    </w:p>
    <w:p>
      <w:pPr>
        <w:pStyle w:val="ListBullet"/>
      </w:pPr>
      <w:r/>
      <w:r>
        <w:rPr>
          <w:b/>
        </w:rPr>
        <w:t>Surveillance</w:t>
      </w:r>
      <w:r>
        <w:t xml:space="preserve"> : NFS et transaminases mensuelles × 3 mois puis trimestrielles, CRP et calprotectine fécale à S12 puis /3 mois, suivi dermatologique annuel.</w:t>
      </w:r>
    </w:p>
    <w:p>
      <w:pPr>
        <w:pStyle w:val="ListBullet"/>
      </w:pPr>
      <w:r>
        <w:t>Conduite à Tenir :</w:t>
      </w:r>
    </w:p>
    <w:p>
      <w:pPr>
        <w:pStyle w:val="ListBullet"/>
      </w:pPr>
      <w:r/>
      <w:r>
        <w:rPr>
          <w:b/>
        </w:rPr>
        <w:t>Infection</w:t>
      </w:r>
      <w:r>
        <w:t xml:space="preserve"> : arrêt temporaire, traitement étiologique, reprise après guérison complète.</w:t>
      </w:r>
    </w:p>
    <w:p>
      <w:pPr>
        <w:pStyle w:val="ListBullet"/>
      </w:pPr>
      <w:r/>
      <w:r>
        <w:rPr>
          <w:b/>
        </w:rPr>
        <w:t>Réaction au site d'injection sévère</w:t>
      </w:r>
      <w:r>
        <w:t xml:space="preserve"> : antihistaminique, application de froid, rotation des sites, signalement. Si réaction systémique (urticaire généralisée, dyspnée) : arrêt définitif et bilan allergologique.</w:t>
      </w:r>
    </w:p>
    <w:p>
      <w:pPr>
        <w:pStyle w:val="ListBullet"/>
      </w:pPr>
      <w:r/>
      <w:r>
        <w:rPr>
          <w:b/>
        </w:rPr>
        <w:t>Perte d'efficacité</w:t>
      </w:r>
      <w:r>
        <w:t xml:space="preserve"> : STP (adalimumabémie résiduelle + AcAA). Si AcAA+ et trough &lt;5 → switch vers un autre anti-TNFα (infliximab, golimumab) ou changement de classe (ustekinumab, vedolizumab, JAK).</w:t>
      </w:r>
    </w:p>
    <w:p>
      <w:pPr>
        <w:pStyle w:val="ListBullet"/>
      </w:pPr>
      <w:r/>
      <w:r>
        <w:rPr>
          <w:b/>
        </w:rPr>
        <w:t>Tuberculose latente</w:t>
      </w:r>
      <w:r>
        <w:t xml:space="preserve"> : INH 9 mois ou rifampicine 4 mois avant initiation.</w:t>
      </w:r>
    </w:p>
    <w:p>
      <w:pPr>
        <w:pStyle w:val="ListBullet"/>
      </w:pPr>
      <w:r/>
      <w:r>
        <w:rPr>
          <w:b/>
        </w:rPr>
        <w:t>AgHBs+</w:t>
      </w:r>
      <w:r>
        <w:t xml:space="preserve"> : prophylaxie antivirale entécavir/ténofovir pendant et 12 mois après.</w:t>
      </w:r>
    </w:p>
    <w:p>
      <w:r/>
      <w:r>
        <w:rPr>
          <w:b/>
        </w:rPr>
        <w:t>Interactions Importantes :</w:t>
      </w:r>
      <w:r/>
    </w:p>
    <w:p>
      <w:pPr>
        <w:pStyle w:val="ListBullet"/>
      </w:pPr>
      <w:r/>
      <w:r>
        <w:rPr>
          <w:b/>
        </w:rPr>
        <w:t>Adalimumab + vaccins vivants</w:t>
      </w:r>
      <w:r>
        <w:t xml:space="preserve"> : CI absolue.</w:t>
      </w:r>
    </w:p>
    <w:p>
      <w:pPr>
        <w:pStyle w:val="ListBullet"/>
      </w:pPr>
      <w:r/>
      <w:r>
        <w:rPr>
          <w:b/>
        </w:rPr>
        <w:t>Adalimumab + méthotrexate</w:t>
      </w:r>
      <w:r>
        <w:t xml:space="preserve"> : association recommandée (réduction immunogénicité, synergie PR).</w:t>
      </w:r>
    </w:p>
    <w:p>
      <w:pPr>
        <w:pStyle w:val="ListBullet"/>
      </w:pPr>
      <w:r/>
      <w:r>
        <w:rPr>
          <w:b/>
        </w:rPr>
        <w:t>Adalimumab + azathioprine/6-MP</w:t>
      </w:r>
      <w:r>
        <w:t xml:space="preserve"> : synergie et réduction immunogénicité, mais augmentation du risque de lymphome hépatosplénique T (surtout sujet jeune masculin).</w:t>
      </w:r>
    </w:p>
    <w:p>
      <w:pPr>
        <w:pStyle w:val="ListBullet"/>
      </w:pPr>
      <w:r/>
      <w:r>
        <w:rPr>
          <w:b/>
        </w:rPr>
        <w:t>Adalimumab + abatacept/anakinra</w:t>
      </w:r>
      <w:r>
        <w:t xml:space="preserve"> : association déconseillée (risque infectieux).</w:t>
      </w:r>
    </w:p>
    <w:p>
      <w:pPr>
        <w:pStyle w:val="ListBullet"/>
      </w:pPr>
      <w:r/>
      <w:r>
        <w:rPr>
          <w:b/>
        </w:rPr>
        <w:t>Adalimumab + IEC/ARA2</w:t>
      </w:r>
      <w:r>
        <w:t xml:space="preserve"> : pas d'interaction pertinente.</w:t>
      </w:r>
    </w:p>
    <w:p>
      <w:pPr>
        <w:pStyle w:val="ListBullet"/>
      </w:pPr>
      <w:r/>
      <w:r>
        <w:rPr>
          <w:b/>
        </w:rPr>
        <w:t>Adalimumab + azolés</w:t>
      </w:r>
      <w:r>
        <w:t xml:space="preserve"> : pas d'interaction (catabolisme protéique).</w:t>
      </w:r>
    </w:p>
    <w:p>
      <w:r/>
      <w:r>
        <w:rPr>
          <w:b/>
        </w:rPr>
        <w:t>Grossesse et Allaitement :</w:t>
      </w:r>
      <w:r/>
    </w:p>
    <w:p>
      <w:pPr>
        <w:pStyle w:val="ListBullet"/>
      </w:pPr>
      <w:r>
        <w:t xml:space="preserve">Grossesse : Selon CRAT, </w:t>
      </w:r>
      <w:r>
        <w:rPr>
          <w:b/>
        </w:rPr>
        <w:t>compatible</w:t>
      </w:r>
      <w:r>
        <w:t xml:space="preserve"> avec la grossesse si nécessaire (pas de tératogénicité démontrée). IgG1 traverse le placenta dès S16-S20 avec transport actif au 3e trimestre (FcRn). Recommandation : maintenir pendant la grossesse, </w:t>
      </w:r>
      <w:r>
        <w:rPr>
          <w:b/>
        </w:rPr>
        <w:t>suspendre après S34</w:t>
      </w:r>
      <w:r>
        <w:t xml:space="preserve"> (dernière injection entre S30-S34), reprise 2-4 semaines post-partum.</w:t>
      </w:r>
    </w:p>
    <w:p>
      <w:pPr>
        <w:pStyle w:val="ListBullet"/>
      </w:pPr>
      <w:r>
        <w:t xml:space="preserve">Allaitement : </w:t>
      </w:r>
      <w:r>
        <w:rPr>
          <w:b/>
        </w:rPr>
        <w:t>Compatible</w:t>
      </w:r>
      <w:r>
        <w:t xml:space="preserve"> selon CRAT (passage minime dans le lait, dégradation digestive). Reprise dès J0.</w:t>
      </w:r>
    </w:p>
    <w:p>
      <w:pPr>
        <w:pStyle w:val="ListBullet"/>
      </w:pPr>
      <w:r>
        <w:t>Précisions : vaccins vivants du nourrisson différés (BCG &gt;6 mois, ROR après vérification de la clairance).</w:t>
      </w:r>
    </w:p>
    <w:p>
      <w:r/>
      <w:r>
        <w:rPr>
          <w:b/>
        </w:rPr>
        <w:t>Posologie et Mode d'administration (Standard) :</w:t>
      </w:r>
      <w:r/>
    </w:p>
    <w:p>
      <w:pPr>
        <w:pStyle w:val="ListBullet"/>
      </w:pPr>
      <w:r>
        <w:t>Adulte :</w:t>
      </w:r>
    </w:p>
    <w:p>
      <w:pPr>
        <w:pStyle w:val="ListBullet"/>
      </w:pPr>
      <w:r>
        <w:t xml:space="preserve">Maladie de Crohn (induction) : </w:t>
      </w:r>
      <w:r>
        <w:rPr>
          <w:b/>
        </w:rPr>
        <w:t>160 mg SC à S0</w:t>
      </w:r>
      <w:r>
        <w:t xml:space="preserve"> (4 injections de 40 mg en un jour ou réparties J1/J2), puis </w:t>
      </w:r>
      <w:r>
        <w:rPr>
          <w:b/>
        </w:rPr>
        <w:t>80 mg à S2</w:t>
      </w:r>
      <w:r>
        <w:t xml:space="preserve">, puis </w:t>
      </w:r>
      <w:r>
        <w:rPr>
          <w:b/>
        </w:rPr>
        <w:t>40 mg un jour sur deux (1 injection/2 sem)</w:t>
      </w:r>
      <w:r>
        <w:t xml:space="preserve"> à partir de S4.</w:t>
      </w:r>
    </w:p>
    <w:p>
      <w:pPr>
        <w:pStyle w:val="ListBullet"/>
      </w:pPr>
      <w:r>
        <w:t>RCH : schéma identique (160/80/40).</w:t>
      </w:r>
    </w:p>
    <w:p>
      <w:pPr>
        <w:pStyle w:val="ListBullet"/>
      </w:pPr>
      <w:r>
        <w:t>Enfant ≥6 ans (Crohn) et ≥5 ans (RCH) : posologie selon le poids — &lt;20 kg : 80/40/20 ; 20-40 kg : 160/80/20 à 40 ; ≥40 kg : schéma adulte.</w:t>
      </w:r>
    </w:p>
    <w:p>
      <w:pPr>
        <w:pStyle w:val="ListBullet"/>
      </w:pPr>
      <w:r>
        <w:t>PR, rhumatismes : 40 mg/2 semaines (parfois /semaine en cas de réponse insuffisante).</w:t>
      </w:r>
    </w:p>
    <w:p>
      <w:pPr>
        <w:pStyle w:val="ListBullet"/>
      </w:pPr>
      <w:r>
        <w:t>Psoriasis : induction 80 mg S0, 40 mg S1, puis 40 mg/2 sem.</w:t>
      </w:r>
    </w:p>
    <w:p>
      <w:pPr>
        <w:pStyle w:val="ListBullet"/>
      </w:pPr>
      <w:r>
        <w:t>Hidrosadénite : 160 mg S0, 80 mg S2, puis 40 mg/2 sem à S4 (ou /semaine en alternance).</w:t>
      </w:r>
    </w:p>
    <w:p>
      <w:pPr>
        <w:pStyle w:val="ListBullet"/>
      </w:pPr>
      <w:r>
        <w:t>Mode d'administration : SC (cuisse, abdomen, bras), rotation des sites, injection lente (10-20 secondes), ne pas masser.</w:t>
      </w:r>
    </w:p>
    <w:p>
      <w:pPr>
        <w:pStyle w:val="ListBullet"/>
      </w:pPr>
      <w:r>
        <w:t>Sujet âgé : pas d'adaptation systématique, surveillance accrue (infections, fonction rénale).</w:t>
      </w:r>
    </w:p>
    <w:p>
      <w:pPr>
        <w:pStyle w:val="ListBullet"/>
      </w:pPr>
      <w:r>
        <w:t>Durée : au long cours, réévaluation annuelle. Arrêt envisageable après rémission profonde prolongée (≥2 ans).</w:t>
      </w:r>
    </w:p>
    <w:p>
      <w:pPr>
        <w:pStyle w:val="ListBullet"/>
      </w:pPr>
      <w:r>
        <w:t>Moment de prise : à heure fixe selon schéma, indifférent matin/soir.</w:t>
      </w:r>
    </w:p>
    <w:p>
      <w:r/>
      <w:r>
        <w:rPr>
          <w:b/>
        </w:rPr>
        <w:t>Arbitrage et Bénéfices des Formes Galéniques :</w:t>
      </w:r>
      <w:r/>
    </w:p>
    <w:p>
      <w:r>
        <w:t xml:space="preserve">La forme SC en seringue préremplie présente des avantages décisifs : (i) auto-administration à domicile après formation ; (ii) pas d'hospitalisation ; (iii) coût global inférieur à l'IV (pas de frais d'hospitalisation de jour) ; (iv) moindre immunogénicité ; (v) stabilité des concentrations plasmatiques (pas de pics). Inconvénients : (i) formation initiale obligatoire ; (ii) gestion du stock et de la chaîne du froid par le patient ; (iii) impossibilité d'adapter la dose en temps réel ; (iv) délai d'action plus lent que l'IV en phase aiguë sévère. Le choix entre princeps (HUMIRA) et biosimilaires (8 disponibles) se fait sur critères économiques et de préférence du dispositif (stylo vs seringue). Le pharmacien doit insister sur la </w:t>
      </w:r>
      <w:r>
        <w:rPr>
          <w:b/>
        </w:rPr>
        <w:t>traçabilité du produit</w:t>
      </w:r>
      <w:r>
        <w:t xml:space="preserve"> (pas de switch intempestif entre biosimilaires sans avis médical) et sur la formation à l'usage.</w:t>
      </w:r>
    </w:p>
    <w:p>
      <w:r/>
      <w:r>
        <w:rPr>
          <w:b/>
        </w:rPr>
        <w:t>Instructions et Conseils au Patient :</w:t>
      </w:r>
      <w:r/>
    </w:p>
    <w:p>
      <w:pPr>
        <w:pStyle w:val="ListBullet"/>
      </w:pPr>
      <w:r>
        <w:t>Communication au comptoir : "Votre traitement s'appelle l'adalimumab, c'est un anticorps monoclonal humain anti-TNFα. Vous l'auto-administrez à domicile par injection sous-cutanée, toutes les 2 semaines (sauf schéma d'induction initial). Pour la maladie de Crohn ou la RCH, le schéma est : 4 injections (160 mg) à S0, 2 injections (80 mg) à S2, puis 1 injection (40 mg) toutes les 2 semaines à partir de S4. L'effet apparaît en 2-4 semaines. Risques principaux : infections (surtout tuberculose, hépatites, herpès), réactions au point d'injection (rougeur, démangeaison — bénignes, transitoires), rarement allergies graves. Conservez au réfrigérateur (+2-8°C), ne pas congeler. Sortez la seringue 15-30 min avant pour la ramener à température ambiante. Faites l'injection dans la cuisse ou l'abdomen, en alternant les sites. Signalez toute fièvre, toux, perte de poids, sueurs nocturnes, douleur abdominale ou lésion cutanée suspecte."</w:t>
      </w:r>
    </w:p>
    <w:p>
      <w:pPr>
        <w:pStyle w:val="ListBullet"/>
      </w:pPr>
      <w:r>
        <w:t>Mode d'utilisation pratique : se laver les mains, désinfecter le site, sortir la seringue 15-30 min avant, vérifier absence de particules, pincer le pli cutané, injecter à 45° (seringue) ou 90° (stylo), tenir 10 secondes, retirer doucement, ne pas masser, jeter le dispositif dans collecteur d'objets piquants. En cas d'oubli : injecter dès que possible dans les 7 jours, sinon sauter et reprendre le calendrier normal.</w:t>
      </w:r>
    </w:p>
    <w:p>
      <w:r/>
      <w:r>
        <w:rPr>
          <w:b/>
        </w:rPr>
        <w:t>Notes, Règles d'Or &amp; Pièges au Comptoir :</w:t>
      </w:r>
      <w:r/>
    </w:p>
    <w:p>
      <w:pPr>
        <w:pStyle w:val="ListBullet"/>
      </w:pPr>
      <w:r>
        <w:t xml:space="preserve">Piège classique : </w:t>
      </w:r>
      <w:r>
        <w:rPr>
          <w:b/>
        </w:rPr>
        <w:t>dépistage TB oublié</w:t>
      </w:r>
      <w:r>
        <w:t xml:space="preserve"> — toujours vérifier la présence d'un bilan pré-thérapeutique complet avant dispensation. Le pharmacien doit demander la prescription initiale hospitalière et le bilan.</w:t>
      </w:r>
    </w:p>
    <w:p>
      <w:pPr>
        <w:pStyle w:val="ListBullet"/>
      </w:pPr>
      <w:r>
        <w:t xml:space="preserve">Règle de prise : </w:t>
      </w:r>
      <w:r>
        <w:rPr>
          <w:b/>
        </w:rPr>
        <w:t>chaîne du froid impérative</w:t>
      </w:r>
      <w:r>
        <w:t xml:space="preserve"> (+2-8°C), transport en sac isotherme, conservation transitoire à T° ambiante (25°C max) possible 14 jours (une seule fois).</w:t>
      </w:r>
    </w:p>
    <w:p>
      <w:pPr>
        <w:pStyle w:val="ListBullet"/>
      </w:pPr>
      <w:r>
        <w:t>Préparation et Conservation : +2-8°C à l'abri de la lumière, ne pas congeler, ne pas agiter.</w:t>
      </w:r>
    </w:p>
    <w:p>
      <w:pPr>
        <w:pStyle w:val="ListBullet"/>
      </w:pPr>
      <w:r>
        <w:t xml:space="preserve">Piège du surdosage / Substitution : </w:t>
      </w:r>
      <w:r>
        <w:rPr>
          <w:b/>
        </w:rPr>
        <w:t>pas de substitution automatique entre biosimilaires</w:t>
      </w:r>
      <w:r>
        <w:t xml:space="preserve"> — la décision médicale est souveraine. Le pharmacien trace le produit délivré, informe le patient du nom exact de sa spécialité et lui conseille de toujours présenter la même ordonnance.</w:t>
      </w:r>
    </w:p>
    <w:p>
      <w:pPr>
        <w:pStyle w:val="ListBullet"/>
      </w:pPr>
      <w:r>
        <w:t>Piège vaccin : vaccins vivants CI pendant et jusqu'à 3 mois après l'arrêt.</w:t>
      </w:r>
    </w:p>
    <w:p>
      <w:pPr>
        <w:pStyle w:val="ListBullet"/>
      </w:pPr>
      <w:r>
        <w:t>Piège grossesse : suspendre après S34.</w:t>
      </w:r>
    </w:p>
    <w:p>
      <w:pPr>
        <w:pStyle w:val="ListBullet"/>
      </w:pPr>
      <w:r>
        <w:t>Piège infection : chez le Crohn, avant toute initiation, vérifier l'absence d'abcès abdominal (TDM/IRM) — un anti-TNF sur abcès non drainé = risque de sepsis grave.</w:t>
      </w:r>
    </w:p>
    <w:p>
      <w:pPr>
        <w:pStyle w:val="Heading3"/>
      </w:pPr>
      <w:r>
        <w:t>3. DCI : Certolizumab pegol (Seule)</w:t>
      </w:r>
    </w:p>
    <w:p>
      <w:r/>
      <w:r>
        <w:rPr>
          <w:b/>
        </w:rPr>
        <w:t>Liste des Catégories :</w:t>
      </w:r>
      <w:r>
        <w:t xml:space="preserve"> LISTE I — Biothérapie anticorps monoclonal anti-TNFα, prescription hospitalière spécialisée.</w:t>
      </w:r>
    </w:p>
    <w:p>
      <w:r>
        <w:t xml:space="preserve">Le </w:t>
      </w:r>
      <w:r>
        <w:rPr>
          <w:b/>
        </w:rPr>
        <w:t>certolizumab pegol</w:t>
      </w:r>
      <w:r>
        <w:t xml:space="preserve"> est un anticorps monoclonal </w:t>
      </w:r>
      <w:r>
        <w:rPr>
          <w:b/>
        </w:rPr>
        <w:t>humanisé de type Fab' pégylé</w:t>
      </w:r>
      <w:r>
        <w:t xml:space="preserve">, dépourvu de fragment Fc. Cette particularité structurale le distingue fondamentalement des autres anti-TNFα : (i) le fragment Fab' est le seul site de reconnaissance du TNFα, sans médiation ADCC/CDC (pas de cytotoxicité cellulaire dirigée contre les monocytes mTNF+) ; (ii) la </w:t>
      </w:r>
      <w:r>
        <w:rPr>
          <w:b/>
        </w:rPr>
        <w:t>pégylatation</w:t>
      </w:r>
      <w:r>
        <w:t xml:space="preserve"> (couplage à un polyéthylène glycol de 40 kDa) prolonge la demi-vie à ~14 jours, autorisant une administration SC bimensuelle ; (iii) l'</w:t>
      </w:r>
      <w:r>
        <w:rPr>
          <w:b/>
        </w:rPr>
        <w:t>absence de fragment Fc</w:t>
      </w:r>
      <w:r>
        <w:t xml:space="preserve"> empêche le passage transplacentaire actif via FcRn — ce qui en fait l'anti-TNFα de </w:t>
      </w:r>
      <w:r>
        <w:rPr>
          <w:b/>
        </w:rPr>
        <w:t>choix chez la femme enceinte</w:t>
      </w:r>
      <w:r>
        <w:t xml:space="preserve"> (concentration néonatale négligeable). Administré par voie SC à 400 mg (2 injections de 200 mg), il est commercialisé sous le nom de CIMZIA en Algérie. Sa place dans la stratégie thérapeutique des MICI est plus limitée que l'infliximab ou l'adalimumab (absence d'AMM européenne dans la RCH, AMM limitée dans le Crohn dans certains pays), mais il conserve une indication dans la maladie de Crohn active modérée à sévère chez l'adulte n'ayant pas répondu à un traitement conventionnel.</w:t>
      </w:r>
    </w:p>
    <w:p>
      <w:r/>
      <w:r>
        <w:rPr>
          <w:b/>
        </w:rPr>
        <w:t>Médicaments disponibles en Algérie (Marques, Laboratoires, Formes et Dosages) :</w:t>
      </w:r>
      <w:r/>
    </w:p>
    <w:p>
      <w:pPr>
        <w:pStyle w:val="ListBullet"/>
      </w:pPr>
      <w:r/>
      <w:r>
        <w:rPr>
          <w:b/>
        </w:rPr>
        <w:t>CIMZIA</w:t>
      </w:r>
      <w:r>
        <w:t xml:space="preserve"> (UCB PHARMA SA)</w:t>
      </w:r>
    </w:p>
    <w:p>
      <w:pPr>
        <w:pStyle w:val="ListBullet"/>
      </w:pPr>
      <w:r>
        <w:t>Formes et Dosages : Solution injectable, 200 mg/mL, boîte de 2 seringues préremplies de 1 mL + 2 tampons alcoolisés</w:t>
      </w:r>
    </w:p>
    <w:p>
      <w:pPr>
        <w:pStyle w:val="ListBullet"/>
      </w:pPr>
      <w:r>
        <w:t>Statut : Actif (princeps, produit de référence)</w:t>
      </w:r>
    </w:p>
    <w:p>
      <w:r/>
      <w:r>
        <w:rPr>
          <w:b/>
        </w:rPr>
        <w:t>Sous-classe et Mécanisme d'action :</w:t>
      </w:r>
      <w:r/>
    </w:p>
    <w:p>
      <w:pPr>
        <w:pStyle w:val="ListBullet"/>
      </w:pPr>
      <w:r>
        <w:t xml:space="preserve">Sous-classe : Anti-TNFα, </w:t>
      </w:r>
      <w:r>
        <w:rPr>
          <w:b/>
        </w:rPr>
        <w:t>fragment Fab' pégylé humanisé</w:t>
      </w:r>
      <w:r>
        <w:t xml:space="preserve"> sans fragment Fc, 3e génération.</w:t>
      </w:r>
    </w:p>
    <w:p>
      <w:pPr>
        <w:pStyle w:val="ListBullet"/>
      </w:pPr>
      <w:r>
        <w:t xml:space="preserve">Mécanisme d'action : Le certolizumab pegol se lie avec haute affinité au TNFα soluble et transmembranaire, neutralisant sa fixation aux récepteurs p55 et p75. L'absence de fragment Fc supprime toute cytotoxicité cellulaire dépendante des anticorps (ADCC) et toute activation du complément (CDC) — le mécanisme est </w:t>
      </w:r>
      <w:r>
        <w:rPr>
          <w:b/>
        </w:rPr>
        <w:t>purement neutralisant</w:t>
      </w:r>
      <w:r>
        <w:t>, sans lyse des cellules présentant le mTNF. La pégylatation augmente la masse moléculaire apparente (~90 kDa), diminue la clairance rénale, prolonge la demi-vie à 14 jours. Cette structure particulière réduit l'immunogénicité (Ac anti-certolizumab &lt;8% en monothérapie) et permet une administration SC toutes les 2 semaines après induction. La neutralisation du TNFα conduit, comme pour les autres anti-TNFα, à la réduction de l'inflammation muqueuse, de la CRP, des chimiokines et des MMP.</w:t>
      </w:r>
    </w:p>
    <w:p>
      <w:r/>
      <w:r>
        <w:rPr>
          <w:b/>
        </w:rPr>
        <w:t>Profil Pharmacologique :</w:t>
      </w:r>
      <w:r/>
    </w:p>
    <w:p>
      <w:pPr>
        <w:pStyle w:val="ListBullet"/>
      </w:pPr>
      <w:r>
        <w:t>Indications : Maladie de Crohn active modérée à sévère de l'adulte en cas de réponse inadéquate au traitement conventionnel (AMM européenne limitée) ; polyarthrite rhumatoïde active modérée à sévère (en association au MTX, en cas de réponse inadéquate aux DMARDs incluant MTX) ; spondyloarthrite axiale (radiographique et non radiographique) ; rhumatisme psoriasique ; psoriasis cutané en plaques modéré à sévère ; axSpA. Dans la RCH, le certolizumab a démontré une efficacité modeste (essais cliniques négatifs) et n'a pas d'AMM dans cette indication.</w:t>
      </w:r>
    </w:p>
    <w:p>
      <w:pPr>
        <w:pStyle w:val="ListBullet"/>
      </w:pPr>
      <w:r>
        <w:t>Contre-indications : Tuberculose active ou latente non traitée ; infection sévère active ; insuffisance cardiaque NYHA III-IV ; démeylinisation centrale ; cancer actif ; hépatite B non évaluée ; hypersensibilité au certolizumab ou au PEG ; 3e trimestre de grossesse (par prudence, bien que l'absence de Fc réduise le passage).</w:t>
      </w:r>
    </w:p>
    <w:p>
      <w:pPr>
        <w:pStyle w:val="ListBullet"/>
      </w:pPr>
      <w:r>
        <w:t>Effets Indésirables :</w:t>
      </w:r>
    </w:p>
    <w:p>
      <w:pPr>
        <w:pStyle w:val="ListBullet"/>
      </w:pPr>
      <w:r/>
      <w:r>
        <w:rPr>
          <w:b/>
        </w:rPr>
        <w:t>Réactions au site d'injection</w:t>
      </w:r>
      <w:r>
        <w:t xml:space="preserve"> (~10-15%) : érythème, prurit, douleur, hématome.</w:t>
      </w:r>
    </w:p>
    <w:p>
      <w:pPr>
        <w:pStyle w:val="ListBullet"/>
      </w:pPr>
      <w:r/>
      <w:r>
        <w:rPr>
          <w:b/>
        </w:rPr>
        <w:t>Infections</w:t>
      </w:r>
      <w:r>
        <w:t xml:space="preserve"> : bronchites, urinaires, herpès, candidose ; TB réactivée, opportunistes (plus rares que sous infliximab), réactivation VHB.</w:t>
      </w:r>
    </w:p>
    <w:p>
      <w:pPr>
        <w:pStyle w:val="ListBullet"/>
      </w:pPr>
      <w:r/>
      <w:r>
        <w:rPr>
          <w:b/>
        </w:rPr>
        <w:t>Immunogénicité</w:t>
      </w:r>
      <w:r>
        <w:t xml:space="preserve"> : Ac anti-certolizumab &lt;8% (Ac neutralisants plus rares).</w:t>
      </w:r>
    </w:p>
    <w:p>
      <w:pPr>
        <w:pStyle w:val="ListBullet"/>
      </w:pPr>
      <w:r/>
      <w:r>
        <w:rPr>
          <w:b/>
        </w:rPr>
        <w:t>Hépatiques</w:t>
      </w:r>
      <w:r>
        <w:t xml:space="preserve"> : cytolyse, cholestase, réactivation VHB.</w:t>
      </w:r>
    </w:p>
    <w:p>
      <w:pPr>
        <w:pStyle w:val="ListBullet"/>
      </w:pPr>
      <w:r/>
      <w:r>
        <w:rPr>
          <w:b/>
        </w:rPr>
        <w:t>Hématologiques</w:t>
      </w:r>
      <w:r>
        <w:t xml:space="preserve"> : neutropénie, thrombopénie (rares).</w:t>
      </w:r>
    </w:p>
    <w:p>
      <w:pPr>
        <w:pStyle w:val="ListBullet"/>
      </w:pPr>
      <w:r/>
      <w:r>
        <w:rPr>
          <w:b/>
        </w:rPr>
        <w:t>Neurologiques</w:t>
      </w:r>
      <w:r>
        <w:t xml:space="preserve"> : démyélinisation, neuropathies.</w:t>
      </w:r>
    </w:p>
    <w:p>
      <w:pPr>
        <w:pStyle w:val="ListBullet"/>
      </w:pPr>
      <w:r/>
      <w:r>
        <w:rPr>
          <w:b/>
        </w:rPr>
        <w:t>Cardiaques</w:t>
      </w:r>
      <w:r>
        <w:t xml:space="preserve"> : aggravation insuffisance cardiaque.</w:t>
      </w:r>
    </w:p>
    <w:p>
      <w:pPr>
        <w:pStyle w:val="ListBullet"/>
      </w:pPr>
      <w:r/>
      <w:r>
        <w:rPr>
          <w:b/>
        </w:rPr>
        <w:t>Cutanés</w:t>
      </w:r>
      <w:r>
        <w:t xml:space="preserve"> : psoriasis paradoxal, lupus induit.</w:t>
      </w:r>
    </w:p>
    <w:p>
      <w:pPr>
        <w:pStyle w:val="ListBullet"/>
      </w:pPr>
      <w:r/>
      <w:r>
        <w:rPr>
          <w:b/>
        </w:rPr>
        <w:t>Néoplasies</w:t>
      </w:r>
      <w:r>
        <w:t xml:space="preserve"> : lymphome (surtout en association AZA), cancers cutanés.</w:t>
      </w:r>
    </w:p>
    <w:p>
      <w:r/>
      <w:r>
        <w:rPr>
          <w:b/>
        </w:rPr>
        <w:t>Prévention et Gestion des Effets Indésirables :</w:t>
      </w:r>
      <w:r/>
    </w:p>
    <w:p>
      <w:pPr>
        <w:pStyle w:val="ListBullet"/>
      </w:pPr>
      <w:r>
        <w:t xml:space="preserve">Mesures Préventives : </w:t>
      </w:r>
      <w:r>
        <w:rPr>
          <w:b/>
        </w:rPr>
        <w:t>Bilan pré-thérapeutique identique à la classe anti-TNFα</w:t>
      </w:r>
      <w:r>
        <w:t xml:space="preserve"> (IDR/IGRA TB, Rx thorax, sérologies VIH/VHB/VHC, NFS, transaminases, créatinine, électrophorèse). Vaccination mise à jour avant initiation ; vaccins vivants CI. Formation à l'auto-administration SC. Surveillance NFS/transaminases mensuelles 3 mois puis trimestrielles.</w:t>
      </w:r>
    </w:p>
    <w:p>
      <w:pPr>
        <w:pStyle w:val="ListBullet"/>
      </w:pPr>
      <w:r>
        <w:t>Conduite à Tenir : arrêt en cas d'infection sévère ; antihistaminique en cas de réaction locale ; STP (trough certolizumab, Ac anti-certolizumab) en cas de perte d'efficacité ; TB latente → INH 9 mois ; VHB+ → entécavir/ténofovir.</w:t>
      </w:r>
    </w:p>
    <w:p>
      <w:r/>
      <w:r>
        <w:rPr>
          <w:b/>
        </w:rPr>
        <w:t>Interactions Importantes :</w:t>
      </w:r>
      <w:r/>
    </w:p>
    <w:p>
      <w:pPr>
        <w:pStyle w:val="ListBullet"/>
      </w:pPr>
      <w:r/>
      <w:r>
        <w:rPr>
          <w:b/>
        </w:rPr>
        <w:t>Certolizumab + vaccins vivants</w:t>
      </w:r>
      <w:r>
        <w:t xml:space="preserve"> : CI absolue.</w:t>
      </w:r>
    </w:p>
    <w:p>
      <w:pPr>
        <w:pStyle w:val="ListBullet"/>
      </w:pPr>
      <w:r/>
      <w:r>
        <w:rPr>
          <w:b/>
        </w:rPr>
        <w:t>Certolizumab + méthotrexate</w:t>
      </w:r>
      <w:r>
        <w:t xml:space="preserve"> : association recommandée en PR (réduction immunogénicité).</w:t>
      </w:r>
    </w:p>
    <w:p>
      <w:pPr>
        <w:pStyle w:val="ListBullet"/>
      </w:pPr>
      <w:r/>
      <w:r>
        <w:rPr>
          <w:b/>
        </w:rPr>
        <w:t>Certolizumab + azathioprine/6-MP</w:t>
      </w:r>
      <w:r>
        <w:t xml:space="preserve"> : possible (Crohn), surveillance hématologique et hépatique accrue.</w:t>
      </w:r>
    </w:p>
    <w:p>
      <w:pPr>
        <w:pStyle w:val="ListBullet"/>
      </w:pPr>
      <w:r/>
      <w:r>
        <w:rPr>
          <w:b/>
        </w:rPr>
        <w:t>Certolizumab + abatacept/anakinra</w:t>
      </w:r>
      <w:r>
        <w:t xml:space="preserve"> : association déconseillée (risque infectieux).</w:t>
      </w:r>
    </w:p>
    <w:p>
      <w:pPr>
        <w:pStyle w:val="ListBullet"/>
      </w:pPr>
      <w:r/>
      <w:r>
        <w:rPr>
          <w:b/>
        </w:rPr>
        <w:t>Certolizumab + warfine/AOD</w:t>
      </w:r>
      <w:r>
        <w:t xml:space="preserve"> : pas d'interaction pharmacocinétique pertinente.</w:t>
      </w:r>
    </w:p>
    <w:p>
      <w:r/>
      <w:r>
        <w:rPr>
          <w:b/>
        </w:rPr>
        <w:t>Grossesse et Allaitement :</w:t>
      </w:r>
      <w:r/>
    </w:p>
    <w:p>
      <w:pPr>
        <w:pStyle w:val="ListBullet"/>
      </w:pPr>
      <w:r>
        <w:t xml:space="preserve">Grossesse : Selon CRAT, </w:t>
      </w:r>
      <w:r>
        <w:rPr>
          <w:b/>
        </w:rPr>
        <w:t>compatible</w:t>
      </w:r>
      <w:r>
        <w:t xml:space="preserve"> avec la grossesse si nécessaire. L'absence de fragment Fc supprime le transport actif transplacentaire via FcRn — le passage fœtal est minime et les concentrations néonatales sont </w:t>
      </w:r>
      <w:r>
        <w:rPr>
          <w:b/>
        </w:rPr>
        <w:t>négligeables</w:t>
      </w:r>
      <w:r>
        <w:t xml:space="preserve"> quel que soit le trimestre. C'est l'anti-TNFα de </w:t>
      </w:r>
      <w:r>
        <w:rPr>
          <w:b/>
        </w:rPr>
        <w:t>choix chez la femme enceinte</w:t>
      </w:r>
      <w:r>
        <w:t xml:space="preserve"> (situation où une biothérapie est nécessaire). Maintien possible tout au long de la grossesse, y compris au 3e trimestre.</w:t>
      </w:r>
    </w:p>
    <w:p>
      <w:pPr>
        <w:pStyle w:val="ListBullet"/>
      </w:pPr>
      <w:r>
        <w:t xml:space="preserve">Allaitement : </w:t>
      </w:r>
      <w:r>
        <w:rPr>
          <w:b/>
        </w:rPr>
        <w:t>Compatible</w:t>
      </w:r>
      <w:r>
        <w:t xml:space="preserve"> (passage minime dans le lait, dégradation digestive). Reprise dès J0.</w:t>
      </w:r>
    </w:p>
    <w:p>
      <w:pPr>
        <w:pStyle w:val="ListBullet"/>
      </w:pPr>
      <w:r>
        <w:t>Précisions : vaccins vivants du nourrisson (BCG, ROR) — en théorie moins problématiques qu'avec les IgG1 complètes, mais prudence recommandée : différer BCG &gt;3 mois et ROR selon calendrier habituel.</w:t>
      </w:r>
    </w:p>
    <w:p>
      <w:r/>
      <w:r>
        <w:rPr>
          <w:b/>
        </w:rPr>
        <w:t>Posologie et Mode d'administration (Standard) :</w:t>
      </w:r>
      <w:r/>
    </w:p>
    <w:p>
      <w:pPr>
        <w:pStyle w:val="ListBullet"/>
      </w:pPr>
      <w:r>
        <w:t>Adulte :</w:t>
      </w:r>
    </w:p>
    <w:p>
      <w:pPr>
        <w:pStyle w:val="ListBullet"/>
      </w:pPr>
      <w:r>
        <w:t xml:space="preserve">Maladie de Crohn (induction) : </w:t>
      </w:r>
      <w:r>
        <w:rPr>
          <w:b/>
        </w:rPr>
        <w:t>400 mg SC à S0, S2, S4</w:t>
      </w:r>
      <w:r>
        <w:t xml:space="preserve"> (2 injections de 200 mg à chaque fois), puis </w:t>
      </w:r>
      <w:r>
        <w:rPr>
          <w:b/>
        </w:rPr>
        <w:t>400 mg SC toutes les 4 semaines</w:t>
      </w:r>
      <w:r>
        <w:t xml:space="preserve"> en entretien.</w:t>
      </w:r>
    </w:p>
    <w:p>
      <w:pPr>
        <w:pStyle w:val="ListBullet"/>
      </w:pPr>
      <w:r>
        <w:t>PR : 400 mg à S0, S2, S4 puis 200 mg/2 sem ou 400 mg/4 sem.</w:t>
      </w:r>
    </w:p>
    <w:p>
      <w:pPr>
        <w:pStyle w:val="ListBullet"/>
      </w:pPr>
      <w:r>
        <w:t>Spondyloarthrite, rhumatisme psoriasique : 400 mg à S0, S2, S4 puis 200 mg/2 sem.</w:t>
      </w:r>
    </w:p>
    <w:p>
      <w:pPr>
        <w:pStyle w:val="ListBullet"/>
      </w:pPr>
      <w:r>
        <w:t>Psoriasis : 400 mg S0, S2, S4 puis 200 mg/2 sem.</w:t>
      </w:r>
    </w:p>
    <w:p>
      <w:pPr>
        <w:pStyle w:val="ListBullet"/>
      </w:pPr>
      <w:r>
        <w:t>Mode d'administration : SC, deux sites d'injection séparés (cuisses ou abdomen), rotation.</w:t>
      </w:r>
    </w:p>
    <w:p>
      <w:pPr>
        <w:pStyle w:val="ListBullet"/>
      </w:pPr>
      <w:r>
        <w:t>Sujet âgé : pas d'adaptation systématique, surveillance accrue.</w:t>
      </w:r>
    </w:p>
    <w:p>
      <w:pPr>
        <w:pStyle w:val="ListBullet"/>
      </w:pPr>
      <w:r>
        <w:t>Durée : au long cours, réévaluation annuelle.</w:t>
      </w:r>
    </w:p>
    <w:p>
      <w:pPr>
        <w:pStyle w:val="ListBullet"/>
      </w:pPr>
      <w:r>
        <w:t>Moment de prise : indifférent matin/soir, à heure fixe selon schéma.</w:t>
      </w:r>
    </w:p>
    <w:p>
      <w:r/>
      <w:r>
        <w:rPr>
          <w:b/>
        </w:rPr>
        <w:t>Arbitrage et Bénéfices des Formes Galéniques :</w:t>
      </w:r>
      <w:r/>
    </w:p>
    <w:p>
      <w:r>
        <w:t>La forme SC en seringue préremplie de 200 mg/mL (deux seringues par boîte) permet l'auto-administration à domicile, avec deux injections concomitantes (sites séparés). Les avantages sont l'absence de passage hospitalier, la facilité d'usage, la tolérance locale correcte, l'absence d'immunogénicité marquée. Inconvénients : pas de pic sérique élevé (peu adapté à la phase aiguë sévère), efficacité dans la RCH non démontrée, AMM européenne limitée au Crohn.</w:t>
      </w:r>
    </w:p>
    <w:p>
      <w:r/>
      <w:r>
        <w:rPr>
          <w:b/>
        </w:rPr>
        <w:t>Instructions et Conseils au Patient :</w:t>
      </w:r>
      <w:r/>
    </w:p>
    <w:p>
      <w:pPr>
        <w:pStyle w:val="ListBullet"/>
      </w:pPr>
      <w:r>
        <w:t>Communication au comptoir : "Votre traitement s'appelle le certolizumab pegol (CIMZIA). C'est un anticorps monoclonal dirigé contre le TNFα, à structure particulière (Fab' pégylé sans fragment Fc). Vous l'injectez vous-même par voie sous-cutanée, à raison de 2 injections de 200 mg le même jour (sites différents), selon le schéma S0, S2, S4 puis toutes les 4 semaines. L'effet apparaît en 2-4 semaines. Les risques principaux sont les infections (tuberculose, hépatites, herpès), les réactions locales au point d'injection (rougeur transitoire), rarement des réactions allergiques. Conservez au réfrigérateur (+2-8°C). Sortez les seringues 30 min avant l'injection. Avant de commencer le traitement, vous devez avoir passé un dépistage tuberculose, hépatites et VIH."</w:t>
      </w:r>
    </w:p>
    <w:p>
      <w:pPr>
        <w:pStyle w:val="ListBullet"/>
      </w:pPr>
      <w:r>
        <w:t>Mode d'utilisation pratique : se laver les mains, désinfecter, sortir les 2 seringues 30 min avant, vérifier absence de particules, pincer le pli, injecter à 45°, tenir 10 s, jeter dans collecteur.</w:t>
      </w:r>
    </w:p>
    <w:p>
      <w:r/>
      <w:r>
        <w:rPr>
          <w:b/>
        </w:rPr>
        <w:t>Notes, Règles d'Or &amp; Pièges au Comptoir :</w:t>
      </w:r>
      <w:r/>
    </w:p>
    <w:p>
      <w:pPr>
        <w:pStyle w:val="ListBullet"/>
      </w:pPr>
      <w:r>
        <w:t xml:space="preserve">Piège classique : </w:t>
      </w:r>
      <w:r>
        <w:rPr>
          <w:b/>
        </w:rPr>
        <w:t>oubli du dépistage TB</w:t>
      </w:r>
      <w:r>
        <w:t xml:space="preserve"> — toujours vérifier le bilan pré-thérapeutique.</w:t>
      </w:r>
    </w:p>
    <w:p>
      <w:pPr>
        <w:pStyle w:val="ListBullet"/>
      </w:pPr>
      <w:r>
        <w:t>Règle de prise : chaîne du froid +2-8°C, ne pas congeler, transport isotherme.</w:t>
      </w:r>
    </w:p>
    <w:p>
      <w:pPr>
        <w:pStyle w:val="ListBullet"/>
      </w:pPr>
      <w:r>
        <w:t>Préparation et Conservation : +2-8°C à l'abri de la lumière, stable 24h à température ambiante (25°C max).</w:t>
      </w:r>
    </w:p>
    <w:p>
      <w:pPr>
        <w:pStyle w:val="ListBullet"/>
      </w:pPr>
      <w:r>
        <w:t>Piège du surdosage / Substitution : pas de biosimilaire disponible à ce jour en Algérie (un seul princeps CIMZIA), pas de problème de substitution.</w:t>
      </w:r>
    </w:p>
    <w:p>
      <w:pPr>
        <w:pStyle w:val="ListBullet"/>
      </w:pPr>
      <w:r>
        <w:t>Piège vaccin : vaccins vivants CI pendant et 3 mois après l'arrêt.</w:t>
      </w:r>
    </w:p>
    <w:p>
      <w:pPr>
        <w:pStyle w:val="ListBullet"/>
      </w:pPr>
      <w:r>
        <w:t>Piège grossesse : certolizumab = anti-TNFα de choix (absence de Fc, pas de passage transplacentaire significatif). À privilégier chez la femme enceinte.</w:t>
      </w:r>
    </w:p>
    <w:p>
      <w:pPr>
        <w:pStyle w:val="ListBullet"/>
      </w:pPr>
      <w:r>
        <w:t>Piège infection : pas d'effet cytotoxique direct (pas d'ADCC), mais le risque infectieux reste présent.</w:t>
      </w:r>
    </w:p>
    <w:p>
      <w:pPr>
        <w:pStyle w:val="Heading3"/>
      </w:pPr>
      <w:r>
        <w:t>4. DCI : Golimumab (Seule)</w:t>
      </w:r>
    </w:p>
    <w:p>
      <w:r/>
      <w:r>
        <w:rPr>
          <w:b/>
        </w:rPr>
        <w:t>Liste des Catégories :</w:t>
      </w:r>
      <w:r>
        <w:t xml:space="preserve"> LISTE I — Biothérapie anticorps monoclonal anti-TNFα, prescription hospitalière spécialisée.</w:t>
      </w:r>
    </w:p>
    <w:p>
      <w:r>
        <w:t xml:space="preserve">Le </w:t>
      </w:r>
      <w:r>
        <w:rPr>
          <w:b/>
        </w:rPr>
        <w:t>golimumab</w:t>
      </w:r>
      <w:r>
        <w:t xml:space="preserve"> est un anticorps monoclonal </w:t>
      </w:r>
      <w:r>
        <w:rPr>
          <w:b/>
        </w:rPr>
        <w:t>entièrement humain de type IgG1κ</w:t>
      </w:r>
      <w:r>
        <w:t xml:space="preserve"> dirigé contre le TNFα. Il a été développé pour offrir une alternative à l'adalimumab avec une </w:t>
      </w:r>
      <w:r>
        <w:rPr>
          <w:b/>
        </w:rPr>
        <w:t>demi-vie prolongée</w:t>
      </w:r>
      <w:r>
        <w:t xml:space="preserve"> (~14 jours) autorisant une administration mensuelle, plus pratique pour le patient. Administré par voie sous-cutanée à l'aide d'un </w:t>
      </w:r>
      <w:r>
        <w:rPr>
          <w:b/>
        </w:rPr>
        <w:t>stylo auto-injecteur prérempli</w:t>
      </w:r>
      <w:r>
        <w:t xml:space="preserve">, il est commercialisé sous le nom de SIMPONI en Algérie. Sa place dans les MICI est plus restreinte que l'adalimumab : indiqué principalement dans la </w:t>
      </w:r>
      <w:r>
        <w:rPr>
          <w:b/>
        </w:rPr>
        <w:t>rectocolite hémorragique modérée à sévère</w:t>
      </w:r>
      <w:r>
        <w:t xml:space="preserve"> chez l'adulte naïf de biothérapie ou ayant échoué aux conventionnels (efficacité modérée dans la RCH, plus limitée dans la maladie de Crohn). Il est surtout utilisé en rhumatologie (PR, SpA, rhumatisme psoriasique).</w:t>
      </w:r>
    </w:p>
    <w:p>
      <w:r/>
      <w:r>
        <w:rPr>
          <w:b/>
        </w:rPr>
        <w:t>Médicaments disponibles en Algérie (Marques, Laboratoires, Formes et Dosages) :</w:t>
      </w:r>
      <w:r/>
    </w:p>
    <w:p>
      <w:pPr>
        <w:pStyle w:val="ListBullet"/>
      </w:pPr>
      <w:r/>
      <w:r>
        <w:rPr>
          <w:b/>
        </w:rPr>
        <w:t>SIMPONI</w:t>
      </w:r>
      <w:r>
        <w:t xml:space="preserve"> (JANSSEN BIOLOGICS)</w:t>
      </w:r>
    </w:p>
    <w:p>
      <w:pPr>
        <w:pStyle w:val="ListBullet"/>
      </w:pPr>
      <w:r>
        <w:t>Formes et Dosages : Solution injectable SC en stylo prérempli, 50 mg/stylo (0,5 mL), boîte de 1 stylo</w:t>
      </w:r>
    </w:p>
    <w:p>
      <w:pPr>
        <w:pStyle w:val="ListBullet"/>
      </w:pPr>
      <w:r>
        <w:t>Statut : Actif (princeps, seul produit disponible)</w:t>
      </w:r>
    </w:p>
    <w:p>
      <w:r/>
      <w:r>
        <w:rPr>
          <w:b/>
        </w:rPr>
        <w:t>Sous-classe et Mécanisme d'action :</w:t>
      </w:r>
      <w:r/>
    </w:p>
    <w:p>
      <w:pPr>
        <w:pStyle w:val="ListBullet"/>
      </w:pPr>
      <w:r>
        <w:t xml:space="preserve">Sous-classe : Anti-TNFα, anticorps monoclonal </w:t>
      </w:r>
      <w:r>
        <w:rPr>
          <w:b/>
        </w:rPr>
        <w:t>entièrement humain</w:t>
      </w:r>
      <w:r>
        <w:t xml:space="preserve"> IgG1κ, 2e génération (2009).</w:t>
      </w:r>
    </w:p>
    <w:p>
      <w:pPr>
        <w:pStyle w:val="ListBullet"/>
      </w:pPr>
      <w:r>
        <w:t>Mécanisme d'action : Le golimumab se lie avec haute affinité aux formes soluble et transmembranaire du TNFα humain, neutralisant la fixation aux récepteurs p55 et p75. Son mécanisme est identique à celui de l'adalimumab (neutralisation + ADCC/CDC via le Fc). La spécificité de liaison au TNFα humain est exclusive (pas de cross-réaction avec le TNFβ/lymphotoxine). L'efficacité clinique apparaît en 2-4 semaines, avec un pic à S12-S16.</w:t>
      </w:r>
    </w:p>
    <w:p>
      <w:r/>
      <w:r>
        <w:rPr>
          <w:b/>
        </w:rPr>
        <w:t>Profil Pharmacologique :</w:t>
      </w:r>
      <w:r/>
    </w:p>
    <w:p>
      <w:pPr>
        <w:pStyle w:val="ListBullet"/>
      </w:pPr>
      <w:r>
        <w:t>Indications : Rectocolite hémorragique modérée à sévère de l'adulte en cas de réponse inadéquate au traitement conventionnel (5-ASA, corticoïdes, AZA/6-MP) ou en cas d'intolérance ; polyarthrite rhumatoïde active modérée à sévère (en association au MTX) ; spondyloarthrite ankylosante active sévère ; rhumatisme psoriasique actif et progressif ; arthrite juvénile idiopathique (enfant ≥2 ans, polyarticulaire). Pas d'AMM dans la maladie de Crohn (essais cliniques négatifs).</w:t>
      </w:r>
    </w:p>
    <w:p>
      <w:pPr>
        <w:pStyle w:val="ListBullet"/>
      </w:pPr>
      <w:r>
        <w:t>Contre-indications : Tuberculose active ou latente non traitée ; infection sévère active ; insuffisance cardiaque NYHA III-IV ; démeylinisation ; cancer actif ; hépatite B non évaluée ; hypersensibilité ; 3e trimestre de grossesse (suspension à S30-S34).</w:t>
      </w:r>
    </w:p>
    <w:p>
      <w:pPr>
        <w:pStyle w:val="ListBullet"/>
      </w:pPr>
      <w:r>
        <w:t>Effets Indésirables :</w:t>
      </w:r>
    </w:p>
    <w:p>
      <w:pPr>
        <w:pStyle w:val="ListBullet"/>
      </w:pPr>
      <w:r/>
      <w:r>
        <w:rPr>
          <w:b/>
        </w:rPr>
        <w:t>Réactions au site d'injection</w:t>
      </w:r>
      <w:r>
        <w:t xml:space="preserve"> (~5-10%) : érythème, prurit, douleur.</w:t>
      </w:r>
    </w:p>
    <w:p>
      <w:pPr>
        <w:pStyle w:val="ListBullet"/>
      </w:pPr>
      <w:r/>
      <w:r>
        <w:rPr>
          <w:b/>
        </w:rPr>
        <w:t>Infections</w:t>
      </w:r>
      <w:r>
        <w:t xml:space="preserve"> : bronchites, sinusites, urinaires, herpès, candidose ; TB réactivée, opportunistes, réactivation VHB.</w:t>
      </w:r>
    </w:p>
    <w:p>
      <w:pPr>
        <w:pStyle w:val="ListBullet"/>
      </w:pPr>
      <w:r/>
      <w:r>
        <w:rPr>
          <w:b/>
        </w:rPr>
        <w:t>Immunogénicité</w:t>
      </w:r>
      <w:r>
        <w:t xml:space="preserve"> : Ac anti-golimumab ~5-7% (Ac neutralisants rares).</w:t>
      </w:r>
    </w:p>
    <w:p>
      <w:pPr>
        <w:pStyle w:val="ListBullet"/>
      </w:pPr>
      <w:r/>
      <w:r>
        <w:rPr>
          <w:b/>
        </w:rPr>
        <w:t>Hépatiques</w:t>
      </w:r>
      <w:r>
        <w:t xml:space="preserve"> : cytolyse, cholestase, réactivation VHB.</w:t>
      </w:r>
    </w:p>
    <w:p>
      <w:pPr>
        <w:pStyle w:val="ListBullet"/>
      </w:pPr>
      <w:r/>
      <w:r>
        <w:rPr>
          <w:b/>
        </w:rPr>
        <w:t>Hématologiques</w:t>
      </w:r>
      <w:r>
        <w:t xml:space="preserve"> : neutropénie, thrombopénie.</w:t>
      </w:r>
    </w:p>
    <w:p>
      <w:pPr>
        <w:pStyle w:val="ListBullet"/>
      </w:pPr>
      <w:r/>
      <w:r>
        <w:rPr>
          <w:b/>
        </w:rPr>
        <w:t>Neurologiques</w:t>
      </w:r>
      <w:r>
        <w:t xml:space="preserve"> : démyélinisation, neuropathies.</w:t>
      </w:r>
    </w:p>
    <w:p>
      <w:pPr>
        <w:pStyle w:val="ListBullet"/>
      </w:pPr>
      <w:r/>
      <w:r>
        <w:rPr>
          <w:b/>
        </w:rPr>
        <w:t>Cardiaques</w:t>
      </w:r>
      <w:r>
        <w:t xml:space="preserve"> : aggravation IC.</w:t>
      </w:r>
    </w:p>
    <w:p>
      <w:pPr>
        <w:pStyle w:val="ListBullet"/>
      </w:pPr>
      <w:r/>
      <w:r>
        <w:rPr>
          <w:b/>
        </w:rPr>
        <w:t>Cutanés</w:t>
      </w:r>
      <w:r>
        <w:t xml:space="preserve"> : psoriasis paradoxal, lupus induit.</w:t>
      </w:r>
    </w:p>
    <w:p>
      <w:pPr>
        <w:pStyle w:val="ListBullet"/>
      </w:pPr>
      <w:r/>
      <w:r>
        <w:rPr>
          <w:b/>
        </w:rPr>
        <w:t>Néoplasies</w:t>
      </w:r>
      <w:r>
        <w:t xml:space="preserve"> : lymphome (surtout en association AZA), cancers cutanés.</w:t>
      </w:r>
    </w:p>
    <w:p>
      <w:r/>
      <w:r>
        <w:rPr>
          <w:b/>
        </w:rPr>
        <w:t>Prévention et Gestion des Effets Indésirables :</w:t>
      </w:r>
      <w:r/>
    </w:p>
    <w:p>
      <w:pPr>
        <w:pStyle w:val="ListBullet"/>
      </w:pPr>
      <w:r>
        <w:t>Mesures Préventives : Bilan pré-thérapeutique identique à la classe (TB IDR/IGRA + Rx thorax, sérologies VIH/VHB/VHC, NFS, transaminases, créatinine). Vaccination mise à jour avant initiation ; vaccins vivants CI. Formation à l'auto-administration SC par stylo. Surveillance NFS/transaminases mensuelles 3 mois puis trimestrielles.</w:t>
      </w:r>
    </w:p>
    <w:p>
      <w:pPr>
        <w:pStyle w:val="ListBullet"/>
      </w:pPr>
      <w:r>
        <w:t>Conduite à Tenir : arrêt en cas d'infection sévère ; antihistaminique pour réactions locales ; STP en cas de perte d'efficacité (golimumabémie résiduelle cible &gt;1 µg/mL) ; TB latente → INH 9 mois ; VHB+ → entécavir/ténofovir.</w:t>
      </w:r>
    </w:p>
    <w:p>
      <w:r/>
      <w:r>
        <w:rPr>
          <w:b/>
        </w:rPr>
        <w:t>Interactions Importantes :</w:t>
      </w:r>
      <w:r/>
    </w:p>
    <w:p>
      <w:pPr>
        <w:pStyle w:val="ListBullet"/>
      </w:pPr>
      <w:r/>
      <w:r>
        <w:rPr>
          <w:b/>
        </w:rPr>
        <w:t>Golimumab + vaccins vivants</w:t>
      </w:r>
      <w:r>
        <w:t xml:space="preserve"> : CI absolue.</w:t>
      </w:r>
    </w:p>
    <w:p>
      <w:pPr>
        <w:pStyle w:val="ListBullet"/>
      </w:pPr>
      <w:r/>
      <w:r>
        <w:rPr>
          <w:b/>
        </w:rPr>
        <w:t>Golimumab + méthotrexate</w:t>
      </w:r>
      <w:r>
        <w:t xml:space="preserve"> : association recommandée en PR (réduction immunogénicité).</w:t>
      </w:r>
    </w:p>
    <w:p>
      <w:pPr>
        <w:pStyle w:val="ListBullet"/>
      </w:pPr>
      <w:r/>
      <w:r>
        <w:rPr>
          <w:b/>
        </w:rPr>
        <w:t>Golimumab + azathioprine/6-MP</w:t>
      </w:r>
      <w:r>
        <w:t xml:space="preserve"> : surveillance hématologique et hépatique accrue.</w:t>
      </w:r>
    </w:p>
    <w:p>
      <w:pPr>
        <w:pStyle w:val="ListBullet"/>
      </w:pPr>
      <w:r/>
      <w:r>
        <w:rPr>
          <w:b/>
        </w:rPr>
        <w:t>Golimumab + abatacept/anakinra</w:t>
      </w:r>
      <w:r>
        <w:t xml:space="preserve"> : association déconseillée.</w:t>
      </w:r>
    </w:p>
    <w:p>
      <w:pPr>
        <w:pStyle w:val="ListBullet"/>
      </w:pPr>
      <w:r/>
      <w:r>
        <w:rPr>
          <w:b/>
        </w:rPr>
        <w:t>Golimumab + azolés</w:t>
      </w:r>
      <w:r>
        <w:t xml:space="preserve"> : pas d'interaction.</w:t>
      </w:r>
    </w:p>
    <w:p>
      <w:r/>
      <w:r>
        <w:rPr>
          <w:b/>
        </w:rPr>
        <w:t>Grossesse et Allaitement :</w:t>
      </w:r>
      <w:r/>
    </w:p>
    <w:p>
      <w:pPr>
        <w:pStyle w:val="ListBullet"/>
      </w:pPr>
      <w:r>
        <w:t xml:space="preserve">Grossesse : Selon CRAT, </w:t>
      </w:r>
      <w:r>
        <w:rPr>
          <w:b/>
        </w:rPr>
        <w:t>compatible</w:t>
      </w:r>
      <w:r>
        <w:t xml:space="preserve"> avec la grossesse si nécessaire. IgG1 traverse le placenta au 2e-3e trimestre. Recommandation : maintenir pendant la grossesse, </w:t>
      </w:r>
      <w:r>
        <w:rPr>
          <w:b/>
        </w:rPr>
        <w:t>suspendre après S34</w:t>
      </w:r>
      <w:r>
        <w:t xml:space="preserve"> (dernière injection S30-S34), reprise 2-4 semaines post-partum.</w:t>
      </w:r>
    </w:p>
    <w:p>
      <w:pPr>
        <w:pStyle w:val="ListBullet"/>
      </w:pPr>
      <w:r>
        <w:t xml:space="preserve">Allaitement : </w:t>
      </w:r>
      <w:r>
        <w:rPr>
          <w:b/>
        </w:rPr>
        <w:t>Compatible</w:t>
      </w:r>
      <w:r>
        <w:t xml:space="preserve"> (passage minime, dégradation digestive). Reprise dès J0.</w:t>
      </w:r>
    </w:p>
    <w:p>
      <w:pPr>
        <w:pStyle w:val="ListBullet"/>
      </w:pPr>
      <w:r>
        <w:t>Précisions : vaccins vivants du nourrisson différés (BCG &gt;6 mois, ROR après vérification de la clairance).</w:t>
      </w:r>
    </w:p>
    <w:p>
      <w:r/>
      <w:r>
        <w:rPr>
          <w:b/>
        </w:rPr>
        <w:t>Posologie et Mode d'administration (Standard) :</w:t>
      </w:r>
      <w:r/>
    </w:p>
    <w:p>
      <w:pPr>
        <w:pStyle w:val="ListBullet"/>
      </w:pPr>
      <w:r>
        <w:t>Adulte :</w:t>
      </w:r>
    </w:p>
    <w:p>
      <w:pPr>
        <w:pStyle w:val="ListBullet"/>
      </w:pPr>
      <w:r>
        <w:t xml:space="preserve">RCH : </w:t>
      </w:r>
      <w:r>
        <w:rPr>
          <w:b/>
        </w:rPr>
        <w:t>200 mg SC à S0</w:t>
      </w:r>
      <w:r>
        <w:t xml:space="preserve"> (4 injections de 50 mg), puis </w:t>
      </w:r>
      <w:r>
        <w:rPr>
          <w:b/>
        </w:rPr>
        <w:t>100 mg SC à S2</w:t>
      </w:r>
      <w:r>
        <w:t xml:space="preserve"> (2 injections de 50 mg), puis </w:t>
      </w:r>
      <w:r>
        <w:rPr>
          <w:b/>
        </w:rPr>
        <w:t>100 mg SC toutes les 4 semaines</w:t>
      </w:r>
      <w:r>
        <w:t xml:space="preserve"> à partir de S4 (entretien). Chez les patients &gt;100 kg, l'efficacité est diminuée — discuter augmentation ou switch.</w:t>
      </w:r>
    </w:p>
    <w:p>
      <w:pPr>
        <w:pStyle w:val="ListBullet"/>
      </w:pPr>
      <w:r>
        <w:t>PR, SpA, rhumatisme psoriasique : 50 mg SC à S0 puis 50 mg SC/4 sem (avec MTX pour PR).</w:t>
      </w:r>
    </w:p>
    <w:p>
      <w:pPr>
        <w:pStyle w:val="ListBullet"/>
      </w:pPr>
      <w:r>
        <w:t>Mode d'administration : SC, abdomen ou cuisse, rotation des sites, stylo auto-injecteur.</w:t>
      </w:r>
    </w:p>
    <w:p>
      <w:pPr>
        <w:pStyle w:val="ListBullet"/>
      </w:pPr>
      <w:r>
        <w:t>Sujet âgé : pas d'adaptation systématique.</w:t>
      </w:r>
    </w:p>
    <w:p>
      <w:pPr>
        <w:pStyle w:val="ListBullet"/>
      </w:pPr>
      <w:r>
        <w:t>Durée : au long cours, réévaluation annuelle.</w:t>
      </w:r>
    </w:p>
    <w:p>
      <w:pPr>
        <w:pStyle w:val="ListBullet"/>
      </w:pPr>
      <w:r>
        <w:t>Moment de prise : indifférent, à heure fixe selon schéma.</w:t>
      </w:r>
    </w:p>
    <w:p>
      <w:r/>
      <w:r>
        <w:rPr>
          <w:b/>
        </w:rPr>
        <w:t>Arbitrage et Bénéfices des Formes Galéniques :</w:t>
      </w:r>
      <w:r/>
    </w:p>
    <w:p>
      <w:r>
        <w:t>La forme SC en stylo auto-injecteur prérempli présente l'avantage de la fréquence d'administration mensuelle (vs bimensuelle pour l'adalimumab), avec une auto-administration à domicile, un dispositif ergonomique (stylo). Inconvénients : pas d'indication dans le Crohn (seulement RCH), efficacité moindre chez les patients &gt;100 kg, disponibilité limitée (un seul dosage 50 mg/stylo, pas de dosage 100 mg), pas de biosimilaire disponible en Algérie.</w:t>
      </w:r>
    </w:p>
    <w:p>
      <w:r/>
      <w:r>
        <w:rPr>
          <w:b/>
        </w:rPr>
        <w:t>Instructions et Conseils au Patient :</w:t>
      </w:r>
      <w:r/>
    </w:p>
    <w:p>
      <w:pPr>
        <w:pStyle w:val="ListBullet"/>
      </w:pPr>
      <w:r>
        <w:t>Communication au comptoir : "Votre traitement s'appelle le golimumab (SIMPONI). C'est un anticorps monoclonal humain anti-TNFα indiqué pour votre rectocolite hémorragique. Vous l'injectez vous-même par voie sous-cutanée à l'aide d'un stylo auto-injecteur prérempli. Schéma : 4 stylos (200 mg) à S0, 2 stylos (100 mg) à S2, puis 2 stylos (100 mg) toutes les 4 semaines en entretien. L'effet apparaît en 2-4 semaines. Risques : infections (tuberculose, hépatites, herpès), réactions au point d'injection (rougeur transitoire), rarement allergies. Conservez au réfrigérateur (+2-8°C). Sortez le stylo 30 min avant l'injection. Avant de débuter, vous devez avoir passé un dépistage tuberculose, hépatites, VIH."</w:t>
      </w:r>
    </w:p>
    <w:p>
      <w:pPr>
        <w:pStyle w:val="ListBullet"/>
      </w:pPr>
      <w:r>
        <w:t>Mode d'utilisation pratique : se laver les mains, désinfecter, sortir le stylo 30 min avant, vérifier absence de particules, placer le stylo perpendiculairement à la peau, appuyer fermement (clic = début injection), tenir 10-15 s jusqu'au second clic, retirer, jeter dans collecteur.</w:t>
      </w:r>
    </w:p>
    <w:p>
      <w:r/>
      <w:r>
        <w:rPr>
          <w:b/>
        </w:rPr>
        <w:t>Notes, Règles d'Or &amp; Pièges au Comptoir :</w:t>
      </w:r>
      <w:r/>
    </w:p>
    <w:p>
      <w:pPr>
        <w:pStyle w:val="ListBullet"/>
      </w:pPr>
      <w:r>
        <w:t xml:space="preserve">Piège classique : </w:t>
      </w:r>
      <w:r>
        <w:rPr>
          <w:b/>
        </w:rPr>
        <w:t>oubli du dépistage TB</w:t>
      </w:r>
      <w:r>
        <w:t xml:space="preserve"> — toujours vérifier le bilan pré-thérapeutique.</w:t>
      </w:r>
    </w:p>
    <w:p>
      <w:pPr>
        <w:pStyle w:val="ListBullet"/>
      </w:pPr>
      <w:r>
        <w:t>Règle de prise : chaîne du froid +2-8°C, ne pas congeler, transport isotherme.</w:t>
      </w:r>
    </w:p>
    <w:p>
      <w:pPr>
        <w:pStyle w:val="ListBullet"/>
      </w:pPr>
      <w:r>
        <w:t>Préparation et Conservation : +2-8°C à l'abri de la lumière, stable 14 jours à T° ambiante (une seule fois).</w:t>
      </w:r>
    </w:p>
    <w:p>
      <w:pPr>
        <w:pStyle w:val="ListBullet"/>
      </w:pPr>
      <w:r>
        <w:t>Piège du surdosage / Substitution : pas de biosimilaire disponible en Algérie (un seul princeps SIMPONI), pas de problème de substitution. En cas de perte d'efficacité, le switch se fait vers un autre anti-TNFα (infliximab, adalimumab) ou un changement de classe (vedolizumab, ustekinumab, JAK).</w:t>
      </w:r>
    </w:p>
    <w:p>
      <w:pPr>
        <w:pStyle w:val="ListBullet"/>
      </w:pPr>
      <w:r>
        <w:t>Piège vaccin : vaccins vivants CI pendant et 3 mois après l'arrêt.</w:t>
      </w:r>
    </w:p>
    <w:p>
      <w:pPr>
        <w:pStyle w:val="ListBullet"/>
      </w:pPr>
      <w:r>
        <w:t>Piège poids : efficacité diminuée chez les patients &gt;100 kg — discuter augmentation posologique ou alternative.</w:t>
      </w:r>
    </w:p>
    <w:p>
      <w:pPr>
        <w:pStyle w:val="ListBullet"/>
      </w:pPr>
      <w:r>
        <w:t>Piège grossesse : suspendre après S34 (IgG1 passe transplacentaire).</w:t>
      </w:r>
    </w:p>
    <w:p>
      <w:pPr>
        <w:pStyle w:val="Heading2"/>
      </w:pPr>
      <w:r>
        <w:t>2. Sous-classe : Biothérapies MICI — Anti-intégrine α4β7</w:t>
      </w:r>
    </w:p>
    <w:p>
      <w:r>
        <w:t xml:space="preserve">Les </w:t>
      </w:r>
      <w:r>
        <w:rPr>
          <w:b/>
        </w:rPr>
        <w:t>intégrines</w:t>
      </w:r>
      <w:r>
        <w:t xml:space="preserve"> sont des hétérodimères transmembranaires (αβ) exprimés à la surface des leucocytes, qui assurent l'</w:t>
      </w:r>
      <w:r>
        <w:rPr>
          <w:b/>
        </w:rPr>
        <w:t>adhésion cellulaire</w:t>
      </w:r>
      <w:r>
        <w:t xml:space="preserve"> et la migration vers les tissus. L'intégrine </w:t>
      </w:r>
      <w:r>
        <w:rPr>
          <w:b/>
        </w:rPr>
        <w:t>α4β7</w:t>
      </w:r>
      <w:r>
        <w:t xml:space="preserve"> est spécifiquement exprimée par une sous-population de lymphocytes T mémoires à tropisme </w:t>
      </w:r>
      <w:r>
        <w:rPr>
          <w:b/>
        </w:rPr>
        <w:t>intestinal</w:t>
      </w:r>
      <w:r>
        <w:t xml:space="preserve"> (gut-homing T cells). Ces lymphocytes, après activation dans les plaques de Peyer et les ganglions mésentériques sous l'effet du TGF-β et de l'acide rétinoïque (produits par les cellules dendritiques muqueuses), expriment le récepteur α4β7. Celui-ci se lie à son ligand endogné, </w:t>
      </w:r>
      <w:r>
        <w:rPr>
          <w:b/>
        </w:rPr>
        <w:t>MAdCAM-1</w:t>
      </w:r>
      <w:r>
        <w:t xml:space="preserve"> (Mucosal vascular addressin cell adhesion molecule-1), exprimé sélectivement par l'endothélium des vaisseaux intestinaux (et accessoirement au cerveau). Le blocage de cette interaction empêche les lymphocytes inflammatoires de quitter la circulation et d'entrer dans la muqueuse intestinale, rompant le cercle vicieux inflammatoire.</w:t>
      </w:r>
    </w:p>
    <w:p>
      <w:r>
        <w:t xml:space="preserve">Le </w:t>
      </w:r>
      <w:r>
        <w:rPr>
          <w:b/>
        </w:rPr>
        <w:t>vedolizumab</w:t>
      </w:r>
      <w:r>
        <w:t xml:space="preserve"> est le seul représentant de cette classe en Algérie. C'est un anticorps monoclonal </w:t>
      </w:r>
      <w:r>
        <w:rPr>
          <w:b/>
        </w:rPr>
        <w:t>humanisé IgG1</w:t>
      </w:r>
      <w:r>
        <w:t xml:space="preserve"> dirigé spécifiquement contre l'intégrine α4β7 (sans cross-réaction avec α4β1 ou αEβ7). Sa spécificité de cible lui confère un profil de tolérance infectieux </w:t>
      </w:r>
      <w:r>
        <w:rPr>
          <w:b/>
        </w:rPr>
        <w:t>particulièrement favorable</w:t>
      </w:r>
      <w:r>
        <w:t xml:space="preserve"> : pas d'atteinte du système nerveux central (contrairement au natalizumab, anti-α4 non sélectif qui exposait au LEMP — leucoencéphalopathie multifocale progressive liée au virus JC). Le vedolizumab est donc considéré comme une biothérapie à </w:t>
      </w:r>
      <w:r>
        <w:rPr>
          <w:b/>
        </w:rPr>
        <w:t>tropisme intestinal sélectif</w:t>
      </w:r>
      <w:r>
        <w:t xml:space="preserve"> et à sécurité globale satisfaisante, en particulier chez le sujet âgé ou fragile. Il est indiqué en 2e intention dans la maladie de Crohn et la RCH modérée à sévère, après échec, intolérance ou contre-indication à un anti-TNFα ou aux immunosuppresseurs conventionnels. Son délai d'action est plus lent que les anti-TNFα (4-10 semaines vs 1-4 semaines), avec un taux de rémission primaire plus modeste (~15% à S6) mais une efficacité d'entretien robuste et un excellent profil de tolérance à long terme.</w:t>
      </w:r>
    </w:p>
    <w:p>
      <w:pPr>
        <w:pStyle w:val="Heading3"/>
      </w:pPr>
      <w:r>
        <w:t>5. DCI : Vedolizumab (Seule)</w:t>
      </w:r>
    </w:p>
    <w:p>
      <w:r/>
      <w:r>
        <w:rPr>
          <w:b/>
        </w:rPr>
        <w:t>Liste des Catégories :</w:t>
      </w:r>
      <w:r>
        <w:t xml:space="preserve"> LISTE I — Biothérapie anticorps monoclonal anti-intégrine α4β7, prescription hospitalière spécialisée.</w:t>
      </w:r>
    </w:p>
    <w:p>
      <w:r>
        <w:t xml:space="preserve">Le </w:t>
      </w:r>
      <w:r>
        <w:rPr>
          <w:b/>
        </w:rPr>
        <w:t>vedolizumab</w:t>
      </w:r>
      <w:r>
        <w:t xml:space="preserve"> est un anticorps monoclonal </w:t>
      </w:r>
      <w:r>
        <w:rPr>
          <w:b/>
        </w:rPr>
        <w:t>humanisé IgG1</w:t>
      </w:r>
      <w:r>
        <w:t xml:space="preserve"> dirigé contre l'intégrine α4β7 exprimée à la surface des lymphocytes T mémoires gut-homing. Il est commercialisé sous le nom d'ENTYVIO en Algérie. Administré </w:t>
      </w:r>
      <w:r>
        <w:rPr>
          <w:b/>
        </w:rPr>
        <w:t>exclusivement par voie intraveineuse</w:t>
      </w:r>
      <w:r>
        <w:t xml:space="preserve"> en perfusion de 30 minutes, il impose une administration hospitalière. Sa pharmacocinétique est linéaire, avec une demi-vie terminale de 19-25 jours, une clairance dépendante du poids et de l'albuminémie. La concentration résiduelle cible (trough) est &gt;12-15 µg/mL en entretien. Son délai d'action est lent (4-10 semaines) — ce qui en fait une biothérapie de </w:t>
      </w:r>
      <w:r>
        <w:rPr>
          <w:b/>
        </w:rPr>
        <w:t>2e intention</w:t>
      </w:r>
      <w:r>
        <w:t xml:space="preserve"> plutôt que d'induction en phase aiguë sévère. Le profil de tolérance est excellent : pas de démeylinisation centrale (LEMP non décrit, contrairement au natalizumab), pas de lymphome signalé, taux d'infections sévères non augmenté vs placebo.</w:t>
      </w:r>
    </w:p>
    <w:p>
      <w:r/>
      <w:r>
        <w:rPr>
          <w:b/>
        </w:rPr>
        <w:t>Médicaments disponibles en Algérie (Marques, Laboratoires, Formes et Dosages) :</w:t>
      </w:r>
      <w:r/>
    </w:p>
    <w:p>
      <w:pPr>
        <w:pStyle w:val="ListBullet"/>
      </w:pPr>
      <w:r/>
      <w:r>
        <w:rPr>
          <w:b/>
        </w:rPr>
        <w:t>ENTYVIO</w:t>
      </w:r>
      <w:r>
        <w:t xml:space="preserve"> (TAKEDA PHARMA A/S)</w:t>
      </w:r>
    </w:p>
    <w:p>
      <w:pPr>
        <w:pStyle w:val="ListBullet"/>
      </w:pPr>
      <w:r>
        <w:t>Formes et Dosages : Poudre pour solution à diluer pour perfusion, 300 mg/flacon, boîte de 1 flacon</w:t>
      </w:r>
    </w:p>
    <w:p>
      <w:pPr>
        <w:pStyle w:val="ListBullet"/>
      </w:pPr>
      <w:r>
        <w:t>Statut : Actif (princeps, seul produit disponible)</w:t>
      </w:r>
    </w:p>
    <w:p>
      <w:r/>
      <w:r>
        <w:rPr>
          <w:b/>
        </w:rPr>
        <w:t>Sous-classe et Mécanisme d'action :</w:t>
      </w:r>
      <w:r/>
    </w:p>
    <w:p>
      <w:pPr>
        <w:pStyle w:val="ListBullet"/>
      </w:pPr>
      <w:r>
        <w:t xml:space="preserve">Sous-classe : Anti-intégrine α4β7, anticorps monoclonal </w:t>
      </w:r>
      <w:r>
        <w:rPr>
          <w:b/>
        </w:rPr>
        <w:t>humanisé</w:t>
      </w:r>
      <w:r>
        <w:t xml:space="preserve"> IgG1, 1re génération (2014).</w:t>
      </w:r>
    </w:p>
    <w:p>
      <w:pPr>
        <w:pStyle w:val="ListBullet"/>
      </w:pPr>
      <w:r>
        <w:t xml:space="preserve">Mécanisme d'action : Le vedolizumab se lie spécifiquement à l'hétérodimère α4β7 exprimé à la surface d'une sous-population de lymphocytes T mémoires à tropisme intestinal. En bloquant la liaison de α4β7 à son ligand endothélial </w:t>
      </w:r>
      <w:r>
        <w:rPr>
          <w:b/>
        </w:rPr>
        <w:t>MAdCAM-1</w:t>
      </w:r>
      <w:r>
        <w:t xml:space="preserve"> (sélectivement exprimé par l'endothélium des vaisseaux intestinaux), il empêche la </w:t>
      </w:r>
      <w:r>
        <w:rPr>
          <w:b/>
        </w:rPr>
        <w:t>migration et le recrutement</w:t>
      </w:r>
      <w:r>
        <w:t xml:space="preserve"> des lymphocytes inflammatoires vers la muqueuse intestinale — sans affecter l'immunité systémique ni le SNC (la molécule ne passe pas la barrière hémato-encéphalique, et la cible α4β7 n'est pas impliquée dans le trafic lymphocytaire cérébral). Cette action intestino-sélective explique l'absence de LEMP (contrairement au natalizumab, anti-α4 non sélectif). Le blocage du homing lymphocytaire intestinal conduit à une réduction de l'infiltrat inflammatoire muqueux, de la production de cytokines (IFN-γ, IL-17, TNFα local) et à la cicatrisation progressive de la muqueuse.</w:t>
      </w:r>
    </w:p>
    <w:p>
      <w:r/>
      <w:r>
        <w:rPr>
          <w:b/>
        </w:rPr>
        <w:t>Profil Pharmacologique :</w:t>
      </w:r>
      <w:r/>
    </w:p>
    <w:p>
      <w:pPr>
        <w:pStyle w:val="ListBullet"/>
      </w:pPr>
      <w:r>
        <w:t>Indications : Maladie de Crohn active modérée à sévère de l'adulte en cas de réponse inadéquate, perte de réponse ou intolérance à un anti-TNFα (infliximab, adalimumab, certolizumab, golimumab) ou aux immunosuppresseurs conventionnels (AZA, 6-MP, MTX) ; rectocolite hémorragique modérée à sévère de l'adulte dans les mêmes conditions. Indication en 1re intention possible chez les patients à haut risque infectieux (sujet âgé, antécédent de cancer, comorbidités) ou en cas de contre-indication aux anti-TNFα (démeylinisation, IC, néoplasie récente).</w:t>
      </w:r>
    </w:p>
    <w:p>
      <w:pPr>
        <w:pStyle w:val="ListBullet"/>
      </w:pPr>
      <w:r>
        <w:t>Contre-indications : Hypersensibilité au vedolizumab ; infection active sévère (à traiter avant initiation) ; absence de dépistage tuberculose (par prudence, bien que le risque TB soit moindre qu'avec les anti-TNFα) ; grossesse 3e trimestre (par prudence, IgG1 traverse le placenta).</w:t>
      </w:r>
    </w:p>
    <w:p>
      <w:pPr>
        <w:pStyle w:val="ListBullet"/>
      </w:pPr>
      <w:r>
        <w:t>Effets Indésirables :</w:t>
      </w:r>
    </w:p>
    <w:p>
      <w:pPr>
        <w:pStyle w:val="ListBullet"/>
      </w:pPr>
      <w:r/>
      <w:r>
        <w:rPr>
          <w:b/>
        </w:rPr>
        <w:t>Réactions à la perfusion</w:t>
      </w:r>
      <w:r>
        <w:t xml:space="preserve"> (~4-5%) : fièvre, frissons, prurit, urticaire, dyspnée, hypotension — souvent lors des premières perfusions. Prémédication possible.</w:t>
      </w:r>
    </w:p>
    <w:p>
      <w:pPr>
        <w:pStyle w:val="ListBullet"/>
      </w:pPr>
      <w:r/>
      <w:r>
        <w:rPr>
          <w:b/>
        </w:rPr>
        <w:t>Infections</w:t>
      </w:r>
      <w:r>
        <w:t xml:space="preserve"> : nasopharyngées, bronchites, urinaires, gastroentérites — légère augmentation vs placebo mais </w:t>
      </w:r>
      <w:r>
        <w:rPr>
          <w:b/>
        </w:rPr>
        <w:t>nettement moindre</w:t>
      </w:r>
      <w:r>
        <w:t xml:space="preserve"> que les anti-TNFα. Pas d'augmentation significative des infections opportunistes, pas de LEMP décrit (&gt;700 000 patients traités sans cas), pas de réactivation VHB signalée.</w:t>
      </w:r>
    </w:p>
    <w:p>
      <w:pPr>
        <w:pStyle w:val="ListBullet"/>
      </w:pPr>
      <w:r/>
      <w:r>
        <w:rPr>
          <w:b/>
        </w:rPr>
        <w:t>Immunogénicité</w:t>
      </w:r>
      <w:r>
        <w:t xml:space="preserve"> : Ac anti-vedolizumab ~4-10%, rarement neutralisants, sans impact clinique majeur.</w:t>
      </w:r>
    </w:p>
    <w:p>
      <w:pPr>
        <w:pStyle w:val="ListBullet"/>
      </w:pPr>
      <w:r/>
      <w:r>
        <w:rPr>
          <w:b/>
        </w:rPr>
        <w:t>Neurologiques</w:t>
      </w:r>
      <w:r>
        <w:t xml:space="preserve"> : pas de démyélinisation décrite.</w:t>
      </w:r>
    </w:p>
    <w:p>
      <w:pPr>
        <w:pStyle w:val="ListBullet"/>
      </w:pPr>
      <w:r/>
      <w:r>
        <w:rPr>
          <w:b/>
        </w:rPr>
        <w:t>Hépatiques</w:t>
      </w:r>
      <w:r>
        <w:t xml:space="preserve"> : cytolyse rare, réactivation VHB exceptionnelle.</w:t>
      </w:r>
    </w:p>
    <w:p>
      <w:pPr>
        <w:pStyle w:val="ListBullet"/>
      </w:pPr>
      <w:r/>
      <w:r>
        <w:rPr>
          <w:b/>
        </w:rPr>
        <w:t>Cutanés</w:t>
      </w:r>
      <w:r>
        <w:t xml:space="preserve"> : éruptions, prurit, eczéma.</w:t>
      </w:r>
    </w:p>
    <w:p>
      <w:pPr>
        <w:pStyle w:val="ListBullet"/>
      </w:pPr>
      <w:r/>
      <w:r>
        <w:rPr>
          <w:b/>
        </w:rPr>
        <w:t>Néoplasies</w:t>
      </w:r>
      <w:r>
        <w:t xml:space="preserve"> : pas d'augmentation signalée vs placebo.</w:t>
      </w:r>
    </w:p>
    <w:p>
      <w:pPr>
        <w:pStyle w:val="ListBullet"/>
      </w:pPr>
      <w:r/>
      <w:r>
        <w:rPr>
          <w:b/>
        </w:rPr>
        <w:t>Autres</w:t>
      </w:r>
      <w:r>
        <w:t xml:space="preserve"> : arthralgies, céphalées, fatigue.</w:t>
      </w:r>
    </w:p>
    <w:p>
      <w:r/>
      <w:r>
        <w:rPr>
          <w:b/>
        </w:rPr>
        <w:t>Prévention et Gestion des Effets Indésirables :</w:t>
      </w:r>
      <w:r/>
    </w:p>
    <w:p>
      <w:pPr>
        <w:pStyle w:val="ListBullet"/>
      </w:pPr>
      <w:r>
        <w:t>Mesures Préventives :</w:t>
      </w:r>
    </w:p>
    <w:p>
      <w:pPr>
        <w:pStyle w:val="ListBullet"/>
      </w:pPr>
      <w:r/>
      <w:r>
        <w:rPr>
          <w:b/>
        </w:rPr>
        <w:t>Bilan pré-thérapeutique</w:t>
      </w:r>
      <w:r>
        <w:t xml:space="preserve"> : tuberculose (IDR/IGRA, Rx thorax) par prudence, sérologies VIH/VHB/VHC (réactivation VHB exceptionnelle mais à vérifier), NFS, transaminases, créatinine, électrophorèse.</w:t>
      </w:r>
    </w:p>
    <w:p>
      <w:pPr>
        <w:pStyle w:val="ListBullet"/>
      </w:pPr>
      <w:r/>
      <w:r>
        <w:rPr>
          <w:b/>
        </w:rPr>
        <w:t>Vaccination</w:t>
      </w:r>
      <w:r>
        <w:t xml:space="preserve"> : mise à jour vaccins inactivés avant initiation (grippe, pneumocoque, hépatite B, HPV, tétanos). Vaccins vivants CI par prudence (BCG, ROR, fièvre jaune).</w:t>
      </w:r>
    </w:p>
    <w:p>
      <w:pPr>
        <w:pStyle w:val="ListBullet"/>
      </w:pPr>
      <w:r/>
      <w:r>
        <w:rPr>
          <w:b/>
        </w:rPr>
        <w:t>Pas d'immunosuppresseur associé</w:t>
      </w:r>
      <w:r>
        <w:t xml:space="preserve"> systématique (le vedolizumab a une immunogénicité faible). Association à l'AZA ou au MTX possible en cas d'antécédent d'Ac anti-TNF (réduction immunogénicité), mais non systématique.</w:t>
      </w:r>
    </w:p>
    <w:p>
      <w:pPr>
        <w:pStyle w:val="ListBullet"/>
      </w:pPr>
      <w:r/>
      <w:r>
        <w:rPr>
          <w:b/>
        </w:rPr>
        <w:t>Surveillance</w:t>
      </w:r>
      <w:r>
        <w:t xml:space="preserve"> : NFS et transaminases trimestrielles, CRP et calprotectine fécale avant chaque perfusion.</w:t>
      </w:r>
    </w:p>
    <w:p>
      <w:pPr>
        <w:pStyle w:val="ListBullet"/>
      </w:pPr>
      <w:r/>
      <w:r>
        <w:rPr>
          <w:b/>
        </w:rPr>
        <w:t>Pas de prémédication systématique</w:t>
      </w:r>
      <w:r>
        <w:t xml:space="preserve"> : antihistaminique si antécédent de réaction.</w:t>
      </w:r>
    </w:p>
    <w:p>
      <w:pPr>
        <w:pStyle w:val="ListBullet"/>
      </w:pPr>
      <w:r>
        <w:t>Conduite à Tenir :</w:t>
      </w:r>
    </w:p>
    <w:p>
      <w:pPr>
        <w:pStyle w:val="ListBullet"/>
      </w:pPr>
      <w:r/>
      <w:r>
        <w:rPr>
          <w:b/>
        </w:rPr>
        <w:t>Infection sévère</w:t>
      </w:r>
      <w:r>
        <w:t xml:space="preserve"> : arrêt temporaire, traitement étiologique, reprise après guérison.</w:t>
      </w:r>
    </w:p>
    <w:p>
      <w:pPr>
        <w:pStyle w:val="ListBullet"/>
      </w:pPr>
      <w:r/>
      <w:r>
        <w:rPr>
          <w:b/>
        </w:rPr>
        <w:t>Réaction à la perfusion</w:t>
      </w:r>
      <w:r>
        <w:t xml:space="preserve"> : ralentir ou arrêter, antihistaminique ± corticothérapie, surveillance. Si réaction grave (choc anaphylactique) : arrêt définitif.</w:t>
      </w:r>
    </w:p>
    <w:p>
      <w:pPr>
        <w:pStyle w:val="ListBullet"/>
      </w:pPr>
      <w:r/>
      <w:r>
        <w:rPr>
          <w:b/>
        </w:rPr>
        <w:t>Perte d'efficacité</w:t>
      </w:r>
      <w:r>
        <w:t xml:space="preserve"> : STP (trough &gt;12-15 µg/mL), augmentation dose à 300 mg/4 sem ou raccourcissement intervalle à /4 sem.</w:t>
      </w:r>
    </w:p>
    <w:p>
      <w:pPr>
        <w:pStyle w:val="ListBullet"/>
      </w:pPr>
      <w:r/>
      <w:r>
        <w:rPr>
          <w:b/>
        </w:rPr>
        <w:t>Tuberculose latente</w:t>
      </w:r>
      <w:r>
        <w:t xml:space="preserve"> : chimioprophylaxie INH 9 mois avant initiation (par prudence, bien que le risque soit moindre qu'avec les anti-TNFα).</w:t>
      </w:r>
    </w:p>
    <w:p>
      <w:r/>
      <w:r>
        <w:rPr>
          <w:b/>
        </w:rPr>
        <w:t>Interactions Importantes :</w:t>
      </w:r>
      <w:r/>
    </w:p>
    <w:p>
      <w:pPr>
        <w:pStyle w:val="ListBullet"/>
      </w:pPr>
      <w:r/>
      <w:r>
        <w:rPr>
          <w:b/>
        </w:rPr>
        <w:t>Vedolizumab + vaccins vivants</w:t>
      </w:r>
      <w:r>
        <w:t xml:space="preserve"> : CI par prudence (théoriquement moins risqué qu'avec les anti-TNFα mais données limitées).</w:t>
      </w:r>
    </w:p>
    <w:p>
      <w:pPr>
        <w:pStyle w:val="ListBullet"/>
      </w:pPr>
      <w:r/>
      <w:r>
        <w:rPr>
          <w:b/>
        </w:rPr>
        <w:t>Vedolizumab + anti-TNFα</w:t>
      </w:r>
      <w:r>
        <w:t xml:space="preserve"> : association déconseillée (augmentation du risque infectieux sans bénéfice démontré).</w:t>
      </w:r>
    </w:p>
    <w:p>
      <w:pPr>
        <w:pStyle w:val="ListBullet"/>
      </w:pPr>
      <w:r/>
      <w:r>
        <w:rPr>
          <w:b/>
        </w:rPr>
        <w:t>Vedolizumab + natalizumab</w:t>
      </w:r>
      <w:r>
        <w:t xml:space="preserve"> : CI absolue (mécanisme similaire, risque LEMP).</w:t>
      </w:r>
    </w:p>
    <w:p>
      <w:pPr>
        <w:pStyle w:val="ListBullet"/>
      </w:pPr>
      <w:r/>
      <w:r>
        <w:rPr>
          <w:b/>
        </w:rPr>
        <w:t>Vedolizumab + AZA/MTX</w:t>
      </w:r>
      <w:r>
        <w:t xml:space="preserve"> : association possible (réduction immunogénicité), surveillance hématologique.</w:t>
      </w:r>
    </w:p>
    <w:p>
      <w:pPr>
        <w:pStyle w:val="ListBullet"/>
      </w:pPr>
      <w:r/>
      <w:r>
        <w:rPr>
          <w:b/>
        </w:rPr>
        <w:t>Vedolizumab + corticoïdes</w:t>
      </w:r>
      <w:r>
        <w:t xml:space="preserve"> : pas d'interaction pertinente.</w:t>
      </w:r>
    </w:p>
    <w:p>
      <w:r/>
      <w:r>
        <w:rPr>
          <w:b/>
        </w:rPr>
        <w:t>Grossesse et Allaitement :</w:t>
      </w:r>
      <w:r/>
    </w:p>
    <w:p>
      <w:pPr>
        <w:pStyle w:val="ListBullet"/>
      </w:pPr>
      <w:r>
        <w:t xml:space="preserve">Grossesse : Selon CRAT, </w:t>
      </w:r>
      <w:r>
        <w:rPr>
          <w:b/>
        </w:rPr>
        <w:t>compatible</w:t>
      </w:r>
      <w:r>
        <w:t xml:space="preserve"> avec la grossesse si nécessaire. IgG1 traverse le placenta au 2e-3e trimestre. Recommandation : maintenir pendant la grossesse, suspendre après S30-S34 par prudence (données limitées mais rassurantes), reprise 2-4 semaines post-partum. Le vedolizumab est une option de choix chez la femme enceinte nécessitant une biothérapie, surtout en cas de contre-indication aux anti-TNFα.</w:t>
      </w:r>
    </w:p>
    <w:p>
      <w:pPr>
        <w:pStyle w:val="ListBullet"/>
      </w:pPr>
      <w:r>
        <w:t xml:space="preserve">Allaitement : </w:t>
      </w:r>
      <w:r>
        <w:rPr>
          <w:b/>
        </w:rPr>
        <w:t>Compatible</w:t>
      </w:r>
      <w:r>
        <w:t xml:space="preserve"> (passage minime, dégradation digestive). Reprise dès J0.</w:t>
      </w:r>
    </w:p>
    <w:p>
      <w:pPr>
        <w:pStyle w:val="ListBullet"/>
      </w:pPr>
      <w:r>
        <w:t>Précisions : vaccins vivants du nourrisson différés (BCG &gt;3 mois, ROR selon calendrier).</w:t>
      </w:r>
    </w:p>
    <w:p>
      <w:r/>
      <w:r>
        <w:rPr>
          <w:b/>
        </w:rPr>
        <w:t>Posologie et Mode d'administration (Standard) :</w:t>
      </w:r>
      <w:r/>
    </w:p>
    <w:p>
      <w:pPr>
        <w:pStyle w:val="ListBullet"/>
      </w:pPr>
      <w:r>
        <w:t>Adulte :</w:t>
      </w:r>
    </w:p>
    <w:p>
      <w:pPr>
        <w:pStyle w:val="ListBullet"/>
      </w:pPr>
      <w:r>
        <w:t xml:space="preserve">Schéma standard : </w:t>
      </w:r>
      <w:r>
        <w:rPr>
          <w:b/>
        </w:rPr>
        <w:t>300 mg IV à S0, S2, S6</w:t>
      </w:r>
      <w:r>
        <w:t xml:space="preserve">, puis </w:t>
      </w:r>
      <w:r>
        <w:rPr>
          <w:b/>
        </w:rPr>
        <w:t>300 mg IV toutes les 8 semaines</w:t>
      </w:r>
      <w:r>
        <w:t xml:space="preserve"> en entretien.</w:t>
      </w:r>
    </w:p>
    <w:p>
      <w:pPr>
        <w:pStyle w:val="ListBullet"/>
      </w:pPr>
      <w:r>
        <w:t>En cas de réponse insuffisante à S6 : administration à S10 puis /4 sem (raccourcissement).</w:t>
      </w:r>
    </w:p>
    <w:p>
      <w:pPr>
        <w:pStyle w:val="ListBullet"/>
      </w:pPr>
      <w:r>
        <w:t>Mode d'administration : perfusion IV de 30 minutes, dilution dans 250 mL NaCl 0,9%, ligne avec filtre 1,2 µm, surveillance pendant et 1h après.</w:t>
      </w:r>
    </w:p>
    <w:p>
      <w:pPr>
        <w:pStyle w:val="ListBullet"/>
      </w:pPr>
      <w:r>
        <w:t>Sujet âgé : pas d'adaptation systématique, sécurité d'usage satisfaisante (option de choix chez le sujet âgé).</w:t>
      </w:r>
    </w:p>
    <w:p>
      <w:pPr>
        <w:pStyle w:val="ListBullet"/>
      </w:pPr>
      <w:r>
        <w:t>Durée : au long cours, réévaluation annuelle. Arrêt envisageable après rémission profonde prolongée.</w:t>
      </w:r>
    </w:p>
    <w:p>
      <w:pPr>
        <w:pStyle w:val="ListBullet"/>
      </w:pPr>
      <w:r>
        <w:t>Moment de prise : selon calendrier hospitalier.</w:t>
      </w:r>
    </w:p>
    <w:p>
      <w:r/>
      <w:r>
        <w:rPr>
          <w:b/>
        </w:rPr>
        <w:t>Arbitrage et Bénéfices des Formes Galéniques :</w:t>
      </w:r>
      <w:r/>
    </w:p>
    <w:p>
      <w:r>
        <w:t>La forme IV perfusion est la seule disponible. Avantages : (i) biodisponibilité 100% ; (ii) surveillance médicale des réactions de perfusion ; (iii) profil de tolérance infectieux favorable (option de choix chez le sujet fragile, âgé, en cas d'antécédent néoplasique ou de démeylinisation) ; (iv) pas d'immunogénicité marquée. Inconvénients : (i) contrainte hospitalière (rendez-vous /8 sem) ; (ii) délai d'action lent (4-10 semaines) — pas adapté à la phase aiguë sévère ; (iii) taux de rémission primaire modeste à S6 (~15% Crohn, ~25% RCH). Une forme SC (108 mg) a été développée (AMM Europe 2020) mais n'est pas disponible en Algérie.</w:t>
      </w:r>
    </w:p>
    <w:p>
      <w:r/>
      <w:r>
        <w:rPr>
          <w:b/>
        </w:rPr>
        <w:t>Instructions et Conseils au Patient :</w:t>
      </w:r>
      <w:r/>
    </w:p>
    <w:p>
      <w:pPr>
        <w:pStyle w:val="ListBullet"/>
      </w:pPr>
      <w:r>
        <w:t>Communication au comptoir : "Votre traitement s'appelle le vedolizumab (ENTYVIO). C'est un anticorps monoclonal qui cible une protéine spécifique à la surface des lymphocytes inflammatoires qui attaquent votre intestin. Il agit en empêchant ces lymphocytes de pénétrer dans la muqueuse intestinale, ce qui réduit l'inflammation. Il est administré à l'hôpital en perfusion intraveineuse de 30 minutes, selon le calendrier S0, S2, S6 puis toutes les 8 semaines. Le délai d'action est plus lent que les anti-TNFα (4-10 semaines pour un effet clinique), mais le profil de tolérance est particulièrement favorable : moins d'infections graves, pas de risque de démyélinisation, pas de lymphome signalé. C'est l'option privilégiée chez vous car [adapter : âge, antécédent cancer, démeylinisation, etc.]. Risques : réactions à la perfusion (rares), infections légères. Signalez toute fièvre, toux persistante, douleur abdominale."</w:t>
      </w:r>
    </w:p>
    <w:p>
      <w:pPr>
        <w:pStyle w:val="ListBullet"/>
      </w:pPr>
      <w:r>
        <w:t>Mode d'utilisation pratique : prévoir la demi-journée d'hospitalisation, venir avec le carnet de suivi, apporter les résultats biologiques récents.</w:t>
      </w:r>
    </w:p>
    <w:p>
      <w:r/>
      <w:r>
        <w:rPr>
          <w:b/>
        </w:rPr>
        <w:t>Notes, Règles d'Or &amp; Pièges au Comptoir :</w:t>
      </w:r>
      <w:r/>
    </w:p>
    <w:p>
      <w:pPr>
        <w:pStyle w:val="ListBullet"/>
      </w:pPr>
      <w:r>
        <w:t xml:space="preserve">Piège classique : </w:t>
      </w:r>
      <w:r>
        <w:rPr>
          <w:b/>
        </w:rPr>
        <w:t>délai d'action lent</w:t>
      </w:r>
      <w:r>
        <w:t xml:space="preserve"> — ne pas attendre d'effet en phase aiguë sévère. Discuter une corticothérapie relayée ou un anti-TNFα si urgent. Prévenir le patient que l'effet n'apparaît qu'à S6-S10.</w:t>
      </w:r>
    </w:p>
    <w:p>
      <w:pPr>
        <w:pStyle w:val="ListBullet"/>
      </w:pPr>
      <w:r>
        <w:t>Règle de prise : chaîne du froid +2-8°C, ne pas congeler, ne pas agiter, perfusion dans les 24h après reconstitution.</w:t>
      </w:r>
    </w:p>
    <w:p>
      <w:pPr>
        <w:pStyle w:val="ListBullet"/>
      </w:pPr>
      <w:r>
        <w:t>Préparation et Conservation : poudre lyophilisée à +2-8°C à l'abri de la lumière. Après reconstitution : stable 24h à 2-8°C.</w:t>
      </w:r>
    </w:p>
    <w:p>
      <w:pPr>
        <w:pStyle w:val="ListBullet"/>
      </w:pPr>
      <w:r>
        <w:t>Piège du surdosage / Substitution : pas de biosimilaire disponible en Algérie (un seul princeps ENTYVIO), pas de problème de substitution.</w:t>
      </w:r>
    </w:p>
    <w:p>
      <w:pPr>
        <w:pStyle w:val="ListBullet"/>
      </w:pPr>
      <w:r>
        <w:t>Piège vaccin : vaccins vivants CI par prudence.</w:t>
      </w:r>
    </w:p>
    <w:p>
      <w:pPr>
        <w:pStyle w:val="ListBullet"/>
      </w:pPr>
      <w:r>
        <w:t>Piège infection : risque infectieux faible vs anti-TNFα — pas de prophylaxie VHB systématique recommandée (sauf si AgHBs+).</w:t>
      </w:r>
    </w:p>
    <w:p>
      <w:pPr>
        <w:pStyle w:val="ListBullet"/>
      </w:pPr>
      <w:r>
        <w:t>Piège démeylinisation : profil rassurant, mais vérifier antécédents neurologiques avant initiation.</w:t>
      </w:r>
    </w:p>
    <w:p>
      <w:pPr>
        <w:pStyle w:val="Heading2"/>
      </w:pPr>
      <w:r>
        <w:t>3. Sous-classe : Biothérapies MICI — Anti-IL-12/23</w:t>
      </w:r>
    </w:p>
    <w:p>
      <w:r>
        <w:t xml:space="preserve">Les </w:t>
      </w:r>
      <w:r>
        <w:rPr>
          <w:b/>
        </w:rPr>
        <w:t>interleukines 12 et 23</w:t>
      </w:r>
      <w:r>
        <w:t xml:space="preserve"> sont des cytokines hétérodimériques partageant une </w:t>
      </w:r>
      <w:r>
        <w:rPr>
          <w:b/>
        </w:rPr>
        <w:t>sous-unité p40 commune</w:t>
      </w:r>
      <w:r>
        <w:t xml:space="preserve">, produites principalement par les cellules dendritiques et les macrophages activés. L'IL-12 (p35+p40) polarise les lymphocytes T naïfs vers un phénotype </w:t>
      </w:r>
      <w:r>
        <w:rPr>
          <w:b/>
        </w:rPr>
        <w:t>Th1</w:t>
      </w:r>
      <w:r>
        <w:t xml:space="preserve"> (production d'IFN-γ, TNFα), impliqués dans la défense antimicrobienne et l'inflammation chronique (maladie de Crohn). L'IL-23 (p19+p40) polarise vers un phénotype </w:t>
      </w:r>
      <w:r>
        <w:rPr>
          <w:b/>
        </w:rPr>
        <w:t>Th17</w:t>
      </w:r>
      <w:r>
        <w:t xml:space="preserve"> (production d'IL-17, IL-22, GM-CSF), impliqués dans la défense antifongique, l'inflammation des barrières muqueuses, le psoriasis et la spondyloarthrite. Le blocage de la sous-unité p40 commune inhibe à la fois la voie Th1 et Th17, touchant ainsi deux axes majeurs de la physiopathologie des MICI.</w:t>
      </w:r>
    </w:p>
    <w:p>
      <w:r>
        <w:t>L'</w:t>
      </w:r>
      <w:r>
        <w:rPr>
          <w:b/>
        </w:rPr>
        <w:t>ustekinumab</w:t>
      </w:r>
      <w:r>
        <w:t xml:space="preserve"> est le seul représentant de cette classe en Algérie. C'est un anticorps monoclonal </w:t>
      </w:r>
      <w:r>
        <w:rPr>
          <w:b/>
        </w:rPr>
        <w:t>entièrement humain IgG1κ</w:t>
      </w:r>
      <w:r>
        <w:t xml:space="preserve"> dirigé contre la sous-unité </w:t>
      </w:r>
      <w:r>
        <w:rPr>
          <w:b/>
        </w:rPr>
        <w:t>p40</w:t>
      </w:r>
      <w:r>
        <w:t xml:space="preserve"> commune à l'IL-12 et l'IL-23. Il bloque la liaison de ces cytokines au récepteur IL-12Rβ1 exprimé à la surface des lymphocytes T, NK et cellules dendritiques. Commercialisé sous le nom de STELARA, il est indiqué dans la maladie de Crohn modérée à sévère (depuis 2016) et la RCH (depuis 2017), après échec des conventionnels et/ou des anti-TNFα. Son profil de tolérance est excellent : peu d'infections sévères, pas de lymphome signalé, pas de démeylinisation centrale (contrairement aux anti-TNFα), pas de tuberculose réactivée décrite. La particularité pharmacocinétique est une </w:t>
      </w:r>
      <w:r>
        <w:rPr>
          <w:b/>
        </w:rPr>
        <w:t>induction par voie IV</w:t>
      </w:r>
      <w:r>
        <w:t xml:space="preserve"> (dose selon le poids) suivie d'un </w:t>
      </w:r>
      <w:r>
        <w:rPr>
          <w:b/>
        </w:rPr>
        <w:t>entretien par voie SC</w:t>
      </w:r>
      <w:r>
        <w:t xml:space="preserve"> toutes les 8-12 semaines, ce qui en fait la seule biothérapie avec un schéma mixte IV/SC. Sa demi-vie longue (~3 semaines en moyenne, jusqu'à 4-5 semaines chez certains patients) autorise un espacement des administrations, améliorant l'observance.</w:t>
      </w:r>
    </w:p>
    <w:p>
      <w:pPr>
        <w:pStyle w:val="Heading3"/>
      </w:pPr>
      <w:r>
        <w:t>6. DCI : Ustekinumab (Seule)</w:t>
      </w:r>
    </w:p>
    <w:p>
      <w:r/>
      <w:r>
        <w:rPr>
          <w:b/>
        </w:rPr>
        <w:t>Liste des Catégories :</w:t>
      </w:r>
      <w:r>
        <w:t xml:space="preserve"> LISTE I — Biothérapie anticorps monoclonal anti-IL-12/23 (anti-p40), prescription hospitalière spécialisée.</w:t>
      </w:r>
    </w:p>
    <w:p>
      <w:r>
        <w:t>L'</w:t>
      </w:r>
      <w:r>
        <w:rPr>
          <w:b/>
        </w:rPr>
        <w:t>ustekinumab</w:t>
      </w:r>
      <w:r>
        <w:t xml:space="preserve"> est un anticorps monoclonal </w:t>
      </w:r>
      <w:r>
        <w:rPr>
          <w:b/>
        </w:rPr>
        <w:t>entièrement humain IgG1κ</w:t>
      </w:r>
      <w:r>
        <w:t xml:space="preserve"> dirigé contre la sous-unité p40 commune aux interleukines 12 et 23. Il est commercialisé sous le nom de STELARA en Algérie, disponible sous trois formes galéniques : (i) seringue préremplie SC 45 mg/0,5 mL ; (ii) seringue préremplie SC 90 mg/mL ; (iii) solution à diluer pour perfusion IV 130 mg/flacon. Sa pharmacocinétique est caractérisée par une </w:t>
      </w:r>
      <w:r>
        <w:rPr>
          <w:b/>
        </w:rPr>
        <w:t>induction par voie IV</w:t>
      </w:r>
      <w:r>
        <w:t xml:space="preserve"> (dose unique calculée selon le poids, ~6 mg/kg) suivie d'un </w:t>
      </w:r>
      <w:r>
        <w:rPr>
          <w:b/>
        </w:rPr>
        <w:t>entretien par voie SC</w:t>
      </w:r>
      <w:r>
        <w:t xml:space="preserve"> (90 mg toutes les 8-12 semaines selon la réponse). La demi-vie terminale est d'environ 3 semaines. L'immunogénicité est faible (&lt;5% d'Ac anti-ustekinumab, rarement neutralisants). L'efficacité dans le Crohn apparaît à S6-S8 avec un pic à S24-S32 ; dans la RCH, à S8-S12. Le profil de tolérance est l'un des plus favorables des biothérapies des MICI.</w:t>
      </w:r>
    </w:p>
    <w:p>
      <w:r/>
      <w:r>
        <w:rPr>
          <w:b/>
        </w:rPr>
        <w:t>Médicaments disponibles en Algérie (Marques, Laboratoires, Formes et Dosages) :</w:t>
      </w:r>
      <w:r/>
    </w:p>
    <w:p>
      <w:pPr>
        <w:pStyle w:val="ListBullet"/>
      </w:pPr>
      <w:r/>
      <w:r>
        <w:rPr>
          <w:b/>
        </w:rPr>
        <w:t>STELARA</w:t>
      </w:r>
      <w:r>
        <w:t xml:space="preserve"> (JANSSEN-CILAG INTERNATIONAL NV)</w:t>
      </w:r>
    </w:p>
    <w:p>
      <w:pPr>
        <w:pStyle w:val="ListBullet"/>
      </w:pPr>
      <w:r>
        <w:t>Formes et Dosages : Solution injectable en seringue préremplie SC, 45 mg/0,5 mL, boîte d'une seringue préremplie de 0,5 mL</w:t>
      </w:r>
    </w:p>
    <w:p>
      <w:pPr>
        <w:pStyle w:val="ListBullet"/>
      </w:pPr>
      <w:r>
        <w:t>Statut : Actif (princeps)</w:t>
      </w:r>
    </w:p>
    <w:p>
      <w:pPr>
        <w:pStyle w:val="ListBullet"/>
      </w:pPr>
      <w:r/>
      <w:r>
        <w:rPr>
          <w:b/>
        </w:rPr>
        <w:t>STELARA</w:t>
      </w:r>
      <w:r>
        <w:t xml:space="preserve"> (JANSSEN-CILAG INTERNATIONAL NV)</w:t>
      </w:r>
    </w:p>
    <w:p>
      <w:pPr>
        <w:pStyle w:val="ListBullet"/>
      </w:pPr>
      <w:r>
        <w:t>Formes et Dosages : Solution injectable en seringue préremplie SC, 90 mg/mL, boîte d'une seringue préremplie de 1 mL</w:t>
      </w:r>
    </w:p>
    <w:p>
      <w:pPr>
        <w:pStyle w:val="ListBullet"/>
      </w:pPr>
      <w:r>
        <w:t>Statut : Actif (princeps, dosage supérieur)</w:t>
      </w:r>
    </w:p>
    <w:p>
      <w:pPr>
        <w:pStyle w:val="ListBullet"/>
      </w:pPr>
      <w:r/>
      <w:r>
        <w:rPr>
          <w:b/>
        </w:rPr>
        <w:t>STELARA</w:t>
      </w:r>
      <w:r>
        <w:t xml:space="preserve"> (JANSSEN-CILAG INTERNATIONAL NV)</w:t>
      </w:r>
    </w:p>
    <w:p>
      <w:pPr>
        <w:pStyle w:val="ListBullet"/>
      </w:pPr>
      <w:r>
        <w:t>Formes et Dosages : Solution à diluer pour perfusion IV, 130 mg, boîte de 1 flacon de 30 mL</w:t>
      </w:r>
    </w:p>
    <w:p>
      <w:pPr>
        <w:pStyle w:val="ListBullet"/>
      </w:pPr>
      <w:r>
        <w:t>Statut : Actif (princeps, forme IV pour induction)</w:t>
      </w:r>
    </w:p>
    <w:p>
      <w:r/>
      <w:r>
        <w:rPr>
          <w:b/>
        </w:rPr>
        <w:t>Sous-classe et Mécanisme d'action :</w:t>
      </w:r>
      <w:r/>
    </w:p>
    <w:p>
      <w:pPr>
        <w:pStyle w:val="ListBullet"/>
      </w:pPr>
      <w:r>
        <w:t xml:space="preserve">Sous-classe : Anti-IL-12/23, anticorps monoclonal </w:t>
      </w:r>
      <w:r>
        <w:rPr>
          <w:b/>
        </w:rPr>
        <w:t>entièrement humain</w:t>
      </w:r>
      <w:r>
        <w:t xml:space="preserve"> IgG1κ dirigé contre la sous-unité p40 commune, 1re génération (psoriasis 2008, MICI 2016-2017).</w:t>
      </w:r>
    </w:p>
    <w:p>
      <w:pPr>
        <w:pStyle w:val="ListBullet"/>
      </w:pPr>
      <w:r>
        <w:t xml:space="preserve">Mécanisme d'action : L'ustekinumab se lie avec haute affinité à la sous-unité </w:t>
      </w:r>
      <w:r>
        <w:rPr>
          <w:b/>
        </w:rPr>
        <w:t>p40</w:t>
      </w:r>
      <w:r>
        <w:t xml:space="preserve"> commune à l'IL-12 et à l'IL-23, empêchant leur fixation au récepteur IL-12Rβ1 exprimé à la surface des lymphocytes T, NK et cellules dendritiques. Ce double blocage (Th1 et Th17) interrompt la polarisation lymphocytaire et la production en aval d'IFN-γ, TNFα, IL-17, IL-22, GM-CSF — autant de médiateurs clés de l'inflammation muqueuse intestinale. L'action est plus en amont que les anti-TNFα (qui ciblent un médiateur terminal), ce qui explique le délai d'action plus long mais aussi une certaine spécificité du profil de tolérance (pas de TB réactivée, pas de lymphome, pas de démeylinisation). L'ustekinumab n'a pas d'effet cytotoxique direct (pas d'ADCC significative).</w:t>
      </w:r>
    </w:p>
    <w:p>
      <w:r/>
      <w:r>
        <w:rPr>
          <w:b/>
        </w:rPr>
        <w:t>Profil Pharmacologique :</w:t>
      </w:r>
      <w:r/>
    </w:p>
    <w:p>
      <w:pPr>
        <w:pStyle w:val="ListBullet"/>
      </w:pPr>
      <w:r>
        <w:t>Indications : Maladie de Crohn active modérée à sévère de l'adulte en cas de réponse inadéquate, perte de réponse ou intolérance à un anti-TNFα ou aux immunosuppresseurs conventionnels ; rectocolite hémorragique modérée à sévère de l'adulte dans les mêmes conditions ; psoriasis cutané en plaques modéré à sévère de l'adulte (et enfant &gt;6 ans) ; rhumatisme psoriasique actif ; psoriasis cutané pédiatrique (enfant &gt;6 ans). Indication en 1re intention possible chez les patients à haut risque infectieux (sujet âgé, antécédent néoplasique, démeylinisation) ou en cas de contre-indication aux anti-TNFα.</w:t>
      </w:r>
    </w:p>
    <w:p>
      <w:pPr>
        <w:pStyle w:val="ListBullet"/>
      </w:pPr>
      <w:r>
        <w:t>Contre-indications : Hypersensibilité à l'ustekinumab ou à l'un des excipients ; infection active sévère (à traiter avant initiation) ; tuberculose active (par prudence, bien que le risque TB soit moindre) ; 3e trimestre de grossesse (par prudence, IgG1 traverse le placenta).</w:t>
      </w:r>
    </w:p>
    <w:p>
      <w:pPr>
        <w:pStyle w:val="ListBullet"/>
      </w:pPr>
      <w:r>
        <w:t>Effets Indésirables :</w:t>
      </w:r>
    </w:p>
    <w:p>
      <w:pPr>
        <w:pStyle w:val="ListBullet"/>
      </w:pPr>
      <w:r/>
      <w:r>
        <w:rPr>
          <w:b/>
        </w:rPr>
        <w:t>Infections</w:t>
      </w:r>
      <w:r>
        <w:t xml:space="preserve"> : nasopharyngées, bronchites, urinaires — augmentation modérée vs placebo mais </w:t>
      </w:r>
      <w:r>
        <w:rPr>
          <w:b/>
        </w:rPr>
        <w:t>nettement moindre</w:t>
      </w:r>
      <w:r>
        <w:t xml:space="preserve"> que les anti-TNFα. Pas d'augmentation significative des infections opportunistes, pas de tuberculose réactivée signalée (&gt;1 million de patients traités sans cas), pas de LEMP.</w:t>
      </w:r>
    </w:p>
    <w:p>
      <w:pPr>
        <w:pStyle w:val="ListBullet"/>
      </w:pPr>
      <w:r/>
      <w:r>
        <w:rPr>
          <w:b/>
        </w:rPr>
        <w:t>Réactions au site d'injection SC</w:t>
      </w:r>
      <w:r>
        <w:t xml:space="preserve"> (~5%) : érythème, prurit, douleur — transitoires.</w:t>
      </w:r>
    </w:p>
    <w:p>
      <w:pPr>
        <w:pStyle w:val="ListBullet"/>
      </w:pPr>
      <w:r/>
      <w:r>
        <w:rPr>
          <w:b/>
        </w:rPr>
        <w:t>Réactions à la perfusion IV</w:t>
      </w:r>
      <w:r>
        <w:t xml:space="preserve"> (rare) : fièvre, frissons, prurit, urticaire, dyspnée.</w:t>
      </w:r>
    </w:p>
    <w:p>
      <w:pPr>
        <w:pStyle w:val="ListBullet"/>
      </w:pPr>
      <w:r/>
      <w:r>
        <w:rPr>
          <w:b/>
        </w:rPr>
        <w:t>Immunogénicité</w:t>
      </w:r>
      <w:r>
        <w:t xml:space="preserve"> : Ac anti-ustekinumab &lt;5%, rarement neutralisants, sans impact clinique majeur.</w:t>
      </w:r>
    </w:p>
    <w:p>
      <w:pPr>
        <w:pStyle w:val="ListBullet"/>
      </w:pPr>
      <w:r/>
      <w:r>
        <w:rPr>
          <w:b/>
        </w:rPr>
        <w:t>Neurologiques</w:t>
      </w:r>
      <w:r>
        <w:t xml:space="preserve"> : pas de démeylinisation centrale décrite.</w:t>
      </w:r>
    </w:p>
    <w:p>
      <w:pPr>
        <w:pStyle w:val="ListBullet"/>
      </w:pPr>
      <w:r/>
      <w:r>
        <w:rPr>
          <w:b/>
        </w:rPr>
        <w:t>Hépatiques</w:t>
      </w:r>
      <w:r>
        <w:t xml:space="preserve"> : cytolyse rare.</w:t>
      </w:r>
    </w:p>
    <w:p>
      <w:pPr>
        <w:pStyle w:val="ListBullet"/>
      </w:pPr>
      <w:r/>
      <w:r>
        <w:rPr>
          <w:b/>
        </w:rPr>
        <w:t>Cutanés</w:t>
      </w:r>
      <w:r>
        <w:t xml:space="preserve"> : éruptions, psoriasis paradoxal (exceptionnel).</w:t>
      </w:r>
    </w:p>
    <w:p>
      <w:pPr>
        <w:pStyle w:val="ListBullet"/>
      </w:pPr>
      <w:r/>
      <w:r>
        <w:rPr>
          <w:b/>
        </w:rPr>
        <w:t>Néoplasies</w:t>
      </w:r>
      <w:r>
        <w:t xml:space="preserve"> : pas d'augmentation signalée vs placebo (suivi &gt;10 ans rassurant).</w:t>
      </w:r>
    </w:p>
    <w:p>
      <w:pPr>
        <w:pStyle w:val="ListBullet"/>
      </w:pPr>
      <w:r/>
      <w:r>
        <w:rPr>
          <w:b/>
        </w:rPr>
        <w:t>Autres</w:t>
      </w:r>
      <w:r>
        <w:t xml:space="preserve"> : arthralgies, céphalées, fatigue, vertiges.</w:t>
      </w:r>
    </w:p>
    <w:p>
      <w:r/>
      <w:r>
        <w:rPr>
          <w:b/>
        </w:rPr>
        <w:t>Prévention et Gestion des Effets Indésirables :</w:t>
      </w:r>
      <w:r/>
    </w:p>
    <w:p>
      <w:pPr>
        <w:pStyle w:val="ListBullet"/>
      </w:pPr>
      <w:r>
        <w:t>Mesures Préventives :</w:t>
      </w:r>
    </w:p>
    <w:p>
      <w:pPr>
        <w:pStyle w:val="ListBullet"/>
      </w:pPr>
      <w:r/>
      <w:r>
        <w:rPr>
          <w:b/>
        </w:rPr>
        <w:t>Bilan pré-thérapeutique</w:t>
      </w:r>
      <w:r>
        <w:t xml:space="preserve"> : tuberculose (IDR/IGRA + Rx thorax) par prudence, sérologies VIH/VHB/VHC, NFS, transaminases, créatinine, électrophorèse.</w:t>
      </w:r>
    </w:p>
    <w:p>
      <w:pPr>
        <w:pStyle w:val="ListBullet"/>
      </w:pPr>
      <w:r/>
      <w:r>
        <w:rPr>
          <w:b/>
        </w:rPr>
        <w:t>Vaccination</w:t>
      </w:r>
      <w:r>
        <w:t xml:space="preserve"> : mise à jour vaccins inactivés avant initiation (grippe, pneumocoque, hépatite B, HPV, tétanos). Vaccins vivants CI par prudence (BCG, ROR, fièvre jaune).</w:t>
      </w:r>
    </w:p>
    <w:p>
      <w:pPr>
        <w:pStyle w:val="ListBullet"/>
      </w:pPr>
      <w:r/>
      <w:r>
        <w:rPr>
          <w:b/>
        </w:rPr>
        <w:t>Pas d'immunosuppresseur associé</w:t>
      </w:r>
      <w:r>
        <w:t xml:space="preserve"> systématique (immunogénicité faible).</w:t>
      </w:r>
    </w:p>
    <w:p>
      <w:pPr>
        <w:pStyle w:val="ListBullet"/>
      </w:pPr>
      <w:r/>
      <w:r>
        <w:rPr>
          <w:b/>
        </w:rPr>
        <w:t>Surveillance</w:t>
      </w:r>
      <w:r>
        <w:t xml:space="preserve"> : NFS et transaminases trimestrielles, CRP et calprotectine fécale avant chaque injection.</w:t>
      </w:r>
    </w:p>
    <w:p>
      <w:pPr>
        <w:pStyle w:val="ListBullet"/>
      </w:pPr>
      <w:r>
        <w:t>Conduite à Tenir :</w:t>
      </w:r>
    </w:p>
    <w:p>
      <w:pPr>
        <w:pStyle w:val="ListBullet"/>
      </w:pPr>
      <w:r/>
      <w:r>
        <w:rPr>
          <w:b/>
        </w:rPr>
        <w:t>Infection sévère</w:t>
      </w:r>
      <w:r>
        <w:t xml:space="preserve"> : arrêt temporaire, traitement étiologique, reprise après guérison.</w:t>
      </w:r>
    </w:p>
    <w:p>
      <w:pPr>
        <w:pStyle w:val="ListBullet"/>
      </w:pPr>
      <w:r/>
      <w:r>
        <w:rPr>
          <w:b/>
        </w:rPr>
        <w:t>Réaction au site d'injection</w:t>
      </w:r>
      <w:r>
        <w:t xml:space="preserve"> : antihistaminique, rotation des sites.</w:t>
      </w:r>
    </w:p>
    <w:p>
      <w:pPr>
        <w:pStyle w:val="ListBullet"/>
      </w:pPr>
      <w:r/>
      <w:r>
        <w:rPr>
          <w:b/>
        </w:rPr>
        <w:t>Perte d'efficacité</w:t>
      </w:r>
      <w:r>
        <w:t xml:space="preserve"> : STP (trough ustekinumab cible &gt;1 µg/mL), raccourcissement à /8 sem au lieu de /12 sem.</w:t>
      </w:r>
    </w:p>
    <w:p>
      <w:pPr>
        <w:pStyle w:val="ListBullet"/>
      </w:pPr>
      <w:r/>
      <w:r>
        <w:rPr>
          <w:b/>
        </w:rPr>
        <w:t>Tuberculose latente</w:t>
      </w:r>
      <w:r>
        <w:t xml:space="preserve"> : chimioprophylaxie INH 9 mois par prudence.</w:t>
      </w:r>
    </w:p>
    <w:p>
      <w:r/>
      <w:r>
        <w:rPr>
          <w:b/>
        </w:rPr>
        <w:t>Interactions Importantes :</w:t>
      </w:r>
      <w:r/>
    </w:p>
    <w:p>
      <w:pPr>
        <w:pStyle w:val="ListBullet"/>
      </w:pPr>
      <w:r/>
      <w:r>
        <w:rPr>
          <w:b/>
        </w:rPr>
        <w:t>Ustekinumab + vaccins vivants</w:t>
      </w:r>
      <w:r>
        <w:t xml:space="preserve"> : CI par prudence.</w:t>
      </w:r>
    </w:p>
    <w:p>
      <w:pPr>
        <w:pStyle w:val="ListBullet"/>
      </w:pPr>
      <w:r/>
      <w:r>
        <w:rPr>
          <w:b/>
        </w:rPr>
        <w:t>Ustekinumab + anti-TNFα</w:t>
      </w:r>
      <w:r>
        <w:t xml:space="preserve"> : association déconseillée (augmentation du risque infectieux sans bénéfice).</w:t>
      </w:r>
    </w:p>
    <w:p>
      <w:pPr>
        <w:pStyle w:val="ListBullet"/>
      </w:pPr>
      <w:r/>
      <w:r>
        <w:rPr>
          <w:b/>
        </w:rPr>
        <w:t>Ustekinumab + vedolizumab</w:t>
      </w:r>
      <w:r>
        <w:t xml:space="preserve"> : association déconseillée par prudence.</w:t>
      </w:r>
    </w:p>
    <w:p>
      <w:pPr>
        <w:pStyle w:val="ListBullet"/>
      </w:pPr>
      <w:r/>
      <w:r>
        <w:rPr>
          <w:b/>
        </w:rPr>
        <w:t>Ustekinumab + AZA/MTX</w:t>
      </w:r>
      <w:r>
        <w:t xml:space="preserve"> : association possible en cas d'antécédent d'immunogénicité, surveillance hématologique.</w:t>
      </w:r>
    </w:p>
    <w:p>
      <w:pPr>
        <w:pStyle w:val="ListBullet"/>
      </w:pPr>
      <w:r/>
      <w:r>
        <w:rPr>
          <w:b/>
        </w:rPr>
        <w:t>Ustekinumab + corticoïdes</w:t>
      </w:r>
      <w:r>
        <w:t xml:space="preserve"> : pas d'interaction pertinente.</w:t>
      </w:r>
    </w:p>
    <w:p>
      <w:pPr>
        <w:pStyle w:val="ListBullet"/>
      </w:pPr>
      <w:r/>
      <w:r>
        <w:rPr>
          <w:b/>
        </w:rPr>
        <w:t>Ustekinumab + IEC/ARA2</w:t>
      </w:r>
      <w:r>
        <w:t xml:space="preserve"> : pas d'interaction.</w:t>
      </w:r>
    </w:p>
    <w:p>
      <w:r/>
      <w:r>
        <w:rPr>
          <w:b/>
        </w:rPr>
        <w:t>Grossesse et Allaitement :</w:t>
      </w:r>
      <w:r/>
    </w:p>
    <w:p>
      <w:pPr>
        <w:pStyle w:val="ListBullet"/>
      </w:pPr>
      <w:r>
        <w:t xml:space="preserve">Grossesse : Selon CRAT, </w:t>
      </w:r>
      <w:r>
        <w:rPr>
          <w:b/>
        </w:rPr>
        <w:t>compatible</w:t>
      </w:r>
      <w:r>
        <w:t xml:space="preserve"> avec la grossesse si nécessaire. IgG1 traverse le placenta au 2e-3e trimestre. Recommandation : maintenir pendant la grossesse, suspendre après S30-S34 par prudence, reprise 2-4 semaines post-partum. L'ustekinumab est une option de choix chez la femme enceinte nécessitant une biothérapie, surtout en cas de contre-indication aux anti-TNFα.</w:t>
      </w:r>
    </w:p>
    <w:p>
      <w:pPr>
        <w:pStyle w:val="ListBullet"/>
      </w:pPr>
      <w:r>
        <w:t xml:space="preserve">Allaitement : </w:t>
      </w:r>
      <w:r>
        <w:rPr>
          <w:b/>
        </w:rPr>
        <w:t>Compatible</w:t>
      </w:r>
      <w:r>
        <w:t xml:space="preserve"> (passage minime, dégradation digestive). Reprise dès J0.</w:t>
      </w:r>
    </w:p>
    <w:p>
      <w:pPr>
        <w:pStyle w:val="ListBullet"/>
      </w:pPr>
      <w:r>
        <w:t>Précisions : vaccins vivants du nourrisson différés (BCG &gt;3 mois, ROR selon calendrier).</w:t>
      </w:r>
    </w:p>
    <w:p>
      <w:r/>
      <w:r>
        <w:rPr>
          <w:b/>
        </w:rPr>
        <w:t>Posologie et Mode d'administration (Standard) :</w:t>
      </w:r>
      <w:r/>
    </w:p>
    <w:p>
      <w:pPr>
        <w:pStyle w:val="ListBullet"/>
      </w:pPr>
      <w:r>
        <w:t>Adulte :</w:t>
      </w:r>
    </w:p>
    <w:p>
      <w:pPr>
        <w:pStyle w:val="ListBullet"/>
      </w:pPr>
      <w:r/>
      <w:r>
        <w:rPr>
          <w:b/>
        </w:rPr>
        <w:t>Induction (Crohn, RCH)</w:t>
      </w:r>
      <w:r>
        <w:t xml:space="preserve"> : </w:t>
      </w:r>
      <w:r>
        <w:rPr>
          <w:b/>
        </w:rPr>
        <w:t>dose unique IV selon le poids</w:t>
      </w:r>
      <w:r>
        <w:t xml:space="preserve"> — ≤55 kg : 260 mg (2 flacons de 130 mg) ; 55-85 kg : 390 mg (3 flacons) ; &gt;85 kg : 520 mg (4 flacons). Perfusion IV de 1 heure minimum, dilution dans NaCl 0,9%.</w:t>
      </w:r>
    </w:p>
    <w:p>
      <w:pPr>
        <w:pStyle w:val="ListBullet"/>
      </w:pPr>
      <w:r/>
      <w:r>
        <w:rPr>
          <w:b/>
        </w:rPr>
        <w:t>Entretien (Crohn, RCH)</w:t>
      </w:r>
      <w:r>
        <w:t xml:space="preserve"> : </w:t>
      </w:r>
      <w:r>
        <w:rPr>
          <w:b/>
        </w:rPr>
        <w:t>90 mg SC à S8</w:t>
      </w:r>
      <w:r>
        <w:t xml:space="preserve"> (après induction IV), puis </w:t>
      </w:r>
      <w:r>
        <w:rPr>
          <w:b/>
        </w:rPr>
        <w:t>90 mg SC toutes les 8 semaines</w:t>
      </w:r>
      <w:r>
        <w:t xml:space="preserve"> (Crohn) ou </w:t>
      </w:r>
      <w:r>
        <w:rPr>
          <w:b/>
        </w:rPr>
        <w:t>toutes les 12 semaines</w:t>
      </w:r>
      <w:r>
        <w:t xml:space="preserve"> (RCH). En cas de réponse insuffisante en Crohn : passage à /8 sem si /12 sem insuffisant, ou inverse.</w:t>
      </w:r>
    </w:p>
    <w:p>
      <w:pPr>
        <w:pStyle w:val="ListBullet"/>
      </w:pPr>
      <w:r/>
      <w:r>
        <w:rPr>
          <w:b/>
        </w:rPr>
        <w:t>Psoriasis, rhumatisme psoriasique</w:t>
      </w:r>
      <w:r>
        <w:t xml:space="preserve"> : 45 mg SC S0, S4, puis /12 sem (sujet ≤100 kg) ; 90 mg SC S0, S4, puis /12 sem (sujet &gt;100 kg).</w:t>
      </w:r>
    </w:p>
    <w:p>
      <w:pPr>
        <w:pStyle w:val="ListBullet"/>
      </w:pPr>
      <w:r/>
      <w:r>
        <w:rPr>
          <w:b/>
        </w:rPr>
        <w:t>Mode d'administration SC</w:t>
      </w:r>
      <w:r>
        <w:t xml:space="preserve"> : abdomen, cuisse, bras, rotation des sites, seringue préremplie auto-administrée après formation.</w:t>
      </w:r>
    </w:p>
    <w:p>
      <w:pPr>
        <w:pStyle w:val="ListBullet"/>
      </w:pPr>
      <w:r>
        <w:t>Sujet âgé : pas d'adaptation systématique, sécurité d'usage satisfaisante (option de choix chez le sujet âgé).</w:t>
      </w:r>
    </w:p>
    <w:p>
      <w:pPr>
        <w:pStyle w:val="ListBullet"/>
      </w:pPr>
      <w:r>
        <w:t>Durée : au long cours, réévaluation annuelle. Arrêt envisageable après rémission profonde prolongée (≥2 ans).</w:t>
      </w:r>
    </w:p>
    <w:p>
      <w:pPr>
        <w:pStyle w:val="ListBullet"/>
      </w:pPr>
      <w:r>
        <w:t>Moment de prise : selon calendrier, à heure fixe.</w:t>
      </w:r>
    </w:p>
    <w:p>
      <w:r/>
      <w:r>
        <w:rPr>
          <w:b/>
        </w:rPr>
        <w:t>Arbitrage et Bénéfices des Formes Galéniques :</w:t>
      </w:r>
      <w:r/>
    </w:p>
    <w:p>
      <w:r>
        <w:t xml:space="preserve">L'ustekinumab est </w:t>
      </w:r>
      <w:r>
        <w:rPr>
          <w:b/>
        </w:rPr>
        <w:t>la seule biothérapie avec un schéma mixte IV/SC</w:t>
      </w:r>
      <w:r>
        <w:t xml:space="preserve"> :</w:t>
      </w:r>
    </w:p>
    <w:p>
      <w:pPr>
        <w:pStyle w:val="ListBullet"/>
      </w:pPr>
      <w:r/>
      <w:r>
        <w:rPr>
          <w:b/>
        </w:rPr>
        <w:t>Forme IV 130 mg/flacon</w:t>
      </w:r>
      <w:r>
        <w:t xml:space="preserve"> : réservée à l'induction, perfusion hospitalière, permet un pic sérique élevé et une efficacité rapide d'installation (S6-S8).</w:t>
      </w:r>
    </w:p>
    <w:p>
      <w:pPr>
        <w:pStyle w:val="ListBullet"/>
      </w:pPr>
      <w:r/>
      <w:r>
        <w:rPr>
          <w:b/>
        </w:rPr>
        <w:t>Formes SC 45 mg et 90 mg</w:t>
      </w:r>
      <w:r>
        <w:t xml:space="preserve"> : réservées à l'entretien, auto-administration à domicile, fréquence réduite (/8 ou /12 sem — l'une des moins contraignantes de la classe).</w:t>
      </w:r>
    </w:p>
    <w:p>
      <w:r>
        <w:t>Avantages : profil de tolérance excellent (peu d'infections, pas de TB, pas de démeylinisation, pas de lymphome), facilité d'usage à long terme (1 injection/2-3 mois), choix pour patients fragiles. Inconvénients : coût élevé, délai d'action modéré (4-8 semaines), disponibilité Algérie limitée à un seul princeps (pas de biosimilaire).</w:t>
      </w:r>
    </w:p>
    <w:p>
      <w:r/>
      <w:r>
        <w:rPr>
          <w:b/>
        </w:rPr>
        <w:t>Instructions et Conseils au Patient :</w:t>
      </w:r>
      <w:r/>
    </w:p>
    <w:p>
      <w:pPr>
        <w:pStyle w:val="ListBullet"/>
      </w:pPr>
      <w:r>
        <w:t>Communication au comptoir : "Votre traitement s'appelle l'ustekinumab (STELARA). C'est un anticorps monoclonal humain qui cible une protéine inflammatoire appelée IL-12/23, impliquée dans votre maladie inflammatoire intestinale. Le schéma comporte deux phases : une perfusion intraveineuse initiale à l'hôpital (dose calculée selon votre poids), puis des injections sous-cutanées toutes les 8 à 12 semaines que vous pouvez faire vous-même à domicile. L'effet apparaît en 4-8 semaines. Le profil de tolérance est particulièrement favorable : moins d'infections graves que les anti-TNFα, pas de risque de tuberculose réactivée, pas de lymphome signalé, pas de démyélinisation. C'est l'option privilégiée chez vous car [adapter]. Risques : réactions au point d'injection (rougeur transitoire), infections légères. Signalez toute fièvre, infection, douleur abdominale."</w:t>
      </w:r>
    </w:p>
    <w:p>
      <w:pPr>
        <w:pStyle w:val="ListBullet"/>
      </w:pPr>
      <w:r>
        <w:t>Mode d'utilisation pratique : se laver les mains, désinfecter, sortir la seringue 30 min avant, vérifier absence de particules, pincer le pli, injecter à 45°, tenir 10 s, jeter dans collecteur.</w:t>
      </w:r>
    </w:p>
    <w:p>
      <w:r/>
      <w:r>
        <w:rPr>
          <w:b/>
        </w:rPr>
        <w:t>Notes, Règles d'Or &amp; Pièges au Comptoir :</w:t>
      </w:r>
      <w:r/>
    </w:p>
    <w:p>
      <w:pPr>
        <w:pStyle w:val="ListBullet"/>
      </w:pPr>
      <w:r>
        <w:t xml:space="preserve">Piège classique : </w:t>
      </w:r>
      <w:r>
        <w:rPr>
          <w:b/>
        </w:rPr>
        <w:t>délai d'action modéré</w:t>
      </w:r>
      <w:r>
        <w:t xml:space="preserve"> — ne pas attendre d'effet en phase aiguë sévère. Prévoir une corticothérapie relayée. Prévenir le patient que l'effet apparaît à S6-S8.</w:t>
      </w:r>
    </w:p>
    <w:p>
      <w:pPr>
        <w:pStyle w:val="ListBullet"/>
      </w:pPr>
      <w:r>
        <w:t>Règle de prise : chaîne du froid +2-8°C, ne pas congeler, transport isotherme.</w:t>
      </w:r>
    </w:p>
    <w:p>
      <w:pPr>
        <w:pStyle w:val="ListBullet"/>
      </w:pPr>
      <w:r>
        <w:t>Préparation et Conservation : +2-8°C à l'abri de la lumière. Forme IV : perfusion dans les 24h après reconstitution.</w:t>
      </w:r>
    </w:p>
    <w:p>
      <w:pPr>
        <w:pStyle w:val="ListBullet"/>
      </w:pPr>
      <w:r>
        <w:t>Piège du surdosage / Substitution : pas de biosimilaire disponible en Algérie (un seul princeps STELARA), pas de problème de substitution.</w:t>
      </w:r>
    </w:p>
    <w:p>
      <w:pPr>
        <w:pStyle w:val="ListBullet"/>
      </w:pPr>
      <w:r>
        <w:t>Piège vaccin : vaccins vivants CI par prudence pendant et 3 mois après l'arrêt.</w:t>
      </w:r>
    </w:p>
    <w:p>
      <w:pPr>
        <w:pStyle w:val="ListBullet"/>
      </w:pPr>
      <w:r>
        <w:t>Piège infection : risque infectieux faible vs anti-TNFα. Pas de prophylaxie VHB systématique (sauf si AgHBs+).</w:t>
      </w:r>
    </w:p>
    <w:p>
      <w:pPr>
        <w:pStyle w:val="ListBullet"/>
      </w:pPr>
      <w:r>
        <w:t>Piège grossesse : suspendre après S34 par prudence.</w:t>
      </w:r>
    </w:p>
    <w:p>
      <w:pPr>
        <w:pStyle w:val="ListBullet"/>
      </w:pPr>
      <w:r>
        <w:t>Piège poids : la dose d'induction IV est calculée selon le poids — vérifier la prescription (≤55 kg, 55-85 kg, &gt;85 kg).</w:t>
      </w:r>
    </w:p>
    <w:p>
      <w:pPr>
        <w:pStyle w:val="Heading2"/>
      </w:pPr>
      <w:r>
        <w:t>4. Sous-classe : Biothérapies MICI — Inhibiteurs des Janus Kinases (JAK)</w:t>
      </w:r>
    </w:p>
    <w:p>
      <w:r>
        <w:t xml:space="preserve">Les </w:t>
      </w:r>
      <w:r>
        <w:rPr>
          <w:b/>
        </w:rPr>
        <w:t>Janus kinases (JAK)</w:t>
      </w:r>
      <w:r>
        <w:t xml:space="preserve"> sont une famille de </w:t>
      </w:r>
      <w:r>
        <w:rPr>
          <w:b/>
        </w:rPr>
        <w:t>tyrosines kinases intracellulaires</w:t>
      </w:r>
      <w:r>
        <w:t xml:space="preserve"> (JAK1, JAK2, JAK3, TYK2) qui constituent le maillon de signalisation intracellulaire de nombreux récepteurs de cytokines (récepteurs aux cytokines de type I et II). Lorsqu'une cytokine se lie à son récepteur membranaire, celui-ci active les JAK associées, qui </w:t>
      </w:r>
      <w:r>
        <w:rPr>
          <w:b/>
        </w:rPr>
        <w:t>phosphorylent</w:t>
      </w:r>
      <w:r>
        <w:t xml:space="preserve"> les récepteurs et les </w:t>
      </w:r>
      <w:r>
        <w:rPr>
          <w:b/>
        </w:rPr>
        <w:t>STAT (Signal Transducer and Activator of Transcription)</w:t>
      </w:r>
      <w:r>
        <w:t>. Les STAT dimérisent, migrent dans le noyau et activent la transcription de gènes cibles (cytokines, chimiokines, facteurs de croissance). Les JAK sont ainsi impliquées dans la signalisation de l'</w:t>
      </w:r>
      <w:r>
        <w:rPr>
          <w:b/>
        </w:rPr>
        <w:t>IL-2, IL-4, IL-6, IL-7, IL-9, IL-12, IL-15, IL-21, IL-23, GM-CSF, IFN-γ, EPO, TPO, G-CSF</w:t>
      </w:r>
      <w:r>
        <w:t xml:space="preserve"> — un large éventail de médiateurs inflammatoires et hématopoïétiques.</w:t>
      </w:r>
    </w:p>
    <w:p>
      <w:r>
        <w:t xml:space="preserve">Les </w:t>
      </w:r>
      <w:r>
        <w:rPr>
          <w:b/>
        </w:rPr>
        <w:t>inhibiteurs des JAK</w:t>
      </w:r>
      <w:r>
        <w:t xml:space="preserve"> sont de petites molécules synthétiques (non des anticorps monoclonaux), administrées par </w:t>
      </w:r>
      <w:r>
        <w:rPr>
          <w:b/>
        </w:rPr>
        <w:t>voie orale</w:t>
      </w:r>
      <w:r>
        <w:t xml:space="preserve"> — un avantage majeur en termes de praticité par rapport aux biothérapies injectables. Le </w:t>
      </w:r>
      <w:r>
        <w:rPr>
          <w:b/>
        </w:rPr>
        <w:t>tofacitinib</w:t>
      </w:r>
      <w:r>
        <w:t xml:space="preserve"> (pan-JAK, préférence JAK1/JAK3) et l'</w:t>
      </w:r>
      <w:r>
        <w:rPr>
          <w:b/>
        </w:rPr>
        <w:t>upadacitinib</w:t>
      </w:r>
      <w:r>
        <w:t xml:space="preserve"> (sélectif JAK1) sont disponibles en Algérie. Ils sont indiqués dans la maladie de Crohn (upadacitinib, AMM 2023), la rectocolite hémorragique (tofacitinib et upadacitinib), la polyarthrite rhumatoïdale, le rhumatisme psoriasique, la spondyloarthrite ankylosante, le psoriasis cutané et l'arthrite juvénile idiopathique. Leur efficacité dans les MICI est </w:t>
      </w:r>
      <w:r>
        <w:rPr>
          <w:b/>
        </w:rPr>
        <w:t>rapide</w:t>
      </w:r>
      <w:r>
        <w:t xml:space="preserve"> (effet dès S2-S4, supérieur à l'ustekinumab et au vedolizumab en induction) mais leur profil de tolérance est plus complexe : augmentation des infections (herpès zoster en particulier), cytopénies (neutropénie, anémie, lymphopénie), dyslipidémie (LDL, HDL, triglycérides), augmentation du risque thromboembolique veineux (ETEV — TEP, TVP) et artériel (infarctus du myocarde, AVC), et signal de cancers (lymphome, cancers cutanés, cancers solides). Ces risques ont conduit à des restrictions d'AMM chez les patients &gt;65 ans, fumeurs, et avec facteurs cardiovasculaires ou néoplasiques.</w:t>
      </w:r>
    </w:p>
    <w:p>
      <w:pPr>
        <w:pStyle w:val="Heading3"/>
      </w:pPr>
      <w:r>
        <w:t>7. DCI : Tofacitinib / Upadacitinib (Seule)</w:t>
      </w:r>
    </w:p>
    <w:p>
      <w:r/>
      <w:r>
        <w:rPr>
          <w:b/>
        </w:rPr>
        <w:t>Liste des Catégories :</w:t>
      </w:r>
      <w:r>
        <w:t xml:space="preserve"> LISTE I — Biothérapie inhibiteur des Janus kinases (JAK), prescription hospitalière spécialisée, petites molécules orales.</w:t>
      </w:r>
    </w:p>
    <w:p>
      <w:r>
        <w:t xml:space="preserve">Les </w:t>
      </w:r>
      <w:r>
        <w:rPr>
          <w:b/>
        </w:rPr>
        <w:t>inhibiteurs des JAK</w:t>
      </w:r>
      <w:r>
        <w:t xml:space="preserve"> sont des </w:t>
      </w:r>
      <w:r>
        <w:rPr>
          <w:b/>
        </w:rPr>
        <w:t>petites molécules synthétiques</w:t>
      </w:r>
      <w:r>
        <w:t xml:space="preserve"> administrées par </w:t>
      </w:r>
      <w:r>
        <w:rPr>
          <w:b/>
        </w:rPr>
        <w:t>voie orale</w:t>
      </w:r>
      <w:r>
        <w:t xml:space="preserve"> — ce qui les distingue fondamentalement des autres biothérapies (anticorps monoclonaux injectables). Deux molécules sont disponibles en Algérie : le </w:t>
      </w:r>
      <w:r>
        <w:rPr>
          <w:b/>
        </w:rPr>
        <w:t>tofacitinib</w:t>
      </w:r>
      <w:r>
        <w:t xml:space="preserve"> (pan-JAK, préférence JAK1/JAK3, TRIJAN 5 et 10 mg Hikma) et l'</w:t>
      </w:r>
      <w:r>
        <w:rPr>
          <w:b/>
        </w:rPr>
        <w:t>upadacitinib</w:t>
      </w:r>
      <w:r>
        <w:t xml:space="preserve"> (sélectif JAK1, RINVOQ 15 et 30 mg AbbVie). Leur pharmacocinétique est caractérisée par une </w:t>
      </w:r>
      <w:r>
        <w:rPr>
          <w:b/>
        </w:rPr>
        <w:t>biodisponibilité orale élevée</w:t>
      </w:r>
      <w:r>
        <w:t xml:space="preserve"> (~74% tofacitinib, ~76% upadacitinib), une </w:t>
      </w:r>
      <w:r>
        <w:rPr>
          <w:b/>
        </w:rPr>
        <w:t>rapidité d'action</w:t>
      </w:r>
      <w:r>
        <w:t xml:space="preserve"> (effet clinique dès S2-S4), une </w:t>
      </w:r>
      <w:r>
        <w:rPr>
          <w:b/>
        </w:rPr>
        <w:t>demi-vie courte</w:t>
      </w:r>
      <w:r>
        <w:t xml:space="preserve"> (~3 h tofacitinib, ~9-14 h upadacitinib LP) imposant une administration quotidienne (1 à 2 prises/jour), un métabolisme hépatique principal (CYP3A4 et CYP2C19 pour le tofacitinib ; CYP3A4 pour l'upadacitinib) avec un risque d'interactions médicamenteuses significatif (azolés, macrolides, rifampicine). L'upadacitinib se distingue du tofacitinib par sa </w:t>
      </w:r>
      <w:r>
        <w:rPr>
          <w:b/>
        </w:rPr>
        <w:t>sélectivité JAK1</w:t>
      </w:r>
      <w:r>
        <w:t xml:space="preserve"> (vs pan-JAK) qui réduit théoriquement l'atteinte hématopoïétique (JAK2) et le risque cytopénique, et par sa forme à </w:t>
      </w:r>
      <w:r>
        <w:rPr>
          <w:b/>
        </w:rPr>
        <w:t>libération prolongée</w:t>
      </w:r>
      <w:r>
        <w:t xml:space="preserve"> (comprimé LP) autorisant une prise unique quotidienne. La sélection entre les deux se fait selon l'indication (tofacitinib = RCH, PR ; upadacitinib = Crohn, RCH, PR, SpA, psoriasis), le profil de tolérance souhaité, et les comorbidités.</w:t>
      </w:r>
    </w:p>
    <w:p>
      <w:r/>
      <w:r>
        <w:rPr>
          <w:b/>
        </w:rPr>
        <w:t>Médicaments disponibles en Algérie (Marques, Laboratoires, Formes et Dosages) :</w:t>
      </w:r>
      <w:r/>
    </w:p>
    <w:p>
      <w:pPr>
        <w:pStyle w:val="ListBullet"/>
      </w:pPr>
      <w:r/>
      <w:r>
        <w:rPr>
          <w:b/>
        </w:rPr>
        <w:t>TRIJAN</w:t>
      </w:r>
      <w:r>
        <w:t xml:space="preserve"> (HIKMA PHARMA ALGERIA) — Tofacitinib</w:t>
      </w:r>
    </w:p>
    <w:p>
      <w:pPr>
        <w:pStyle w:val="ListBullet"/>
      </w:pPr>
      <w:r>
        <w:t>Formes et Dosages : Comprimé pelliculé, 5 mg, boîte de 60 comprimés</w:t>
      </w:r>
    </w:p>
    <w:p>
      <w:pPr>
        <w:pStyle w:val="ListBullet"/>
      </w:pPr>
      <w:r>
        <w:t>Statut : Actif (générique de XELJANZ, non commercialisé en Algérie)</w:t>
      </w:r>
    </w:p>
    <w:p>
      <w:pPr>
        <w:pStyle w:val="ListBullet"/>
      </w:pPr>
      <w:r/>
      <w:r>
        <w:rPr>
          <w:b/>
        </w:rPr>
        <w:t>TRIJAN</w:t>
      </w:r>
      <w:r>
        <w:t xml:space="preserve"> (HIKMA PHARMA ALGERIA) — Tofacitinib</w:t>
      </w:r>
    </w:p>
    <w:p>
      <w:pPr>
        <w:pStyle w:val="ListBullet"/>
      </w:pPr>
      <w:r>
        <w:t>Formes et Dosages : Comprimé pelliculé, 10 mg, boîte de 60 comprimés</w:t>
      </w:r>
    </w:p>
    <w:p>
      <w:pPr>
        <w:pStyle w:val="ListBullet"/>
      </w:pPr>
      <w:r>
        <w:t>Statut : Actif (générique, dosage supérieur)</w:t>
      </w:r>
    </w:p>
    <w:p>
      <w:pPr>
        <w:pStyle w:val="ListBullet"/>
      </w:pPr>
      <w:r/>
      <w:r>
        <w:rPr>
          <w:b/>
        </w:rPr>
        <w:t>RINVOQ</w:t>
      </w:r>
      <w:r>
        <w:t xml:space="preserve"> (ABB VIE DEUTSCHLAND GMBH &amp; CO. KG) — Upadacitinib</w:t>
      </w:r>
    </w:p>
    <w:p>
      <w:pPr>
        <w:pStyle w:val="ListBullet"/>
      </w:pPr>
      <w:r>
        <w:t>Formes et Dosages : Comprimé à libération prolongée, 15 mg, flacon de 30 comprimés</w:t>
      </w:r>
    </w:p>
    <w:p>
      <w:pPr>
        <w:pStyle w:val="ListBullet"/>
      </w:pPr>
      <w:r>
        <w:t>Statut : Actif (princeps)</w:t>
      </w:r>
    </w:p>
    <w:p>
      <w:pPr>
        <w:pStyle w:val="ListBullet"/>
      </w:pPr>
      <w:r/>
      <w:r>
        <w:rPr>
          <w:b/>
        </w:rPr>
        <w:t>RINVOQ</w:t>
      </w:r>
      <w:r>
        <w:t xml:space="preserve"> (ABB VIE DEUTSCHLAND GMBH &amp; CO. KG) — Upadacitinib</w:t>
      </w:r>
    </w:p>
    <w:p>
      <w:pPr>
        <w:pStyle w:val="ListBullet"/>
      </w:pPr>
      <w:r>
        <w:t>Formes et Dosages : Comprimés à libération prolongée, 30 mg, flacon de 30 comprimés</w:t>
      </w:r>
    </w:p>
    <w:p>
      <w:pPr>
        <w:pStyle w:val="ListBullet"/>
      </w:pPr>
      <w:r>
        <w:t>Statut : Actif (princeps, dosage supérieur)</w:t>
      </w:r>
    </w:p>
    <w:p>
      <w:r/>
      <w:r>
        <w:rPr>
          <w:b/>
        </w:rPr>
        <w:t>Sous-classe et Mécanisme d'action :</w:t>
      </w:r>
      <w:r/>
    </w:p>
    <w:p>
      <w:pPr>
        <w:pStyle w:val="ListBullet"/>
      </w:pPr>
      <w:r>
        <w:t>Sous-classe : Inhibiteurs des Janus kinases (JAK), petites molécules orales, 1re génération tofacitinib (pan-JAK 1/3), 2e génération upadacitinib (JAK1 sélectif).</w:t>
      </w:r>
    </w:p>
    <w:p>
      <w:pPr>
        <w:pStyle w:val="ListBullet"/>
      </w:pPr>
      <w:r>
        <w:t xml:space="preserve">Mécanisme d'action : Les inhibiteurs JAK pénètrent dans la cellule et </w:t>
      </w:r>
      <w:r>
        <w:rPr>
          <w:b/>
        </w:rPr>
        <w:t>bloquent l'activité catalytique</w:t>
      </w:r>
      <w:r>
        <w:t xml:space="preserve"> des JAK (JAK1, JAK3 pour le tofacitinib ; JAK1 préférentiellement pour l'upadacitinib) en se liant au site ATP. Ce blocage empêche la </w:t>
      </w:r>
      <w:r>
        <w:rPr>
          <w:b/>
        </w:rPr>
        <w:t>phosphorylation des récepteurs et des STAT</w:t>
      </w:r>
      <w:r>
        <w:t xml:space="preserve"> (STAT1, STAT3, STAT4, STAT5, STAT6), interrompant ainsi la signalisation intracellulaire de </w:t>
      </w:r>
      <w:r>
        <w:rPr>
          <w:b/>
        </w:rPr>
        <w:t>nombreuses cytokines inflammatoires</w:t>
      </w:r>
      <w:r>
        <w:t xml:space="preserve"> (IL-2, IL-4, IL-6, IL-7, IL-9, IL-12, IL-15, IL-21, IL-23, IFN-γ, GM-CSF) et hématopoïétiques (EPO, TPO, G-CSF via JAK2 — d'où le risque cytopénique surtout avec le tofacitinib pan-JAK). L'effet anti-inflammatoire est large et puissant, comparable voire supérieur aux anti-TNFα en induction (upadacitinib dans Crohn : rémission clinique S12 ~40% vs placebo ~20%). Le caractère </w:t>
      </w:r>
      <w:r>
        <w:rPr>
          <w:b/>
        </w:rPr>
        <w:t>oral</w:t>
      </w:r>
      <w:r>
        <w:t xml:space="preserve"> est un avantage pratique majeur ; l'</w:t>
      </w:r>
      <w:r>
        <w:rPr>
          <w:b/>
        </w:rPr>
        <w:t>absence de fragment Fc</w:t>
      </w:r>
      <w:r>
        <w:t xml:space="preserve"> supprime tout passage transplacentaire actif (mais passage passif IgG nul car ce ne sont pas des IgG) — en réalité, ces molécules traversent le placenta par diffusion passive et sont </w:t>
      </w:r>
      <w:r>
        <w:rPr>
          <w:b/>
        </w:rPr>
        <w:t>à éviter pendant la grossesse</w:t>
      </w:r>
      <w:r>
        <w:t xml:space="preserve"> (téragénicité animale, mécanisme d'action sur la signalisation cellulaire).</w:t>
      </w:r>
    </w:p>
    <w:p>
      <w:r/>
      <w:r>
        <w:rPr>
          <w:b/>
        </w:rPr>
        <w:t>Profil Pharmacologique :</w:t>
      </w:r>
      <w:r/>
    </w:p>
    <w:p>
      <w:pPr>
        <w:pStyle w:val="ListBullet"/>
      </w:pPr>
      <w:r>
        <w:t>Indications :</w:t>
      </w:r>
    </w:p>
    <w:p>
      <w:pPr>
        <w:pStyle w:val="ListBullet"/>
      </w:pPr>
      <w:r/>
      <w:r>
        <w:rPr>
          <w:b/>
        </w:rPr>
        <w:t>Tofacitinib</w:t>
      </w:r>
      <w:r>
        <w:t xml:space="preserve"> : Rectocolite hémorragique modérée à sévère de l'adulte en cas de réponse inadéquate, perte de réponse ou intolérance à un anti-TNFα ou aux immunosuppresseurs conventionnels ; polyarthrite rhumatoïde active modérée à sévère (en cas de réponse inadéquate au MTX) ; rhumatisme psoriasique ; spondyloarthrite ankylosante ; arthrite juvénile idiopathique polyarticulaire (enfant &gt;2 ans). Pas d'AMM dans la maladie de Crohn (essais cliniques négatifs).</w:t>
      </w:r>
    </w:p>
    <w:p>
      <w:pPr>
        <w:pStyle w:val="ListBullet"/>
      </w:pPr>
      <w:r/>
      <w:r>
        <w:rPr>
          <w:b/>
        </w:rPr>
        <w:t>Upadacitinib</w:t>
      </w:r>
      <w:r>
        <w:t xml:space="preserve"> : Maladie de Crohn active modérée à sévère de l'adulte (AMM 2023) en cas de réponse inadéquate, perte de réponse ou intolérance à un anti-TNFα ; rectocolite hémorragique modérée à sévère (AMM) ; polyarthrite rhumatoïde active modérée à sévère (en cas d'échec MTX) ; rhumatisme psoriasique ; spondyloarthrite ankylosante radiographique et non radiographique ; psoriasis cutané en plaques modéré à sévéré ; arthrite juvénile idiopathique (enfant &gt;2 ans).</w:t>
      </w:r>
    </w:p>
    <w:p>
      <w:pPr>
        <w:pStyle w:val="ListBullet"/>
      </w:pPr>
      <w:r>
        <w:t>Contre-indications : Infection active sévère (sepsis, infection opportuniste) ; tuberculose active ; hépatite B chronique non couverte ; insuffisance hépatique sévère ; insuffisance rénale sévère (Clcr &lt;30 mL/min pour upadacitinib, contre-indication relative pour tofacitinib) ; grossesse et allaitement (CI absolue — tératogénicité animale) ; association à d'autres immunosuppresseurs ou biothérapies ; association aux vaccins vivants ; hypersensibilité.</w:t>
      </w:r>
    </w:p>
    <w:p>
      <w:pPr>
        <w:pStyle w:val="ListBullet"/>
      </w:pPr>
      <w:r>
        <w:t>Effets Indésirables :</w:t>
      </w:r>
    </w:p>
    <w:p>
      <w:pPr>
        <w:pStyle w:val="ListBullet"/>
      </w:pPr>
      <w:r/>
      <w:r>
        <w:rPr>
          <w:b/>
        </w:rPr>
        <w:t>Infections</w:t>
      </w:r>
      <w:r>
        <w:t xml:space="preserve"> : majoration marquée vs placebo — nasopharyngées, bronchites, urinaires, herpès zoster (zona — fréquence 2-4%, parfois sévère, recommandation vaccinale préventive Shingrix), herpès simplex, candidose, pneumonie. TB réactivée possible. Infections opportunistes (rare).</w:t>
      </w:r>
    </w:p>
    <w:p>
      <w:pPr>
        <w:pStyle w:val="ListBullet"/>
      </w:pPr>
      <w:r/>
      <w:r>
        <w:rPr>
          <w:b/>
        </w:rPr>
        <w:t>Hématologiques</w:t>
      </w:r>
      <w:r>
        <w:t xml:space="preserve"> : neutropénie (surtout tofacitinib, JAK2), anémie, lymphopénie, thrombopénie. Surveillance NFS impérative.</w:t>
      </w:r>
    </w:p>
    <w:p>
      <w:pPr>
        <w:pStyle w:val="ListBullet"/>
      </w:pPr>
      <w:r/>
      <w:r>
        <w:rPr>
          <w:b/>
        </w:rPr>
        <w:t>Lipidiques</w:t>
      </w:r>
      <w:r>
        <w:t xml:space="preserve"> : augmentation LDL (~15%), HDL (~10%), triglycérides (~10%) — surtout tofacitinib. Surveillance lipidique.</w:t>
      </w:r>
    </w:p>
    <w:p>
      <w:pPr>
        <w:pStyle w:val="ListBullet"/>
      </w:pPr>
      <w:r/>
      <w:r>
        <w:rPr>
          <w:b/>
        </w:rPr>
        <w:t>Hépatiques</w:t>
      </w:r>
      <w:r>
        <w:t xml:space="preserve"> : cytolyse, cholestase (rare).</w:t>
      </w:r>
    </w:p>
    <w:p>
      <w:pPr>
        <w:pStyle w:val="ListBullet"/>
      </w:pPr>
      <w:r/>
      <w:r>
        <w:rPr>
          <w:b/>
        </w:rPr>
        <w:t>Thromboemboliques</w:t>
      </w:r>
      <w:r>
        <w:t xml:space="preserve"> : augmentation du risque ETEV (TEP, TVP) et artériel (IDM, AVC) — surtout chez les patients &gt;65 ans, fumeurs, avec facteurs CV. Précaution d'emploi renforcée (alerte FDA/EMA 2021-2022).</w:t>
      </w:r>
    </w:p>
    <w:p>
      <w:pPr>
        <w:pStyle w:val="ListBullet"/>
      </w:pPr>
      <w:r/>
      <w:r>
        <w:rPr>
          <w:b/>
        </w:rPr>
        <w:t>Néoplasies</w:t>
      </w:r>
      <w:r>
        <w:t xml:space="preserve"> : signal de lymphome et cancers cutanés, surtout en traitement prolongé.</w:t>
      </w:r>
    </w:p>
    <w:p>
      <w:pPr>
        <w:pStyle w:val="ListBullet"/>
      </w:pPr>
      <w:r/>
      <w:r>
        <w:rPr>
          <w:b/>
        </w:rPr>
        <w:t>Gastro-intestinaux</w:t>
      </w:r>
      <w:r>
        <w:t xml:space="preserve"> : nausées, diarrhée, douleurs abdominales.</w:t>
      </w:r>
    </w:p>
    <w:p>
      <w:pPr>
        <w:pStyle w:val="ListBullet"/>
      </w:pPr>
      <w:r/>
      <w:r>
        <w:rPr>
          <w:b/>
        </w:rPr>
        <w:t>Cutanés</w:t>
      </w:r>
      <w:r>
        <w:t xml:space="preserve"> : acné, éruptions, psoriasis paradoxal (rare).</w:t>
      </w:r>
    </w:p>
    <w:p>
      <w:pPr>
        <w:pStyle w:val="ListBullet"/>
      </w:pPr>
      <w:r/>
      <w:r>
        <w:rPr>
          <w:b/>
        </w:rPr>
        <w:t>Autres</w:t>
      </w:r>
      <w:r>
        <w:t xml:space="preserve"> : céphalées, fatigue, insomnie, arthralgies.</w:t>
      </w:r>
    </w:p>
    <w:p>
      <w:pPr>
        <w:pStyle w:val="ListBullet"/>
      </w:pPr>
      <w:r/>
      <w:r>
        <w:rPr>
          <w:b/>
        </w:rPr>
        <w:t>Rupture</w:t>
      </w:r>
      <w:r>
        <w:t xml:space="preserve"> : risque de rupture tendineuse (rare).</w:t>
      </w:r>
    </w:p>
    <w:p>
      <w:r/>
      <w:r>
        <w:rPr>
          <w:b/>
        </w:rPr>
        <w:t>Prévention et Gestion des Effets Indésirables :</w:t>
      </w:r>
      <w:r/>
    </w:p>
    <w:p>
      <w:pPr>
        <w:pStyle w:val="ListBullet"/>
      </w:pPr>
      <w:r>
        <w:t>Mesures Préventives :</w:t>
      </w:r>
    </w:p>
    <w:p>
      <w:pPr>
        <w:pStyle w:val="ListBullet"/>
      </w:pPr>
      <w:r/>
      <w:r>
        <w:rPr>
          <w:b/>
        </w:rPr>
        <w:t>Bilan pré-thérapeutique complet</w:t>
      </w:r>
      <w:r>
        <w:t xml:space="preserve"> : tuberculose (IDR/IGRA + Rx thorax), sérologies VIH/VHB/VHC, NFS-plaquettes, transaminases, créatinine, bilan lipidique (LDL, HDL, TG), bilan de coagulation, évaluation du risque CV (Score ASCVD), évaluation du risque thromboembolique.</w:t>
      </w:r>
    </w:p>
    <w:p>
      <w:pPr>
        <w:pStyle w:val="ListBullet"/>
      </w:pPr>
      <w:r/>
      <w:r>
        <w:rPr>
          <w:b/>
        </w:rPr>
        <w:t>Vaccination</w:t>
      </w:r>
      <w:r>
        <w:t xml:space="preserve"> : mise à jour vaccins inactivés 2 semaines avant initiation (grippe annuelle, pneumocoque, hépatite B, HPV, tétanos). </w:t>
      </w:r>
      <w:r>
        <w:rPr>
          <w:b/>
        </w:rPr>
        <w:t>Vaccin Shingrix (zona, inactivé) recommandé avant initiation chez les patients &gt;50 ans ou immunodéprimés</w:t>
      </w:r>
      <w:r>
        <w:t>. Vaccins vivants CI.</w:t>
      </w:r>
    </w:p>
    <w:p>
      <w:pPr>
        <w:pStyle w:val="ListBullet"/>
      </w:pPr>
      <w:r/>
      <w:r>
        <w:rPr>
          <w:b/>
        </w:rPr>
        <w:t>Pas d'immunosuppresseur associé</w:t>
      </w:r>
      <w:r>
        <w:t xml:space="preserve"> systématiquement (le tofacitinib et l'upadacitinib sont déjà immunosuppresseurs puissants — association augmente le risque infectieux et cytopénique).</w:t>
      </w:r>
    </w:p>
    <w:p>
      <w:pPr>
        <w:pStyle w:val="ListBullet"/>
      </w:pPr>
      <w:r/>
      <w:r>
        <w:rPr>
          <w:b/>
        </w:rPr>
        <w:t>Surveillance stricte</w:t>
      </w:r>
      <w:r>
        <w:t xml:space="preserve"> : NFS mensuelle 3 mois puis trimestrielle ; transaminases et lipides à S4-S8 puis trimestriels ; créatinine trimestrielle. Arrêt si neutrophiles &lt;1,0 G/L, lymphocytes &lt;0,5 G/L, hémoglobine &lt;8 g/dL, ALAT &gt;3× LSN.</w:t>
      </w:r>
    </w:p>
    <w:p>
      <w:pPr>
        <w:pStyle w:val="ListBullet"/>
      </w:pPr>
      <w:r/>
      <w:r>
        <w:rPr>
          <w:b/>
        </w:rPr>
        <w:t>Évaluation CV et thromboembolique</w:t>
      </w:r>
      <w:r>
        <w:t xml:space="preserve"> : contre-indication relative chez les patients &gt;65 ans fumeurs avec facteurs CV.</w:t>
      </w:r>
    </w:p>
    <w:p>
      <w:pPr>
        <w:pStyle w:val="ListBullet"/>
      </w:pPr>
      <w:r>
        <w:t>Conduite à Tenir :</w:t>
      </w:r>
    </w:p>
    <w:p>
      <w:pPr>
        <w:pStyle w:val="ListBullet"/>
      </w:pPr>
      <w:r/>
      <w:r>
        <w:rPr>
          <w:b/>
        </w:rPr>
        <w:t>Infection sévère</w:t>
      </w:r>
      <w:r>
        <w:t xml:space="preserve"> : arrêt immédiat, traitement étiologique, reprise après guérison complète.</w:t>
      </w:r>
    </w:p>
    <w:p>
      <w:pPr>
        <w:pStyle w:val="ListBullet"/>
      </w:pPr>
      <w:r/>
      <w:r>
        <w:rPr>
          <w:b/>
        </w:rPr>
        <w:t>Neutropénie</w:t>
      </w:r>
      <w:r>
        <w:t xml:space="preserve"> : arrêt si &lt;1,0 G/L, surveillance, reprise après normalisation.</w:t>
      </w:r>
    </w:p>
    <w:p>
      <w:pPr>
        <w:pStyle w:val="ListBullet"/>
      </w:pPr>
      <w:r/>
      <w:r>
        <w:rPr>
          <w:b/>
        </w:rPr>
        <w:t>Herpès zoster</w:t>
      </w:r>
      <w:r>
        <w:t xml:space="preserve"> : traitement antiviral précoce (valaciclovir 1 g × 3/j 7 jours), arrêt temporaire si forme sévère ou disséminée.</w:t>
      </w:r>
    </w:p>
    <w:p>
      <w:pPr>
        <w:pStyle w:val="ListBullet"/>
      </w:pPr>
      <w:r/>
      <w:r>
        <w:rPr>
          <w:b/>
        </w:rPr>
        <w:t>Événement thromboembolique</w:t>
      </w:r>
      <w:r>
        <w:t xml:space="preserve"> : arrêt définitif, anticoagulation, contre-indication à la reprise.</w:t>
      </w:r>
    </w:p>
    <w:p>
      <w:pPr>
        <w:pStyle w:val="ListBullet"/>
      </w:pPr>
      <w:r/>
      <w:r>
        <w:rPr>
          <w:b/>
        </w:rPr>
        <w:t>Perte d'efficacité</w:t>
      </w:r>
      <w:r>
        <w:t xml:space="preserve"> : pas de STP établi (concentrations non corrélées à l'efficacité). Adaptation selon la réponse clinique et biologique.</w:t>
      </w:r>
    </w:p>
    <w:p>
      <w:pPr>
        <w:pStyle w:val="ListBullet"/>
      </w:pPr>
      <w:r/>
      <w:r>
        <w:rPr>
          <w:b/>
        </w:rPr>
        <w:t>Tuberculose latente</w:t>
      </w:r>
      <w:r>
        <w:t xml:space="preserve"> : chimioprophylaxie INH 9 mois.</w:t>
      </w:r>
    </w:p>
    <w:p>
      <w:pPr>
        <w:pStyle w:val="ListBullet"/>
      </w:pPr>
      <w:r/>
      <w:r>
        <w:rPr>
          <w:b/>
        </w:rPr>
        <w:t>VHB+ (AgHBs+)</w:t>
      </w:r>
      <w:r>
        <w:t xml:space="preserve"> : prophylaxie antivirale entécavir/ténofovir pendant et 12 mois après.</w:t>
      </w:r>
    </w:p>
    <w:p>
      <w:r/>
      <w:r>
        <w:rPr>
          <w:b/>
        </w:rPr>
        <w:t>Interactions Importantes :</w:t>
      </w:r>
      <w:r/>
    </w:p>
    <w:p>
      <w:pPr>
        <w:pStyle w:val="ListBullet"/>
      </w:pPr>
      <w:r/>
      <w:r>
        <w:rPr>
          <w:b/>
        </w:rPr>
        <w:t>Tofacitinib/Upadacitinib + vaccins vivants</w:t>
      </w:r>
      <w:r>
        <w:t xml:space="preserve"> : CI absolue (risque infectieux vaccinal).</w:t>
      </w:r>
    </w:p>
    <w:p>
      <w:pPr>
        <w:pStyle w:val="ListBullet"/>
      </w:pPr>
      <w:r/>
      <w:r>
        <w:rPr>
          <w:b/>
        </w:rPr>
        <w:t>Tofacitinib + azolés (kétoconazole, itraconazole, voriconazole, posaconazole)</w:t>
      </w:r>
      <w:r>
        <w:t xml:space="preserve"> : augmentation majeure des taux (inhibition CYP3A4 et P-gp) — </w:t>
      </w:r>
      <w:r>
        <w:rPr>
          <w:b/>
        </w:rPr>
        <w:t>adaptation posologique obligatoire</w:t>
      </w:r>
      <w:r>
        <w:t xml:space="preserve"> : réduire la dose de tofacitinib à 5 mg × 1/j (au lieu de 5 mg × 2/j).</w:t>
      </w:r>
    </w:p>
    <w:p>
      <w:pPr>
        <w:pStyle w:val="ListBullet"/>
      </w:pPr>
      <w:r/>
      <w:r>
        <w:rPr>
          <w:b/>
        </w:rPr>
        <w:t>Tofacitinib + macrolides (clarithromycine, érythromycine)</w:t>
      </w:r>
      <w:r>
        <w:t xml:space="preserve"> : augmentation des taux (inhibition CYP3A4) — réduire à 5 mg × 1/j.</w:t>
      </w:r>
    </w:p>
    <w:p>
      <w:pPr>
        <w:pStyle w:val="ListBullet"/>
      </w:pPr>
      <w:r/>
      <w:r>
        <w:rPr>
          <w:b/>
        </w:rPr>
        <w:t>Tofacitinib + rifampicine (inducteur puissant)</w:t>
      </w:r>
      <w:r>
        <w:t xml:space="preserve"> : diminution majeure des taux (induction CYP3A4) — efficacité compromise, à éviter.</w:t>
      </w:r>
    </w:p>
    <w:p>
      <w:pPr>
        <w:pStyle w:val="ListBullet"/>
      </w:pPr>
      <w:r/>
      <w:r>
        <w:rPr>
          <w:b/>
        </w:rPr>
        <w:t>Tofacitinib + ciclosporine/tacrolimus</w:t>
      </w:r>
      <w:r>
        <w:t xml:space="preserve"> : augmentation du risque infectieux et cytopénique (addition des immunosuppresseurs).</w:t>
      </w:r>
    </w:p>
    <w:p>
      <w:pPr>
        <w:pStyle w:val="ListBullet"/>
      </w:pPr>
      <w:r/>
      <w:r>
        <w:rPr>
          <w:b/>
        </w:rPr>
        <w:t>Upadacitinib + azolés/macrolides</w:t>
      </w:r>
      <w:r>
        <w:t xml:space="preserve"> : surveillance accrue, adaptation posologique selon RCP.</w:t>
      </w:r>
    </w:p>
    <w:p>
      <w:pPr>
        <w:pStyle w:val="ListBullet"/>
      </w:pPr>
      <w:r/>
      <w:r>
        <w:rPr>
          <w:b/>
        </w:rPr>
        <w:t>Upadacitinib + rifampicine</w:t>
      </w:r>
      <w:r>
        <w:t xml:space="preserve"> : contre-indication relative (efficacité compromise).</w:t>
      </w:r>
    </w:p>
    <w:p>
      <w:pPr>
        <w:pStyle w:val="ListBullet"/>
      </w:pPr>
      <w:r/>
      <w:r>
        <w:rPr>
          <w:b/>
        </w:rPr>
        <w:t>Tofacitinib/Upadacitinib + statines</w:t>
      </w:r>
      <w:r>
        <w:t xml:space="preserve"> : surveillance (potentialisation musculaire).</w:t>
      </w:r>
    </w:p>
    <w:p>
      <w:pPr>
        <w:pStyle w:val="ListBullet"/>
      </w:pPr>
      <w:r/>
      <w:r>
        <w:rPr>
          <w:b/>
        </w:rPr>
        <w:t>Tofacitinib/Upadacitinib + anticoagulants oraux</w:t>
      </w:r>
      <w:r>
        <w:t xml:space="preserve"> : surveillance du risque hémorragique (potentialisation).</w:t>
      </w:r>
    </w:p>
    <w:p>
      <w:r/>
      <w:r>
        <w:rPr>
          <w:b/>
        </w:rPr>
        <w:t>Grossesse et Allaitement :</w:t>
      </w:r>
      <w:r/>
    </w:p>
    <w:p>
      <w:pPr>
        <w:pStyle w:val="ListBullet"/>
      </w:pPr>
      <w:r>
        <w:t xml:space="preserve">Grossesse : </w:t>
      </w:r>
      <w:r>
        <w:rPr>
          <w:b/>
        </w:rPr>
        <w:t>CI absolue</w:t>
      </w:r>
      <w:r>
        <w:t xml:space="preserve"> (tofacitinib et upadacitinib). Tératogénicité démontrée chez l'animal (malformations squelettiques, cardiovasculaires). Mécanisme d'action sur la signalisation cellulaire incompatible avec le développement embryofœtal. </w:t>
      </w:r>
      <w:r>
        <w:rPr>
          <w:b/>
        </w:rPr>
        <w:t>Contraception obligatoire pendant le traitement et pendant 4 semaines après l'arrêt</w:t>
      </w:r>
      <w:r>
        <w:t xml:space="preserve"> (test de grossesse pré-thérapeutique systématique). En cas de désir de grossesse, arrêter 4 semaines avant la conception (homme et femme — toxicité gonadique masculine également).</w:t>
      </w:r>
    </w:p>
    <w:p>
      <w:pPr>
        <w:pStyle w:val="ListBullet"/>
      </w:pPr>
      <w:r>
        <w:t xml:space="preserve">Allaitement : </w:t>
      </w:r>
      <w:r>
        <w:rPr>
          <w:b/>
        </w:rPr>
        <w:t>CI absolue</w:t>
      </w:r>
      <w:r>
        <w:t xml:space="preserve"> (passage dans le lait maternel, immunosuppression du nourrisson).</w:t>
      </w:r>
    </w:p>
    <w:p>
      <w:pPr>
        <w:pStyle w:val="ListBullet"/>
      </w:pPr>
      <w:r>
        <w:t xml:space="preserve">Précisions : les inhibiteurs JAK sont </w:t>
      </w:r>
      <w:r>
        <w:rPr>
          <w:b/>
        </w:rPr>
        <w:t>à proscrire chez la femme enceinte ou projetant une grossesse</w:t>
      </w:r>
      <w:r>
        <w:t xml:space="preserve"> — alternative : anti-TNFα compatible (adalimumab, infliximab) ou anti-IL-12/23 (ustekinumab), ou anti-intégrine (vedolizumab).</w:t>
      </w:r>
    </w:p>
    <w:p>
      <w:r/>
      <w:r>
        <w:rPr>
          <w:b/>
        </w:rPr>
        <w:t>Posologie et Mode d'administration (Standard) :</w:t>
      </w:r>
      <w:r/>
    </w:p>
    <w:p>
      <w:pPr>
        <w:pStyle w:val="ListBullet"/>
      </w:pPr>
      <w:r>
        <w:t>Adulte :</w:t>
      </w:r>
    </w:p>
    <w:p>
      <w:pPr>
        <w:pStyle w:val="ListBullet"/>
      </w:pPr>
      <w:r/>
      <w:r>
        <w:rPr>
          <w:b/>
        </w:rPr>
        <w:t>Tofacitinib (RCH)</w:t>
      </w:r>
      <w:r>
        <w:t xml:space="preserve"> : induction </w:t>
      </w:r>
      <w:r>
        <w:rPr>
          <w:b/>
        </w:rPr>
        <w:t>10 mg × 2/jour per os pendant 8 semaines</w:t>
      </w:r>
      <w:r>
        <w:t xml:space="preserve"> (au moins), puis </w:t>
      </w:r>
      <w:r>
        <w:rPr>
          <w:b/>
        </w:rPr>
        <w:t>5 mg × 2/jour</w:t>
      </w:r>
      <w:r>
        <w:t xml:space="preserve"> en entretien. En cas de perte de réponse à 5 mg × 2/j, retour à 10 mg × 2/j pendant 8 semaines. Forme immédiate (comprimé pelliculé).</w:t>
      </w:r>
    </w:p>
    <w:p>
      <w:pPr>
        <w:pStyle w:val="ListBullet"/>
      </w:pPr>
      <w:r/>
      <w:r>
        <w:rPr>
          <w:b/>
        </w:rPr>
        <w:t>Upadacitinib (Crohn)</w:t>
      </w:r>
      <w:r>
        <w:t xml:space="preserve"> : induction </w:t>
      </w:r>
      <w:r>
        <w:rPr>
          <w:b/>
        </w:rPr>
        <w:t>45 mg × 1/jour pendant 12 semaines</w:t>
      </w:r>
      <w:r>
        <w:t xml:space="preserve">, puis </w:t>
      </w:r>
      <w:r>
        <w:rPr>
          <w:b/>
        </w:rPr>
        <w:t>15 mg × 1/jour</w:t>
      </w:r>
      <w:r>
        <w:t xml:space="preserve"> en entretien (ou 30 mg × 1/j selon réponse). Forme LP (comprimé à libération prolongée).</w:t>
      </w:r>
    </w:p>
    <w:p>
      <w:pPr>
        <w:pStyle w:val="ListBullet"/>
      </w:pPr>
      <w:r/>
      <w:r>
        <w:rPr>
          <w:b/>
        </w:rPr>
        <w:t>Upadacitinib (RCH)</w:t>
      </w:r>
      <w:r>
        <w:t xml:space="preserve"> : induction </w:t>
      </w:r>
      <w:r>
        <w:rPr>
          <w:b/>
        </w:rPr>
        <w:t>45 mg × 1/jour pendant 8 semaines</w:t>
      </w:r>
      <w:r>
        <w:t xml:space="preserve">, puis </w:t>
      </w:r>
      <w:r>
        <w:rPr>
          <w:b/>
        </w:rPr>
        <w:t>15 mg × 1/jour</w:t>
      </w:r>
      <w:r>
        <w:t xml:space="preserve"> en entretien (ou 30 mg × 1/j selon réponse).</w:t>
      </w:r>
    </w:p>
    <w:p>
      <w:pPr>
        <w:pStyle w:val="ListBullet"/>
      </w:pPr>
      <w:r/>
      <w:r>
        <w:rPr>
          <w:b/>
        </w:rPr>
        <w:t>Upadacitinib (PR, SpA, rhumatisme psoriasique, psoriasis)</w:t>
      </w:r>
      <w:r>
        <w:t xml:space="preserve"> : 15 mg × 1/j (parfois 30 mg × 1/j selon sévérité).</w:t>
      </w:r>
    </w:p>
    <w:p>
      <w:pPr>
        <w:pStyle w:val="ListBullet"/>
      </w:pPr>
      <w:r>
        <w:t>Mode d'administration : voie orale, à heure fixe, avec ou sans nourriture (upadacitinib LP : à prendre au même moment de la journée).</w:t>
      </w:r>
    </w:p>
    <w:p>
      <w:pPr>
        <w:pStyle w:val="ListBullet"/>
      </w:pPr>
      <w:r>
        <w:t xml:space="preserve">Sujet âgé : </w:t>
      </w:r>
      <w:r>
        <w:rPr>
          <w:b/>
        </w:rPr>
        <w:t>prudence accrue</w:t>
      </w:r>
      <w:r>
        <w:t xml:space="preserve"> (&gt;65 ans : risque thromboembolique majoré, évaluation CV indispensable). Réduction posologique possible chez les sujets fragiles.</w:t>
      </w:r>
    </w:p>
    <w:p>
      <w:pPr>
        <w:pStyle w:val="ListBullet"/>
      </w:pPr>
      <w:r>
        <w:t>Insuffisance rénale modérée à sévère : réduction dose (tofacitinib : 5 mg × 1/j si Clcr 30-50 ; contre-indiqué si Clcr &lt;30). Upadacitinib : non recommandé si Clcr &lt;30.</w:t>
      </w:r>
    </w:p>
    <w:p>
      <w:pPr>
        <w:pStyle w:val="ListBullet"/>
      </w:pPr>
      <w:r>
        <w:t>Insuffisance hépatique : contre-indication si sévère.</w:t>
      </w:r>
    </w:p>
    <w:p>
      <w:pPr>
        <w:pStyle w:val="ListBullet"/>
      </w:pPr>
      <w:r>
        <w:t>Durée : au long cours, réévaluation annuelle. Arrêt envisageable après rémission profonde prolongée.</w:t>
      </w:r>
    </w:p>
    <w:p>
      <w:pPr>
        <w:pStyle w:val="ListBullet"/>
      </w:pPr>
      <w:r>
        <w:t>Moment de prise : tofacitinib matin et soir (12h d'intervalle) ; upadacitinib LP une fois par jour, à heure fixe (matin recommandé).</w:t>
      </w:r>
    </w:p>
    <w:p>
      <w:r/>
      <w:r>
        <w:rPr>
          <w:b/>
        </w:rPr>
        <w:t>Arbitrage et Bénéfices des Formes Galéniques :</w:t>
      </w:r>
      <w:r/>
    </w:p>
    <w:p>
      <w:r>
        <w:t xml:space="preserve">Le </w:t>
      </w:r>
      <w:r>
        <w:rPr>
          <w:b/>
        </w:rPr>
        <w:t>tofacitinib</w:t>
      </w:r>
      <w:r>
        <w:t xml:space="preserve"> (comprimé pelliculé classique, 5 et 10 mg) se prend 2 fois par jour. L'</w:t>
      </w:r>
      <w:r>
        <w:rPr>
          <w:b/>
        </w:rPr>
        <w:t>upadacitinib</w:t>
      </w:r>
      <w:r>
        <w:t xml:space="preserve"> (comprimé à libération prolongée, 15 et 30 mg) se prend 1 fois par jour — un avantage pratique significatif pour l'observance. Avantages de la classe JAK : (i) voie orale (pas d'injection, pas d'hospitalisation, pas de chaîne du froid) ; (ii) rapidité d'action (effet dès S2-S4) ; (iii) efficacité supérieure aux anti-TNFα en induction (upadacitinib Crohn) ; (iv) pas de fragment Fc, pas d'immunogénicité (pas d'Ac anti-médicament) ; (v) coût direct inférieur aux biothérapies injectables. Inconvénients : (i) profil de tolérance plus complexe (infections, cytopénies, lipides, thromboembolie, cancers) ; (ii) surveillance biologique stricte ; (iii) interactions médicamenteuses (CYP3A4) ; (iv) CI absolue grossesse ; (v) restrictions AMM chez &gt;65 ans avec facteurs CV. Le choix entre tofacitinib et upadacitinib dépend de l'indication (tofacitinib = RCH, PR ; upadacitinib = Crohn, RCH, PR, SpA, psoriasis), du profil de tolérance souhaité (upadacitinib JAK1 sélectif = moins de cytopénies), de la galénique (LP = meilleure observance), et des comorbidités.</w:t>
      </w:r>
    </w:p>
    <w:p>
      <w:r/>
      <w:r>
        <w:rPr>
          <w:b/>
        </w:rPr>
        <w:t>Instructions et Conseils au Patient :</w:t>
      </w:r>
      <w:r/>
    </w:p>
    <w:p>
      <w:pPr>
        <w:pStyle w:val="ListBullet"/>
      </w:pPr>
      <w:r>
        <w:t xml:space="preserve">Communication au comptoir : "Votre traitement s'appelle [tofacitinib TRIJAN / upadacitinib RINVOQ]. C'est une petite molécule anti-inflammatoire qui agit en bloquant une enzyme intracellulaire appelée JAK, impliquée dans la signalisation de plusieurs cytokines inflammatoires. Vous le prenez par voie orale, en comprimé, tous les jours (tofacitinib : matin et soir ; upadacitinib : une fois par jour, le matin). L'effet apparaît en 2-4 semaines. Les risques principaux sont : (1) infections — bronchites, urinaires, herpès (en particulier le zona, qui peut être sévère) ; (2) baisse des globules blancs, des globules rouges (anémie) — surveillance par prise de sang mensuelle ; (3) augmentation du cholestérol (LDL) ; (4) augmentation du risque de caillot veineux (phlébite, embolie pulmonaire) et artériel (infarctus, AVC) — surtout si vous avez plus de 65 ans, si vous fumez, ou si vous avez des facteurs cardiovasculaires. </w:t>
      </w:r>
      <w:r>
        <w:rPr>
          <w:b/>
        </w:rPr>
        <w:t>Contraception obligatoire pendant le traitement et 4 semaines après l'arrêt</w:t>
      </w:r>
      <w:r>
        <w:t xml:space="preserve"> — ce traitement est formellement interdit pendant la grossesse. Signalez immédiatement toute fièvre, toux persistante, douleur au mollet, essoufflement, douleur thoracique, faiblesse musculaire, ou zone douloureuse de la peau (zona)."</w:t>
      </w:r>
    </w:p>
    <w:p>
      <w:pPr>
        <w:pStyle w:val="ListBullet"/>
      </w:pPr>
      <w:r>
        <w:t>Mode d'utilisation pratique : prendre à heure fixe, ne pas écraser ni croquer les comprimés LP (upadacitinib), ne pas doubler la dose en cas d'oubli (sauter et reprendre l'horaire normal), conserver à température ambiante (&lt;25°C), à l'abri de l'humidité, dans l'emballage d'origine.</w:t>
      </w:r>
    </w:p>
    <w:p>
      <w:r/>
      <w:r>
        <w:rPr>
          <w:b/>
        </w:rPr>
        <w:t>Notes, Règles d'Or &amp; Pièges au Comptoir :</w:t>
      </w:r>
      <w:r/>
    </w:p>
    <w:p>
      <w:pPr>
        <w:pStyle w:val="ListBullet"/>
      </w:pPr>
      <w:r>
        <w:t xml:space="preserve">Piège classique : </w:t>
      </w:r>
      <w:r>
        <w:rPr>
          <w:b/>
        </w:rPr>
        <w:t>oubli du dépistage TB et VHB avant initiation</w:t>
      </w:r>
      <w:r>
        <w:t xml:space="preserve"> — toujours vérifier le bilan pré-thérapeutique. </w:t>
      </w:r>
      <w:r>
        <w:rPr>
          <w:b/>
        </w:rPr>
        <w:t>Oubli du bilan lipidique et NFS</w:t>
      </w:r>
      <w:r>
        <w:t xml:space="preserve"> — surveillance mensuelle impérative.</w:t>
      </w:r>
    </w:p>
    <w:p>
      <w:pPr>
        <w:pStyle w:val="ListBullet"/>
      </w:pPr>
      <w:r>
        <w:t>Règle de prise : pas de chaîne du froid (forme orale), conservation à T° ambiante &lt;25°C, à l'abri de l'humidité.</w:t>
      </w:r>
    </w:p>
    <w:p>
      <w:pPr>
        <w:pStyle w:val="ListBullet"/>
      </w:pPr>
      <w:r>
        <w:t>Préparation et Conservation : forme orale stable à T° ambiante, dans l'emballage d'origine.</w:t>
      </w:r>
    </w:p>
    <w:p>
      <w:pPr>
        <w:pStyle w:val="ListBullet"/>
      </w:pPr>
      <w:r>
        <w:t>Piège du surdosage / Substitution : TRIJAN est un générique de XELJANZ (non commercialisé en Algérie) — pas de problème de substitution. RINVOQ est un princeps (pas de générique en Algérie). Le pharmacien doit s'assurer de la traçabilité (nom exact, dosage).</w:t>
      </w:r>
    </w:p>
    <w:p>
      <w:pPr>
        <w:pStyle w:val="ListBullet"/>
      </w:pPr>
      <w:r>
        <w:t>Piège vaccin : vaccins vivants CI. Vaccin Shingrix (zona inactivé) recommandé avant initiation chez &gt;50 ans.</w:t>
      </w:r>
    </w:p>
    <w:p>
      <w:pPr>
        <w:pStyle w:val="ListBullet"/>
      </w:pPr>
      <w:r>
        <w:t xml:space="preserve">Piège grossesse : </w:t>
      </w:r>
      <w:r>
        <w:rPr>
          <w:b/>
        </w:rPr>
        <w:t>CI absolue</w:t>
      </w:r>
      <w:r>
        <w:t xml:space="preserve"> — contraception obligatoire pendant et 4 semaines après l'arrêt. Test de grossesse pré-thérapeutique.</w:t>
      </w:r>
    </w:p>
    <w:p>
      <w:pPr>
        <w:pStyle w:val="ListBullet"/>
      </w:pPr>
      <w:r>
        <w:t>Piège interactions : avec azolés, macrolides, rifampicine — adapter la dose (tofacitinib : 5 mg × 1/j avec azolés/macrolides ; éviter rifampicine).</w:t>
      </w:r>
    </w:p>
    <w:p>
      <w:pPr>
        <w:pStyle w:val="ListBullet"/>
      </w:pPr>
      <w:r>
        <w:t>Piège thromboembolie : chez &gt;65 ans avec facteurs CV — évaluation stricte du rapport bénéfice/risque. Préférence pour une biothérapie injectable (anti-TNFα, ustekinumab, vedolizumab) en cas de risque élevé.</w:t>
      </w:r>
    </w:p>
    <w:p>
      <w:pPr>
        <w:pStyle w:val="ListBullet"/>
      </w:pPr>
      <w:r>
        <w:t>Piège lipidique : surveillance LDL/HDL/TG à S4-S8, prise en charge d'une dyslipidémie si nécessaire.</w:t>
      </w:r>
    </w:p>
    <w:p>
      <w:pPr>
        <w:pStyle w:val="ListBullet"/>
      </w:pPr>
      <w:r>
        <w:t>Piège cytopénie : arrêt si neutrophiles &lt;1,0 G/L, lymphocytes &lt;0,5 G/L, hémoglobine &lt;8 g/dL, ALAT &gt;3× LSN.</w:t>
      </w:r>
    </w:p>
    <w:p>
      <w:pPr>
        <w:pStyle w:val="Heading2"/>
      </w:pPr>
      <w:r>
        <w:t>Tableau Comparatif Synthétique — Biothérapies des MICI en Algérie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Cible moléculaire</w:t>
            </w:r>
          </w:p>
        </w:tc>
        <w:tc>
          <w:tcPr>
            <w:tcW w:type="dxa" w:w="1169"/>
          </w:tcPr>
          <w:p>
            <w:r>
              <w:rPr>
                <w:b/>
                <w:sz w:val="20"/>
              </w:rPr>
              <w:t>Voie/Posologie standard</w:t>
            </w:r>
          </w:p>
        </w:tc>
        <w:tc>
          <w:tcPr>
            <w:tcW w:type="dxa" w:w="1169"/>
          </w:tcPr>
          <w:p>
            <w:r>
              <w:rPr>
                <w:b/>
                <w:sz w:val="20"/>
              </w:rPr>
              <w:t>Demi-vie</w:t>
            </w:r>
          </w:p>
        </w:tc>
        <w:tc>
          <w:tcPr>
            <w:tcW w:type="dxa" w:w="1169"/>
          </w:tcPr>
          <w:p>
            <w:r>
              <w:rPr>
                <w:b/>
                <w:sz w:val="20"/>
              </w:rPr>
              <w:t>EI majeurs</w:t>
            </w:r>
          </w:p>
        </w:tc>
        <w:tc>
          <w:tcPr>
            <w:tcW w:type="dxa" w:w="1169"/>
          </w:tcPr>
          <w:p>
            <w:r>
              <w:rPr>
                <w:b/>
                <w:sz w:val="20"/>
              </w:rPr>
              <w:t>CI majeures</w:t>
            </w:r>
          </w:p>
        </w:tc>
        <w:tc>
          <w:tcPr>
            <w:tcW w:type="dxa" w:w="1169"/>
          </w:tcPr>
          <w:p>
            <w:r>
              <w:rPr>
                <w:b/>
                <w:sz w:val="20"/>
              </w:rPr>
              <w:t>Grossesse</w:t>
            </w:r>
          </w:p>
        </w:tc>
      </w:tr>
      <w:tr>
        <w:tc>
          <w:tcPr>
            <w:tcW w:type="dxa" w:w="1169"/>
          </w:tcPr>
          <w:p>
            <w:r>
              <w:rPr>
                <w:sz w:val="20"/>
              </w:rPr>
              <w:t>**Infliximab** (IXIFI, REMICADE, INFLIXIMAB-SAIDAL, REMSIMA)</w:t>
            </w:r>
          </w:p>
        </w:tc>
        <w:tc>
          <w:tcPr>
            <w:tcW w:type="dxa" w:w="1169"/>
          </w:tcPr>
          <w:p>
            <w:r>
              <w:rPr>
                <w:sz w:val="20"/>
              </w:rPr>
              <w:t>Anti-TNFα</w:t>
            </w:r>
          </w:p>
        </w:tc>
        <w:tc>
          <w:tcPr>
            <w:tcW w:type="dxa" w:w="1169"/>
          </w:tcPr>
          <w:p>
            <w:r>
              <w:rPr>
                <w:sz w:val="20"/>
              </w:rPr>
              <w:t>TNFα soluble et transmembranaire (Ac chimérique IgG1κ)</w:t>
            </w:r>
          </w:p>
        </w:tc>
        <w:tc>
          <w:tcPr>
            <w:tcW w:type="dxa" w:w="1169"/>
          </w:tcPr>
          <w:p>
            <w:r>
              <w:rPr>
                <w:sz w:val="20"/>
              </w:rPr>
              <w:t>IV 5 mg/kg S0/S2/S6 puis /8 sem</w:t>
            </w:r>
          </w:p>
        </w:tc>
        <w:tc>
          <w:tcPr>
            <w:tcW w:type="dxa" w:w="1169"/>
          </w:tcPr>
          <w:p>
            <w:r>
              <w:rPr>
                <w:sz w:val="20"/>
              </w:rPr>
              <w:t>8-10 j</w:t>
            </w:r>
          </w:p>
        </w:tc>
        <w:tc>
          <w:tcPr>
            <w:tcW w:type="dxa" w:w="1169"/>
          </w:tcPr>
          <w:p>
            <w:r>
              <w:rPr>
                <w:sz w:val="20"/>
              </w:rPr>
              <w:t>Infections (TB, VHB), réactions perfusion, immunogénicité (AcAI), lymphome</w:t>
            </w:r>
          </w:p>
        </w:tc>
        <w:tc>
          <w:tcPr>
            <w:tcW w:type="dxa" w:w="1169"/>
          </w:tcPr>
          <w:p>
            <w:r>
              <w:rPr>
                <w:sz w:val="20"/>
              </w:rPr>
              <w:t>TB active, IC NYHA III-IV, démeylinisation, cancer actif</w:t>
            </w:r>
          </w:p>
        </w:tc>
        <w:tc>
          <w:tcPr>
            <w:tcW w:type="dxa" w:w="1169"/>
          </w:tcPr>
          <w:p>
            <w:r>
              <w:rPr>
                <w:sz w:val="20"/>
              </w:rPr>
              <w:t>Compatible (suspendre après S34)</w:t>
            </w:r>
          </w:p>
        </w:tc>
      </w:tr>
      <w:tr>
        <w:tc>
          <w:tcPr>
            <w:tcW w:type="dxa" w:w="1169"/>
          </w:tcPr>
          <w:p>
            <w:r>
              <w:rPr>
                <w:sz w:val="20"/>
              </w:rPr>
              <w:t>**Adalimumab** (HUMIRA + 8 biosimilaires : AMGEVITA, CINNORA, AMSPARITY, HULIO, HYRIMOZ, IDACIO, ADAMIRA, ADALIMUMAB-SAIDAL)</w:t>
            </w:r>
          </w:p>
        </w:tc>
        <w:tc>
          <w:tcPr>
            <w:tcW w:type="dxa" w:w="1169"/>
          </w:tcPr>
          <w:p>
            <w:r>
              <w:rPr>
                <w:sz w:val="20"/>
              </w:rPr>
              <w:t>Anti-TNFα</w:t>
            </w:r>
          </w:p>
        </w:tc>
        <w:tc>
          <w:tcPr>
            <w:tcW w:type="dxa" w:w="1169"/>
          </w:tcPr>
          <w:p>
            <w:r>
              <w:rPr>
                <w:sz w:val="20"/>
              </w:rPr>
              <w:t>TNFα (Ac entièrement humain IgG1)</w:t>
            </w:r>
          </w:p>
        </w:tc>
        <w:tc>
          <w:tcPr>
            <w:tcW w:type="dxa" w:w="1169"/>
          </w:tcPr>
          <w:p>
            <w:r>
              <w:rPr>
                <w:sz w:val="20"/>
              </w:rPr>
              <w:t>SC 160 mg S0, 80 mg S2, puis 40 mg/2 sem</w:t>
            </w:r>
          </w:p>
        </w:tc>
        <w:tc>
          <w:tcPr>
            <w:tcW w:type="dxa" w:w="1169"/>
          </w:tcPr>
          <w:p>
            <w:r>
              <w:rPr>
                <w:sz w:val="20"/>
              </w:rPr>
              <w:t>14 j</w:t>
            </w:r>
          </w:p>
        </w:tc>
        <w:tc>
          <w:tcPr>
            <w:tcW w:type="dxa" w:w="1169"/>
          </w:tcPr>
          <w:p>
            <w:r>
              <w:rPr>
                <w:sz w:val="20"/>
              </w:rPr>
              <w:t>Infections, réactions site injection, immunogénicité (AcAA), lymphome</w:t>
            </w:r>
          </w:p>
        </w:tc>
        <w:tc>
          <w:tcPr>
            <w:tcW w:type="dxa" w:w="1169"/>
          </w:tcPr>
          <w:p>
            <w:r>
              <w:rPr>
                <w:sz w:val="20"/>
              </w:rPr>
              <w:t>TB active, IC, démeylinisation, cancer</w:t>
            </w:r>
          </w:p>
        </w:tc>
        <w:tc>
          <w:tcPr>
            <w:tcW w:type="dxa" w:w="1169"/>
          </w:tcPr>
          <w:p>
            <w:r>
              <w:rPr>
                <w:sz w:val="20"/>
              </w:rPr>
              <w:t>Compatible (suspendre après S34)</w:t>
            </w:r>
          </w:p>
        </w:tc>
      </w:tr>
      <w:tr>
        <w:tc>
          <w:tcPr>
            <w:tcW w:type="dxa" w:w="1169"/>
          </w:tcPr>
          <w:p>
            <w:r>
              <w:rPr>
                <w:sz w:val="20"/>
              </w:rPr>
              <w:t>**Certolizumab pegol** (CIMZIA)</w:t>
            </w:r>
          </w:p>
        </w:tc>
        <w:tc>
          <w:tcPr>
            <w:tcW w:type="dxa" w:w="1169"/>
          </w:tcPr>
          <w:p>
            <w:r>
              <w:rPr>
                <w:sz w:val="20"/>
              </w:rPr>
              <w:t>Anti-TNFα</w:t>
            </w:r>
          </w:p>
        </w:tc>
        <w:tc>
          <w:tcPr>
            <w:tcW w:type="dxa" w:w="1169"/>
          </w:tcPr>
          <w:p>
            <w:r>
              <w:rPr>
                <w:sz w:val="20"/>
              </w:rPr>
              <w:t>TNFα (Fab' pégylé sans Fc)</w:t>
            </w:r>
          </w:p>
        </w:tc>
        <w:tc>
          <w:tcPr>
            <w:tcW w:type="dxa" w:w="1169"/>
          </w:tcPr>
          <w:p>
            <w:r>
              <w:rPr>
                <w:sz w:val="20"/>
              </w:rPr>
              <w:t>SC 400 mg S0/S2/S4 puis /4 sem</w:t>
            </w:r>
          </w:p>
        </w:tc>
        <w:tc>
          <w:tcPr>
            <w:tcW w:type="dxa" w:w="1169"/>
          </w:tcPr>
          <w:p>
            <w:r>
              <w:rPr>
                <w:sz w:val="20"/>
              </w:rPr>
              <w:t>14 j</w:t>
            </w:r>
          </w:p>
        </w:tc>
        <w:tc>
          <w:tcPr>
            <w:tcW w:type="dxa" w:w="1169"/>
          </w:tcPr>
          <w:p>
            <w:r>
              <w:rPr>
                <w:sz w:val="20"/>
              </w:rPr>
              <w:t>Infections, réactions site injection, immunogénicité modérée</w:t>
            </w:r>
          </w:p>
        </w:tc>
        <w:tc>
          <w:tcPr>
            <w:tcW w:type="dxa" w:w="1169"/>
          </w:tcPr>
          <w:p>
            <w:r>
              <w:rPr>
                <w:sz w:val="20"/>
              </w:rPr>
              <w:t>TB active, IC, démeylinisation, cancer</w:t>
            </w:r>
          </w:p>
        </w:tc>
        <w:tc>
          <w:tcPr>
            <w:tcW w:type="dxa" w:w="1169"/>
          </w:tcPr>
          <w:p>
            <w:r>
              <w:rPr>
                <w:sz w:val="20"/>
              </w:rPr>
              <w:t>**Compatible (anti-TNF de choix, pas de passage transplacentaire FcRn)**</w:t>
            </w:r>
          </w:p>
        </w:tc>
      </w:tr>
      <w:tr>
        <w:tc>
          <w:tcPr>
            <w:tcW w:type="dxa" w:w="1169"/>
          </w:tcPr>
          <w:p>
            <w:r>
              <w:rPr>
                <w:sz w:val="20"/>
              </w:rPr>
              <w:t>**Golimumab** (SIMPONI)</w:t>
            </w:r>
          </w:p>
        </w:tc>
        <w:tc>
          <w:tcPr>
            <w:tcW w:type="dxa" w:w="1169"/>
          </w:tcPr>
          <w:p>
            <w:r>
              <w:rPr>
                <w:sz w:val="20"/>
              </w:rPr>
              <w:t>Anti-TNFα</w:t>
            </w:r>
          </w:p>
        </w:tc>
        <w:tc>
          <w:tcPr>
            <w:tcW w:type="dxa" w:w="1169"/>
          </w:tcPr>
          <w:p>
            <w:r>
              <w:rPr>
                <w:sz w:val="20"/>
              </w:rPr>
              <w:t>TNFα (Ac humain IgG1κ)</w:t>
            </w:r>
          </w:p>
        </w:tc>
        <w:tc>
          <w:tcPr>
            <w:tcW w:type="dxa" w:w="1169"/>
          </w:tcPr>
          <w:p>
            <w:r>
              <w:rPr>
                <w:sz w:val="20"/>
              </w:rPr>
              <w:t>SC 200 mg S0, 100 mg S2 puis /4 sem</w:t>
            </w:r>
          </w:p>
        </w:tc>
        <w:tc>
          <w:tcPr>
            <w:tcW w:type="dxa" w:w="1169"/>
          </w:tcPr>
          <w:p>
            <w:r>
              <w:rPr>
                <w:sz w:val="20"/>
              </w:rPr>
              <w:t>14 j</w:t>
            </w:r>
          </w:p>
        </w:tc>
        <w:tc>
          <w:tcPr>
            <w:tcW w:type="dxa" w:w="1169"/>
          </w:tcPr>
          <w:p>
            <w:r>
              <w:rPr>
                <w:sz w:val="20"/>
              </w:rPr>
              <w:t>Infections, réactions site injection, immunogénicité modérée</w:t>
            </w:r>
          </w:p>
        </w:tc>
        <w:tc>
          <w:tcPr>
            <w:tcW w:type="dxa" w:w="1169"/>
          </w:tcPr>
          <w:p>
            <w:r>
              <w:rPr>
                <w:sz w:val="20"/>
              </w:rPr>
              <w:t>TB active, IC, démeylinisation, cancer</w:t>
            </w:r>
          </w:p>
        </w:tc>
        <w:tc>
          <w:tcPr>
            <w:tcW w:type="dxa" w:w="1169"/>
          </w:tcPr>
          <w:p>
            <w:r>
              <w:rPr>
                <w:sz w:val="20"/>
              </w:rPr>
              <w:t>Compatible (suspendre après S34)</w:t>
            </w:r>
          </w:p>
        </w:tc>
      </w:tr>
      <w:tr>
        <w:tc>
          <w:tcPr>
            <w:tcW w:type="dxa" w:w="1169"/>
          </w:tcPr>
          <w:p>
            <w:r>
              <w:rPr>
                <w:sz w:val="20"/>
              </w:rPr>
              <w:t>**Vedolizumab** (ENTYVIO)</w:t>
            </w:r>
          </w:p>
        </w:tc>
        <w:tc>
          <w:tcPr>
            <w:tcW w:type="dxa" w:w="1169"/>
          </w:tcPr>
          <w:p>
            <w:r>
              <w:rPr>
                <w:sz w:val="20"/>
              </w:rPr>
              <w:t>Anti-intégrine α4β7</w:t>
            </w:r>
          </w:p>
        </w:tc>
        <w:tc>
          <w:tcPr>
            <w:tcW w:type="dxa" w:w="1169"/>
          </w:tcPr>
          <w:p>
            <w:r>
              <w:rPr>
                <w:sz w:val="20"/>
              </w:rPr>
              <w:t>Intégrine α4β7 (Ac humanisé IgG1, gut-homing)</w:t>
            </w:r>
          </w:p>
        </w:tc>
        <w:tc>
          <w:tcPr>
            <w:tcW w:type="dxa" w:w="1169"/>
          </w:tcPr>
          <w:p>
            <w:r>
              <w:rPr>
                <w:sz w:val="20"/>
              </w:rPr>
              <w:t>IV 300 mg S0/S2/S6 puis /8 sem</w:t>
            </w:r>
          </w:p>
        </w:tc>
        <w:tc>
          <w:tcPr>
            <w:tcW w:type="dxa" w:w="1169"/>
          </w:tcPr>
          <w:p>
            <w:r>
              <w:rPr>
                <w:sz w:val="20"/>
              </w:rPr>
              <w:t>19-25 j</w:t>
            </w:r>
          </w:p>
        </w:tc>
        <w:tc>
          <w:tcPr>
            <w:tcW w:type="dxa" w:w="1169"/>
          </w:tcPr>
          <w:p>
            <w:r>
              <w:rPr>
                <w:sz w:val="20"/>
              </w:rPr>
              <w:t>Réactions perfusion (rares), infections légères</w:t>
            </w:r>
          </w:p>
        </w:tc>
        <w:tc>
          <w:tcPr>
            <w:tcW w:type="dxa" w:w="1169"/>
          </w:tcPr>
          <w:p>
            <w:r>
              <w:rPr>
                <w:sz w:val="20"/>
              </w:rPr>
              <w:t>Hypersensibilité, infection active sévère</w:t>
            </w:r>
          </w:p>
        </w:tc>
        <w:tc>
          <w:tcPr>
            <w:tcW w:type="dxa" w:w="1169"/>
          </w:tcPr>
          <w:p>
            <w:r>
              <w:rPr>
                <w:sz w:val="20"/>
              </w:rPr>
              <w:t>Compatible (suspendre après S30-S34 par prudence)</w:t>
            </w:r>
          </w:p>
        </w:tc>
      </w:tr>
      <w:tr>
        <w:tc>
          <w:tcPr>
            <w:tcW w:type="dxa" w:w="1169"/>
          </w:tcPr>
          <w:p>
            <w:r>
              <w:rPr>
                <w:sz w:val="20"/>
              </w:rPr>
              <w:t>**Ustekinumab** (STELARA — 3 dosages)</w:t>
            </w:r>
          </w:p>
        </w:tc>
        <w:tc>
          <w:tcPr>
            <w:tcW w:type="dxa" w:w="1169"/>
          </w:tcPr>
          <w:p>
            <w:r>
              <w:rPr>
                <w:sz w:val="20"/>
              </w:rPr>
              <w:t>Anti-IL-12/23</w:t>
            </w:r>
          </w:p>
        </w:tc>
        <w:tc>
          <w:tcPr>
            <w:tcW w:type="dxa" w:w="1169"/>
          </w:tcPr>
          <w:p>
            <w:r>
              <w:rPr>
                <w:sz w:val="20"/>
              </w:rPr>
              <w:t>Sous-unité p40 commune IL-12/IL-23 (Ac humain IgG1κ)</w:t>
            </w:r>
          </w:p>
        </w:tc>
        <w:tc>
          <w:tcPr>
            <w:tcW w:type="dxa" w:w="1169"/>
          </w:tcPr>
          <w:p>
            <w:r>
              <w:rPr>
                <w:sz w:val="20"/>
              </w:rPr>
              <w:t>IV induction (260-520 mg selon poids), puis SC 90 mg /8-12 sem</w:t>
            </w:r>
          </w:p>
        </w:tc>
        <w:tc>
          <w:tcPr>
            <w:tcW w:type="dxa" w:w="1169"/>
          </w:tcPr>
          <w:p>
            <w:r>
              <w:rPr>
                <w:sz w:val="20"/>
              </w:rPr>
              <w:t>21 j</w:t>
            </w:r>
          </w:p>
        </w:tc>
        <w:tc>
          <w:tcPr>
            <w:tcW w:type="dxa" w:w="1169"/>
          </w:tcPr>
          <w:p>
            <w:r>
              <w:rPr>
                <w:sz w:val="20"/>
              </w:rPr>
              <w:t>Infections légères, réactions site injection (peu d'EI graves)</w:t>
            </w:r>
          </w:p>
        </w:tc>
        <w:tc>
          <w:tcPr>
            <w:tcW w:type="dxa" w:w="1169"/>
          </w:tcPr>
          <w:p>
            <w:r>
              <w:rPr>
                <w:sz w:val="20"/>
              </w:rPr>
              <w:t>Hypersensibilité, infection active sévère</w:t>
            </w:r>
          </w:p>
        </w:tc>
        <w:tc>
          <w:tcPr>
            <w:tcW w:type="dxa" w:w="1169"/>
          </w:tcPr>
          <w:p>
            <w:r>
              <w:rPr>
                <w:sz w:val="20"/>
              </w:rPr>
              <w:t>Compatible (suspendre après S30-S34 par prudence)</w:t>
            </w:r>
          </w:p>
        </w:tc>
      </w:tr>
      <w:tr>
        <w:tc>
          <w:tcPr>
            <w:tcW w:type="dxa" w:w="1169"/>
          </w:tcPr>
          <w:p>
            <w:r>
              <w:rPr>
                <w:sz w:val="20"/>
              </w:rPr>
              <w:t>**Tofacitinib** (TRIJAN 5/10 mg)</w:t>
            </w:r>
          </w:p>
        </w:tc>
        <w:tc>
          <w:tcPr>
            <w:tcW w:type="dxa" w:w="1169"/>
          </w:tcPr>
          <w:p>
            <w:r>
              <w:rPr>
                <w:sz w:val="20"/>
              </w:rPr>
              <w:t>Inhibiteur JAK</w:t>
            </w:r>
          </w:p>
        </w:tc>
        <w:tc>
          <w:tcPr>
            <w:tcW w:type="dxa" w:w="1169"/>
          </w:tcPr>
          <w:p>
            <w:r>
              <w:rPr>
                <w:sz w:val="20"/>
              </w:rPr>
              <w:t>JAK1/JAK3 (pan-JAK)</w:t>
            </w:r>
          </w:p>
        </w:tc>
        <w:tc>
          <w:tcPr>
            <w:tcW w:type="dxa" w:w="1169"/>
          </w:tcPr>
          <w:p>
            <w:r>
              <w:rPr>
                <w:sz w:val="20"/>
              </w:rPr>
              <w:t>PO 10 mg × 2/j induction 8 sem, puis 5 mg × 2/j</w:t>
            </w:r>
          </w:p>
        </w:tc>
        <w:tc>
          <w:tcPr>
            <w:tcW w:type="dxa" w:w="1169"/>
          </w:tcPr>
          <w:p>
            <w:r>
              <w:rPr>
                <w:sz w:val="20"/>
              </w:rPr>
              <w:t>3 h</w:t>
            </w:r>
          </w:p>
        </w:tc>
        <w:tc>
          <w:tcPr>
            <w:tcW w:type="dxa" w:w="1169"/>
          </w:tcPr>
          <w:p>
            <w:r>
              <w:rPr>
                <w:sz w:val="20"/>
              </w:rPr>
              <w:t>Infections (zona ++), cytopénies, dyslipidémie, ETEV, cancers</w:t>
            </w:r>
          </w:p>
        </w:tc>
        <w:tc>
          <w:tcPr>
            <w:tcW w:type="dxa" w:w="1169"/>
          </w:tcPr>
          <w:p>
            <w:r>
              <w:rPr>
                <w:sz w:val="20"/>
              </w:rPr>
              <w:t>Infection sévère, grossesse (CI absolue), insuffisance hépatique sévère, association immunosuppresseurs</w:t>
            </w:r>
          </w:p>
        </w:tc>
        <w:tc>
          <w:tcPr>
            <w:tcW w:type="dxa" w:w="1169"/>
          </w:tcPr>
          <w:p>
            <w:r>
              <w:rPr>
                <w:sz w:val="20"/>
              </w:rPr>
              <w:t>**CI absolue (tératogénicité)**</w:t>
            </w:r>
          </w:p>
        </w:tc>
      </w:tr>
      <w:tr>
        <w:tc>
          <w:tcPr>
            <w:tcW w:type="dxa" w:w="1169"/>
          </w:tcPr>
          <w:p>
            <w:r>
              <w:rPr>
                <w:sz w:val="20"/>
              </w:rPr>
              <w:t>**Upadacitinib** (RINVOQ 15/30 mg LP)</w:t>
            </w:r>
          </w:p>
        </w:tc>
        <w:tc>
          <w:tcPr>
            <w:tcW w:type="dxa" w:w="1169"/>
          </w:tcPr>
          <w:p>
            <w:r>
              <w:rPr>
                <w:sz w:val="20"/>
              </w:rPr>
              <w:t>Inhibiteur JAK</w:t>
            </w:r>
          </w:p>
        </w:tc>
        <w:tc>
          <w:tcPr>
            <w:tcW w:type="dxa" w:w="1169"/>
          </w:tcPr>
          <w:p>
            <w:r>
              <w:rPr>
                <w:sz w:val="20"/>
              </w:rPr>
              <w:t>JAK1 sélectif</w:t>
            </w:r>
          </w:p>
        </w:tc>
        <w:tc>
          <w:tcPr>
            <w:tcW w:type="dxa" w:w="1169"/>
          </w:tcPr>
          <w:p>
            <w:r>
              <w:rPr>
                <w:sz w:val="20"/>
              </w:rPr>
              <w:t>PO 45 mg/j induction 8-12 sem, puis 15-30 mg/j</w:t>
            </w:r>
          </w:p>
        </w:tc>
        <w:tc>
          <w:tcPr>
            <w:tcW w:type="dxa" w:w="1169"/>
          </w:tcPr>
          <w:p>
            <w:r>
              <w:rPr>
                <w:sz w:val="20"/>
              </w:rPr>
              <w:t>9-14 h</w:t>
            </w:r>
          </w:p>
        </w:tc>
        <w:tc>
          <w:tcPr>
            <w:tcW w:type="dxa" w:w="1169"/>
          </w:tcPr>
          <w:p>
            <w:r>
              <w:rPr>
                <w:sz w:val="20"/>
              </w:rPr>
              <w:t>Infections (zona), cytopénies (moindres), dyslipidémie, ETEV, cancers</w:t>
            </w:r>
          </w:p>
        </w:tc>
        <w:tc>
          <w:tcPr>
            <w:tcW w:type="dxa" w:w="1169"/>
          </w:tcPr>
          <w:p>
            <w:r>
              <w:rPr>
                <w:sz w:val="20"/>
              </w:rPr>
              <w:t>Infection sévère, grossesse (CI absolue), insuffisance hépatique sévère</w:t>
            </w:r>
          </w:p>
        </w:tc>
        <w:tc>
          <w:tcPr>
            <w:tcW w:type="dxa" w:w="1169"/>
          </w:tcPr>
          <w:p>
            <w:r>
              <w:rPr>
                <w:sz w:val="20"/>
              </w:rPr>
              <w:t>**CI absolue (tératogénicité)**</w:t>
            </w:r>
          </w:p>
        </w:tc>
      </w:tr>
    </w:tbl>
    <w:p/>
    <w:p>
      <w:pPr>
        <w:pStyle w:val="Heading2"/>
      </w:pPr>
      <w:r>
        <w:t>Conclusion et Recommandations Transversales</w:t>
      </w:r>
    </w:p>
    <w:p>
      <w:r>
        <w:t xml:space="preserve">Les biothérapies ont transformé la prise en charge des MICI en Algérie, passant d'une stratégie purement symptomatique (corticoïdes, 5-ASA, immunosuppresseurs) à une approche ciblée, mécanistique, visant la </w:t>
      </w:r>
      <w:r>
        <w:rPr>
          <w:b/>
        </w:rPr>
        <w:t>rémission clinique, biologique et endoscopique</w:t>
      </w:r>
      <w:r>
        <w:t xml:space="preserve">. Les </w:t>
      </w:r>
      <w:r>
        <w:rPr>
          <w:b/>
        </w:rPr>
        <w:t>4 sous-classes mécanistiques</w:t>
      </w:r>
      <w:r>
        <w:t xml:space="preserve"> disponibles — anti-TNFα, anti-intégrine α4β7, anti-IL-12/23, inhibiteurs JAK — offrent un arsenal thérapeutique graduel et personnalisé, dont l'arbitrage repose sur plusieurs critères : (i) l'efficacité attendue (anti-TNFα et JAK = efficacité rapide et puissante ; vedolizumab et ustekinumab = efficacité plus lente mais tolérance supérieure) ; (ii) le profil de tolérance (vedolizumab et ustekinumab = sécurité optimale ; JAK = surveillance stricte ; anti-TNFα = infectieux et néoplasique) ; (iii) les comorbidités (sujet âgé → vedolizumab ou ustekinumab ; démeylinisation → vedolizumab ; grossesse projetée → certolizumab) ; (iv) la voie d'administration (IV hospitalière vs SC auto-administrée vs PO) ; (v) le coût et la disponibilité.</w:t>
      </w:r>
    </w:p>
    <w:p>
      <w:r/>
      <w:r>
        <w:rPr>
          <w:b/>
        </w:rPr>
        <w:t>Dix recommandations transversales</w:t>
      </w:r>
      <w:r>
        <w:t xml:space="preserve"> pour le pharmacien d'officine et le clinicien algérien :</w:t>
      </w:r>
    </w:p>
    <w:p>
      <w:pPr>
        <w:pStyle w:val="ListNumber"/>
      </w:pPr>
      <w:r/>
      <w:r>
        <w:rPr>
          <w:b/>
        </w:rPr>
        <w:t>Bilan pré-thérapeutique systématique</w:t>
      </w:r>
      <w:r>
        <w:t xml:space="preserve"> avant toute biothérapie : IDR/IGRA tuberculose, Rx thorax, sérologies VIH/VHB/VHC, NFS, transaminases, créatinine, électrophorèse, bilan lipidique (JAK), évaluation CV (JAK). Pas d'initiation sans bilan complet et sans vérification de l'absence d'infection active ni d'abcès abdominal (Crohn).</w:t>
      </w:r>
    </w:p>
    <w:p>
      <w:pPr>
        <w:pStyle w:val="ListNumber"/>
      </w:pPr>
      <w:r/>
      <w:r>
        <w:rPr>
          <w:b/>
        </w:rPr>
        <w:t>Vaccination préalable obligatoire</w:t>
      </w:r>
      <w:r>
        <w:t xml:space="preserve"> : mise à jour vaccins inactivés 2 semaines avant initiation (grippe annuelle, pneumocoque, hépatite B, HPV, tétanos, Shingrix zona pour JAK &gt;50 ans). Vaccins vivants </w:t>
      </w:r>
      <w:r>
        <w:rPr>
          <w:b/>
        </w:rPr>
        <w:t>contre-indiqués</w:t>
      </w:r>
      <w:r>
        <w:t xml:space="preserve"> pendant et 3 mois après l'arrêt.</w:t>
      </w:r>
    </w:p>
    <w:p>
      <w:pPr>
        <w:pStyle w:val="ListNumber"/>
      </w:pPr>
      <w:r/>
      <w:r>
        <w:rPr>
          <w:b/>
        </w:rPr>
        <w:t>Couverture immunosuppressive associée</w:t>
      </w:r>
      <w:r>
        <w:t xml:space="preserve"> (infliximab, adalimumab) : azathioprine ou méthotrexate pendant 6 mois minimum pour réduire l'immunogénicité. Surveillance hématologique et hépatique accrue.</w:t>
      </w:r>
    </w:p>
    <w:p>
      <w:pPr>
        <w:pStyle w:val="ListNumber"/>
      </w:pPr>
      <w:r/>
      <w:r>
        <w:rPr>
          <w:b/>
        </w:rPr>
        <w:t>Suivi thérapeutique pharmacologique (STP)</w:t>
      </w:r>
      <w:r>
        <w:t xml:space="preserve"> : dosage des concentrations résiduelles (trough) et des anticorps anti-médicament en cas de perte d'efficacité ou de réaction à la perfusion. Adaptation posologique (augmentation dose, raccourcissement intervalle) ou switch de classe.</w:t>
      </w:r>
    </w:p>
    <w:p>
      <w:pPr>
        <w:pStyle w:val="ListNumber"/>
      </w:pPr>
      <w:r/>
      <w:r>
        <w:rPr>
          <w:b/>
        </w:rPr>
        <w:t>Chaîne du froid impérative</w:t>
      </w:r>
      <w:r>
        <w:t xml:space="preserve"> pour les biothérapies injectables (anticorps monoclonaux) : conservation à +2-8°C, transport en sac isotherme, ne pas congeler, ne pas agiter. Le pharmacien trace le produit délivré (numéro de lot, nom commercial).</w:t>
      </w:r>
    </w:p>
    <w:p>
      <w:pPr>
        <w:pStyle w:val="ListNumber"/>
      </w:pPr>
      <w:r/>
      <w:r>
        <w:rPr>
          <w:b/>
        </w:rPr>
        <w:t>Pas de substitution automatique entre princeps et biosimilaires</w:t>
      </w:r>
      <w:r>
        <w:t xml:space="preserve"> ni entre biosimilaires. La décision médicale est souveraine. Une fois initié avec un produit, le maintien est recommandé (pas de switch répété).</w:t>
      </w:r>
    </w:p>
    <w:p>
      <w:pPr>
        <w:pStyle w:val="ListNumber"/>
      </w:pPr>
      <w:r/>
      <w:r>
        <w:rPr>
          <w:b/>
        </w:rPr>
        <w:t>Grossesse</w:t>
      </w:r>
      <w:r>
        <w:t xml:space="preserve"> : anti-TNFα (sauf certolizumab), ustekinumab et vedolizumab = compatibles mais suspension après S34 (dernière injection S30-S34) par prudence. </w:t>
      </w:r>
      <w:r>
        <w:rPr>
          <w:b/>
        </w:rPr>
        <w:t>Certolizumab pegol = anti-TNF de choix</w:t>
      </w:r>
      <w:r>
        <w:t xml:space="preserve"> (absence de Fc, pas de passage transplacentaire significatif, maintien possible tout au long de la grossesse). </w:t>
      </w:r>
      <w:r>
        <w:rPr>
          <w:b/>
        </w:rPr>
        <w:t>Tofacitinib et upadacitinib = CI absolue</w:t>
      </w:r>
      <w:r>
        <w:t xml:space="preserve"> (tératogénicité animale, contraception obligatoire pendant et 4 semaines après l'arrêt).</w:t>
      </w:r>
    </w:p>
    <w:p>
      <w:pPr>
        <w:pStyle w:val="ListNumber"/>
      </w:pPr>
      <w:r/>
      <w:r>
        <w:rPr>
          <w:b/>
        </w:rPr>
        <w:t>Allaitement</w:t>
      </w:r>
      <w:r>
        <w:t xml:space="preserve"> : tous les anticorps monoclonaux (infliximab, adalimumab, certolizumab, golimumab, vedolizumab, ustekinumab) = compatibles (passage minime, dégradation digestive). </w:t>
      </w:r>
      <w:r>
        <w:rPr>
          <w:b/>
        </w:rPr>
        <w:t>Tofacitinib et upadacitinib = CI absolue</w:t>
      </w:r>
      <w:r>
        <w:t>.</w:t>
      </w:r>
    </w:p>
    <w:p>
      <w:pPr>
        <w:pStyle w:val="ListNumber"/>
      </w:pPr>
      <w:r/>
      <w:r>
        <w:rPr>
          <w:b/>
        </w:rPr>
        <w:t>Vaccins du nourrisson</w:t>
      </w:r>
      <w:r>
        <w:t xml:space="preserve"> né de mère traitée par biothérapie : vaccins vivants différés (BCG &gt;3 à 6 mois, ROR après vérification de la clairance de l'anticorps, parfois jusqu'à 12 mois). Vaccins inactivés selon le calendrier normal.</w:t>
      </w:r>
    </w:p>
    <w:p>
      <w:pPr>
        <w:pStyle w:val="ListNumber"/>
      </w:pPr>
      <w:r/>
      <w:r>
        <w:rPr>
          <w:b/>
        </w:rPr>
        <w:t>Éducation thérapeutique du patient (ETP)</w:t>
      </w:r>
      <w:r>
        <w:t xml:space="preserve"> : information sur la maladie, le traitement, les signes d'alerte (fièvre, toux, perte de poids, sueurs nocturnes, douleur abdominale, lésion cutanée), la surveillance biologique, la chaîne du froid, l'observance, l'auto-administration SC, le suivi gynécologique (contraception pour JAK), et le suivi à long terme (réévaluation annuelle, vaccination annuelle grippe, suivi dermatologique).</w:t>
      </w:r>
    </w:p>
    <w:p>
      <w:r>
        <w:t>La pharmacie clinique algérienne doit s'approprier ces biothérapies — véritables médicaments de haute technicité — en garantissant la sécurité d'usage (dépistage, surveillance, traçabilité), la disponibilité (chaîne du froid, gestion des ruptures, accès aux biosimilaires locaux SAIDAL), et l'éducation du patient (ETP structurée en centre de compétence MICI). Le pharmacien joue ici un rôle pivot de coordination entre le gastro-entérologue prescripteur, le patient et le système de soins.</w:t>
      </w:r>
    </w:p>
    <w:p>
      <w:r/>
      <w:r>
        <w:rPr>
          <w:i/>
        </w:rPr>
        <w:t>Références mobilisées : VIDAL 2026, ANSM (RCP des spécialités), Thériaque, CRAT (Centre de Renseignement sur les Agents Tératogènes), HAS (recommandations MICI), ECCO Guidelines (European Crohn's and Colitis Organisation), UpToDate, Micromedex, EMA (essais cliniques pivot : PRECISE, GEMINI, UNITI, UNIFI, DECISION, Tofacitinib UC trials, Upadacitinib Crohn trials).</w:t>
      </w:r>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Gastro-entérologie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