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Calibri" w:hAnsi="Calibri"/>
          <w:b/>
          <w:i w:val="0"/>
          <w:color w:val="000000"/>
          <w:sz w:val="24"/>
        </w:rPr>
      </w:r>
    </w:p>
    <w:p>
      <w:pPr>
        <w:spacing w:after="240"/>
        <w:jc w:val="center"/>
      </w:pPr>
      <w:r>
        <w:rPr>
          <w:rFonts w:ascii="Calibri" w:hAnsi="Calibri"/>
          <w:b/>
          <w:i w:val="0"/>
          <w:color w:val="0B3D91"/>
          <w:sz w:val="72"/>
        </w:rPr>
        <w:t>LIVRE TECHNIQUE</w:t>
        <w:br/>
        <w:t>DE PHARMACOLOGIE CLINIQUE</w:t>
      </w:r>
    </w:p>
    <w:p>
      <w:pPr>
        <w:spacing w:before="240" w:after="120"/>
        <w:jc w:val="center"/>
      </w:pPr>
      <w:r>
        <w:rPr>
          <w:rFonts w:ascii="Calibri" w:hAnsi="Calibri"/>
          <w:b/>
          <w:i w:val="0"/>
          <w:color w:val="6B2E8C"/>
          <w:sz w:val="56"/>
        </w:rPr>
        <w:t>IMMUNOLOGIE</w:t>
      </w:r>
    </w:p>
    <w:p>
      <w:pPr>
        <w:jc w:val="center"/>
      </w:pPr>
      <w:r>
        <w:rPr>
          <w:rFonts w:ascii="Calibri" w:hAnsi="Calibri"/>
          <w:b/>
          <w:i w:val="0"/>
          <w:color w:val="808080"/>
          <w:sz w:val="40"/>
        </w:rPr>
        <w:t>&amp;</w:t>
      </w:r>
    </w:p>
    <w:p>
      <w:pPr>
        <w:spacing w:after="120"/>
        <w:jc w:val="center"/>
      </w:pPr>
      <w:r>
        <w:rPr>
          <w:rFonts w:ascii="Calibri" w:hAnsi="Calibri"/>
          <w:b/>
          <w:i w:val="0"/>
          <w:color w:val="1F4E79"/>
          <w:sz w:val="44"/>
        </w:rPr>
        <w:t>TRANSPLANTATION</w:t>
      </w:r>
    </w:p>
    <w:p>
      <w:pPr>
        <w:jc w:val="center"/>
      </w:pPr>
      <w:r>
        <w:rPr>
          <w:rFonts w:ascii="Calibri" w:hAnsi="Calibri"/>
          <w:b w:val="0"/>
          <w:i/>
          <w:color w:val="606060"/>
          <w:sz w:val="40"/>
        </w:rPr>
        <w:t>en Algérie</w:t>
      </w:r>
    </w:p>
    <w:p>
      <w:pPr>
        <w:spacing w:before="400" w:after="400"/>
        <w:jc w:val="center"/>
      </w:pPr>
      <w:r>
        <w:rPr>
          <w:rFonts w:ascii="Calibri" w:hAnsi="Calibri"/>
          <w:b/>
          <w:i w:val="0"/>
          <w:color w:val="0B3D91"/>
          <w:sz w:val="28"/>
        </w:rPr>
        <w:t>━━━━━━━━━━━━━━━━━━━━━━━━━━━━━━</w:t>
      </w:r>
    </w:p>
    <w:p>
      <w:pPr>
        <w:jc w:val="center"/>
      </w:pPr>
      <w:r>
        <w:rPr>
          <w:rFonts w:ascii="Calibri" w:hAnsi="Calibri"/>
          <w:b/>
          <w:i w:val="0"/>
          <w:color w:val="1F4E79"/>
          <w:sz w:val="36"/>
        </w:rPr>
        <w:t>Fascicule XVIII</w:t>
      </w:r>
    </w:p>
    <w:p>
      <w:pPr>
        <w:jc w:val="center"/>
      </w:pPr>
      <w:r>
        <w:rPr>
          <w:rFonts w:ascii="Calibri" w:hAnsi="Calibri"/>
          <w:b w:val="0"/>
          <w:i/>
          <w:color w:val="606060"/>
          <w:sz w:val="28"/>
        </w:rPr>
        <w:t>Immunologie et Transplantation</w:t>
      </w:r>
    </w:p>
    <w:p>
      <w:pPr>
        <w:spacing w:before="1600"/>
        <w:jc w:val="center"/>
      </w:pPr>
      <w:r>
        <w:rPr>
          <w:rFonts w:ascii="Calibri" w:hAnsi="Calibri"/>
          <w:b/>
          <w:i w:val="0"/>
          <w:color w:val="000000"/>
          <w:sz w:val="24"/>
        </w:rPr>
      </w:r>
    </w:p>
    <w:p>
      <w:pPr>
        <w:jc w:val="center"/>
      </w:pPr>
      <w:r>
        <w:rPr>
          <w:rFonts w:ascii="Calibri" w:hAnsi="Calibri"/>
          <w:b w:val="0"/>
          <w:i w:val="0"/>
          <w:color w:val="404040"/>
          <w:sz w:val="24"/>
        </w:rPr>
        <w:t>Manuel académique et pratique pour étudiants en pharmacie d'officine</w:t>
      </w:r>
    </w:p>
    <w:p>
      <w:pPr>
        <w:jc w:val="center"/>
      </w:pPr>
      <w:r>
        <w:rPr>
          <w:rFonts w:ascii="Calibri" w:hAnsi="Calibri"/>
          <w:b w:val="0"/>
          <w:i/>
          <w:color w:val="606060"/>
          <w:sz w:val="22"/>
        </w:rPr>
        <w:t>Basé sur la nomenclature officielle des médicaments enregistrés en Algérie (Avril 2026)</w:t>
      </w:r>
    </w:p>
    <w:p>
      <w:pPr>
        <w:spacing w:before="1200"/>
        <w:jc w:val="center"/>
      </w:pPr>
      <w:r>
        <w:rPr>
          <w:rFonts w:ascii="Calibri" w:hAnsi="Calibri"/>
          <w:b/>
          <w:i w:val="0"/>
          <w:color w:val="000000"/>
          <w:sz w:val="24"/>
        </w:rPr>
      </w:r>
    </w:p>
    <w:p>
      <w:pPr>
        <w:jc w:val="center"/>
      </w:pPr>
      <w:r>
        <w:rPr>
          <w:rFonts w:ascii="Calibri" w:hAnsi="Calibri"/>
          <w:b/>
          <w:i w:val="0"/>
          <w:color w:val="0B3D91"/>
          <w:sz w:val="22"/>
        </w:rPr>
        <w:t>19 DCI traitées  •  70+ spécialités commerciales  •  4 chapitres thématiques</w:t>
      </w:r>
    </w:p>
    <w:p>
      <w:pPr>
        <w:spacing w:before="1600"/>
        <w:jc w:val="center"/>
      </w:pPr>
      <w:r>
        <w:rPr>
          <w:rFonts w:ascii="Calibri" w:hAnsi="Calibri"/>
          <w:b/>
          <w:i w:val="0"/>
          <w:color w:val="000000"/>
          <w:sz w:val="24"/>
        </w:rPr>
      </w:r>
    </w:p>
    <w:p>
      <w:pPr>
        <w:jc w:val="center"/>
      </w:pPr>
      <w:r>
        <w:rPr>
          <w:rFonts w:ascii="Calibri" w:hAnsi="Calibri"/>
          <w:b/>
          <w:i w:val="0"/>
          <w:color w:val="404040"/>
          <w:sz w:val="28"/>
        </w:rPr>
        <w:t>Édition Août 2026</w:t>
      </w:r>
    </w:p>
    <w:p>
      <w:pPr>
        <w:jc w:val="center"/>
      </w:pPr>
      <w:r>
        <w:rPr>
          <w:rFonts w:ascii="Calibri" w:hAnsi="Calibri"/>
          <w:b w:val="0"/>
          <w:i/>
          <w:color w:val="808080"/>
          <w:sz w:val="18"/>
        </w:rPr>
        <w:t>Sources : VIDAL • ANSM • Thériaque • CRAT • KDIGO • OMS • HAS • UpToDate • Micromedex</w:t>
      </w:r>
    </w:p>
    <w:p>
      <w:r>
        <w:br w:type="page"/>
      </w:r>
    </w:p>
    <w:p>
      <w:pPr>
        <w:pStyle w:val="Heading1"/>
      </w:pPr>
      <w:r>
        <w:rPr>
          <w:color w:val="0B3D91"/>
        </w:rPr>
        <w:t>Table des matières</w:t>
      </w:r>
    </w:p>
    <w:p>
      <w:r>
        <w:fldChar w:fldCharType="begin"/>
        <w:instrText xml:space="preserve">TOC \o "1-3" \h \z \u</w:instrText>
        <w:fldChar w:fldCharType="separate"/>
        <w:t>Mettre à jour le TOC (F9)</w:t>
        <w:fldChar w:fldCharType="end"/>
      </w:r>
    </w:p>
    <w:p>
      <w:r>
        <w:br w:type="page"/>
      </w:r>
    </w:p>
    <w:p>
      <w:pPr>
        <w:pStyle w:val="Heading2"/>
      </w:pPr>
      <w:r>
        <w:t>Fascicule XVIII : Immunologie et Transplantation</w:t>
      </w:r>
    </w:p>
    <w:p>
      <w:pPr>
        <w:pStyle w:val="Heading2"/>
      </w:pPr>
      <w:r>
        <w:t>Avant-propos et méthodologie du Fascicule XVIII</w:t>
      </w:r>
    </w:p>
    <w:p>
      <w:pPr>
        <w:pStyle w:val="Heading3"/>
      </w:pPr>
      <w:r>
        <w:t>1. Objet du fascicule</w:t>
      </w:r>
    </w:p>
    <w:p>
      <w:r>
        <w:t>Le présent fascicule constitue le dix-huitième volet du traité technique de pharmacologie clinique destiné aux étudiants en pharmacie d'officine et aux praticiens exerçant sur le territoire algérien. Il poursuit la démarche engagée dans les Fascicules I-XVII en traitant de manière exhaustive les immunosuppresseurs, immunoglobulines, vaccins et substituts plasmatiques enregistrés auprès du Ministère de la Santé algérien.</w:t>
      </w:r>
    </w:p>
    <w:p>
      <w:r>
        <w:t xml:space="preserve">La base réglementaire de référence utilisée est le fichier officiel </w:t>
      </w:r>
      <w:r>
        <w:rPr>
          <w:b/>
        </w:rPr>
        <w:t>« COMPLETE LISTE.xlsx »</w:t>
      </w:r>
      <w:r>
        <w:t xml:space="preserve"> (nomenclature algérienne Avril 2026).</w:t>
      </w:r>
    </w:p>
    <w:p>
      <w:pPr>
        <w:pStyle w:val="Heading3"/>
      </w:pPr>
      <w:r>
        <w:t>2. Contexte épidémiologique algérien</w:t>
      </w:r>
    </w:p>
    <w:p>
      <w:pPr>
        <w:pStyle w:val="ListBullet"/>
      </w:pPr>
      <w:r/>
      <w:r>
        <w:rPr>
          <w:b/>
        </w:rPr>
        <w:t>Transplantation</w:t>
      </w:r>
      <w:r>
        <w:t xml:space="preserve"> : Algérie dispose de programmes de greffe rénale, hépatique et cardiaque</w:t>
      </w:r>
    </w:p>
    <w:p>
      <w:pPr>
        <w:pStyle w:val="ListBullet"/>
      </w:pPr>
      <w:r/>
      <w:r>
        <w:rPr>
          <w:b/>
        </w:rPr>
        <w:t>Maladies auto-immunes</w:t>
      </w:r>
      <w:r>
        <w:t xml:space="preserve"> : prévalence élevée (PR, LED, SEP, myasthénie)</w:t>
      </w:r>
    </w:p>
    <w:p>
      <w:pPr>
        <w:pStyle w:val="ListBullet"/>
      </w:pPr>
      <w:r/>
      <w:r>
        <w:rPr>
          <w:b/>
        </w:rPr>
        <w:t>Vaccination</w:t>
      </w:r>
      <w:r>
        <w:t xml:space="preserve"> : Programme National de Vaccination, campagnes antigrippales, COVID-19</w:t>
      </w:r>
    </w:p>
    <w:p>
      <w:pPr>
        <w:pStyle w:val="ListBullet"/>
      </w:pPr>
      <w:r/>
      <w:r>
        <w:rPr>
          <w:b/>
        </w:rPr>
        <w:t>Immunodéficience</w:t>
      </w:r>
      <w:r>
        <w:t xml:space="preserve"> : VIH, transplantés, chimiothérapies</w:t>
      </w:r>
    </w:p>
    <w:p>
      <w:pPr>
        <w:pStyle w:val="ListBullet"/>
      </w:pPr>
      <w:r/>
      <w:r>
        <w:rPr>
          <w:b/>
        </w:rPr>
        <w:t>Conflit feto-maternel Rh</w:t>
      </w:r>
      <w:r>
        <w:t xml:space="preserve"> : prévention anti-D systématique</w:t>
      </w:r>
    </w:p>
    <w:p>
      <w:pPr>
        <w:pStyle w:val="Heading3"/>
      </w:pPr>
      <w:r>
        <w:t>3. Périmètre de ce fascicule</w:t>
      </w:r>
    </w:p>
    <w:p>
      <w:r>
        <w:t xml:space="preserve">Ce fascicule couvre </w:t>
      </w:r>
      <w:r>
        <w:rPr>
          <w:b/>
        </w:rPr>
        <w:t>19 DCI</w:t>
      </w:r>
      <w:r>
        <w:t xml:space="preserve"> réparties sur </w:t>
      </w:r>
      <w:r>
        <w:rPr>
          <w:b/>
        </w:rPr>
        <w:t>17 sous-classes</w:t>
      </w:r>
      <w:r>
        <w:t xml:space="preserve"> pharmacologiques :</w:t>
      </w:r>
    </w:p>
    <w:p>
      <w:pPr>
        <w:pStyle w:val="ListNumber"/>
      </w:pPr>
      <w:r>
        <w:t>Immunosuppresseurs de transplantation (5 DCI)</w:t>
      </w:r>
    </w:p>
    <w:p>
      <w:pPr>
        <w:pStyle w:val="ListNumber"/>
      </w:pPr>
      <w:r>
        <w:t>Anticorps anti-rejet et immunoglobulines thérapeutiques (3 DCI)</w:t>
      </w:r>
    </w:p>
    <w:p>
      <w:pPr>
        <w:pStyle w:val="ListNumber"/>
      </w:pPr>
      <w:r>
        <w:t>Immunoglobulines spécifiques et substituts plasmatiques (4 DCI)</w:t>
      </w:r>
    </w:p>
    <w:p>
      <w:pPr>
        <w:pStyle w:val="ListNumber"/>
      </w:pPr>
      <w:r>
        <w:t>Vaccins (7 DCI)</w:t>
      </w:r>
    </w:p>
    <w:p>
      <w:pPr>
        <w:pStyle w:val="Heading2"/>
      </w:pPr>
      <w:r>
        <w:t>Sommaire général du Fascicule XVIII</w:t>
      </w:r>
    </w:p>
    <w:tbl>
      <w:tblPr>
        <w:tblStyle w:val="LightGrid-Accent1"/>
        <w:tblW w:type="auto" w:w="0"/>
        <w:tblLook w:firstColumn="1" w:firstRow="1" w:lastColumn="0" w:lastRow="0" w:noHBand="0" w:noVBand="1" w:val="04A0"/>
      </w:tblPr>
      <w:tblGrid>
        <w:gridCol w:w="3118"/>
        <w:gridCol w:w="3118"/>
        <w:gridCol w:w="3118"/>
      </w:tblGrid>
      <w:tr>
        <w:tc>
          <w:tcPr>
            <w:tcW w:type="dxa" w:w="3118"/>
          </w:tcPr>
          <w:p>
            <w:r>
              <w:rPr>
                <w:b/>
                <w:sz w:val="20"/>
              </w:rPr>
              <w:t>Chapitre</w:t>
            </w:r>
          </w:p>
        </w:tc>
        <w:tc>
          <w:tcPr>
            <w:tcW w:type="dxa" w:w="3118"/>
          </w:tcPr>
          <w:p>
            <w:r>
              <w:rPr>
                <w:b/>
                <w:sz w:val="20"/>
              </w:rPr>
              <w:t>Sous-classes traitées</w:t>
            </w:r>
          </w:p>
        </w:tc>
        <w:tc>
          <w:tcPr>
            <w:tcW w:type="dxa" w:w="3118"/>
          </w:tcPr>
          <w:p>
            <w:r>
              <w:rPr>
                <w:b/>
                <w:sz w:val="20"/>
              </w:rPr>
              <w:t>Nombre de DCI</w:t>
            </w:r>
          </w:p>
        </w:tc>
      </w:tr>
      <w:tr>
        <w:tc>
          <w:tcPr>
            <w:tcW w:type="dxa" w:w="3118"/>
          </w:tcPr>
          <w:p>
            <w:r>
              <w:rPr>
                <w:sz w:val="20"/>
              </w:rPr>
              <w:t>171</w:t>
            </w:r>
          </w:p>
        </w:tc>
        <w:tc>
          <w:tcPr>
            <w:tcW w:type="dxa" w:w="3118"/>
          </w:tcPr>
          <w:p>
            <w:r>
              <w:rPr>
                <w:sz w:val="20"/>
              </w:rPr>
              <w:t>Immunosuppresseurs de transplantation</w:t>
            </w:r>
          </w:p>
        </w:tc>
        <w:tc>
          <w:tcPr>
            <w:tcW w:type="dxa" w:w="3118"/>
          </w:tcPr>
          <w:p>
            <w:r>
              <w:rPr>
                <w:sz w:val="20"/>
              </w:rPr>
              <w:t>5</w:t>
            </w:r>
          </w:p>
        </w:tc>
      </w:tr>
      <w:tr>
        <w:tc>
          <w:tcPr>
            <w:tcW w:type="dxa" w:w="3118"/>
          </w:tcPr>
          <w:p>
            <w:r>
              <w:rPr>
                <w:sz w:val="20"/>
              </w:rPr>
              <w:t>172</w:t>
            </w:r>
          </w:p>
        </w:tc>
        <w:tc>
          <w:tcPr>
            <w:tcW w:type="dxa" w:w="3118"/>
          </w:tcPr>
          <w:p>
            <w:r>
              <w:rPr>
                <w:sz w:val="20"/>
              </w:rPr>
              <w:t>Anticorps anti-rejet et immunoglobulines thérapeutiques</w:t>
            </w:r>
          </w:p>
        </w:tc>
        <w:tc>
          <w:tcPr>
            <w:tcW w:type="dxa" w:w="3118"/>
          </w:tcPr>
          <w:p>
            <w:r>
              <w:rPr>
                <w:sz w:val="20"/>
              </w:rPr>
              <w:t>3</w:t>
            </w:r>
          </w:p>
        </w:tc>
      </w:tr>
      <w:tr>
        <w:tc>
          <w:tcPr>
            <w:tcW w:type="dxa" w:w="3118"/>
          </w:tcPr>
          <w:p>
            <w:r>
              <w:rPr>
                <w:sz w:val="20"/>
              </w:rPr>
              <w:t>173</w:t>
            </w:r>
          </w:p>
        </w:tc>
        <w:tc>
          <w:tcPr>
            <w:tcW w:type="dxa" w:w="3118"/>
          </w:tcPr>
          <w:p>
            <w:r>
              <w:rPr>
                <w:sz w:val="20"/>
              </w:rPr>
              <w:t>Immunoglobulines spécifiques et substituts plasmatiques</w:t>
            </w:r>
          </w:p>
        </w:tc>
        <w:tc>
          <w:tcPr>
            <w:tcW w:type="dxa" w:w="3118"/>
          </w:tcPr>
          <w:p>
            <w:r>
              <w:rPr>
                <w:sz w:val="20"/>
              </w:rPr>
              <w:t>4</w:t>
            </w:r>
          </w:p>
        </w:tc>
      </w:tr>
      <w:tr>
        <w:tc>
          <w:tcPr>
            <w:tcW w:type="dxa" w:w="3118"/>
          </w:tcPr>
          <w:p>
            <w:r>
              <w:rPr>
                <w:sz w:val="20"/>
              </w:rPr>
              <w:t>174</w:t>
            </w:r>
          </w:p>
        </w:tc>
        <w:tc>
          <w:tcPr>
            <w:tcW w:type="dxa" w:w="3118"/>
          </w:tcPr>
          <w:p>
            <w:r>
              <w:rPr>
                <w:sz w:val="20"/>
              </w:rPr>
              <w:t>Vaccins</w:t>
            </w:r>
          </w:p>
        </w:tc>
        <w:tc>
          <w:tcPr>
            <w:tcW w:type="dxa" w:w="3118"/>
          </w:tcPr>
          <w:p>
            <w:r>
              <w:rPr>
                <w:sz w:val="20"/>
              </w:rPr>
              <w:t>7</w:t>
            </w:r>
          </w:p>
        </w:tc>
      </w:tr>
      <w:tr>
        <w:tc>
          <w:tcPr>
            <w:tcW w:type="dxa" w:w="3118"/>
          </w:tcPr>
          <w:p>
            <w:r>
              <w:rPr>
                <w:sz w:val="20"/>
              </w:rPr>
              <w:t>**Total**</w:t>
            </w:r>
          </w:p>
        </w:tc>
        <w:tc>
          <w:tcPr>
            <w:tcW w:type="dxa" w:w="3118"/>
          </w:tcPr>
          <w:p>
            <w:r>
              <w:rPr>
                <w:sz w:val="20"/>
              </w:rPr>
            </w:r>
          </w:p>
        </w:tc>
        <w:tc>
          <w:tcPr>
            <w:tcW w:type="dxa" w:w="3118"/>
          </w:tcPr>
          <w:p>
            <w:r>
              <w:rPr>
                <w:sz w:val="20"/>
              </w:rPr>
              <w:t>**19**</w:t>
            </w:r>
          </w:p>
        </w:tc>
      </w:tr>
    </w:tbl>
    <w:p/>
    <w:p>
      <w:pPr>
        <w:pStyle w:val="Heading1"/>
      </w:pPr>
      <w:r>
        <w:t>Chapitre 171 — Immunosuppresseurs de transplantation</w:t>
      </w:r>
    </w:p>
    <w:p>
      <w:pPr>
        <w:pStyle w:val="Heading2"/>
      </w:pPr>
      <w:r>
        <w:t>Fascicule XVIII — Immunologie / Transplantation</w:t>
      </w:r>
    </w:p>
    <w:p>
      <w:pPr>
        <w:pStyle w:val="Heading2"/>
      </w:pPr>
      <w:r>
        <w:t>171.0 Introduction au chapitre 171</w:t>
      </w:r>
    </w:p>
    <w:p>
      <w:r>
        <w:t>La transplantation d'organes représente l'une des avancées médicales majeures du XXᵉ siècle, et son succès à long terme est entièrement subordonné à la maîtrise pharmacologique des immunosuppresseurs. Le chapitre 171 du Livre de Pharmacologie Clinique est consacré aux cinq dénominations communes internationales (DCI) qui constituent le socle thérapeutique de la prévention du rejet de greffe en Algérie. Ces molécules se répartissent en trois grandes sous-classes pharmacologiques : les inhibiteurs de la calcineurine (ciclosporine, tacrolimus), les inhibiteurs de mTOR (sirolimus, everolimus) et les antimétabolites inhibiteurs de la synthèse des purines (mycophénolate mofétil).</w:t>
      </w:r>
    </w:p>
    <w:p>
      <w:r>
        <w:t xml:space="preserve">L'histoire de l'immunosuppression commence véritablement en 1976 avec la découverte par Jean-François Borel, chercheur chez Sandoz (devenu Novartis), des propriétés immunosuppressives de la ciclosporine, un peptide cyclique lipophile isolé du champignon </w:t>
      </w:r>
      <w:r>
        <w:rPr>
          <w:i/>
        </w:rPr>
        <w:t>Tolypocladium inflatum</w:t>
      </w:r>
      <w:r>
        <w:t xml:space="preserve">. Cette découverte a transformé la transplantation rénale d'une intervention expérimentale à une thérapeutique de routine, en faisant passer la survie du greffon à un an de 50 % à plus de 80 %. La ciclosporine a ensuite été surpassée par le tacrolimus (FK506), macrolide produit par </w:t>
      </w:r>
      <w:r>
        <w:rPr>
          <w:i/>
        </w:rPr>
        <w:t>Streptomyces tsukubaensis</w:t>
      </w:r>
      <w:r>
        <w:t xml:space="preserve">, découvert en 1984 par Fujisawa et devenu l'immunosuppresseur de référence dans la plupart des protocoles modernes. En parallèle, le sirolimus (rapamycine), isolé de </w:t>
      </w:r>
      <w:r>
        <w:rPr>
          <w:i/>
        </w:rPr>
        <w:t>Streptomyces hygroscopicus</w:t>
      </w:r>
      <w:r>
        <w:t xml:space="preserve"> de l'île de Pâques (Rapa Nui), a introduit une nouvelle classe : les inhibiteurs de mTOR, qui n'agissent pas sur la calcineurine mais sur la voie de signalisation proliférative downstream. L'everolimus, dérivé 40-O-(2-hydroxyéthyl) du sirolimus, a amélioré la biodisponibilité et réduit la demi-vie, permettant une administration biquotidienne. Le mycophénolate mofétil, prodrogue de l'acide mycophénolique initialement décrit comme antibiotique en 1896 puis redécouvert comme immunosuppresseur par Syntex dans les années 1990, a remplacé l'azathioprine comme antimétabolite de référence.</w:t>
      </w:r>
    </w:p>
    <w:p>
      <w:r>
        <w:t>Sur le plan physiopathologique, le rejet de greffe est médié par deux voies principales : le rejet cellulaire T-dépendant (lymphocytes T CD4+ et CD8+ activés par reconnaissance directe et indirecte des antigènes HLA du donneur) et le rejet humoral (lymphocytes B, plasmocytes, anticorps anti-HLA donneur-spécifiques, DSA). Les immunosuppresseurs de ce chapitre ciblent préférentiellement la voie cellulaire T-dépendante : les inhibiteurs de la calcineurine bloquent la transcription du gène de l'IL-2, les inhibiteurs de mTOR bloquent la réponse proliférative à l'IL-2, et le mycophénolate bloque la synthèse des nucléotides puriques nécessaires à la prolifération lymphocytaire. La stratégie thérapeutique moderne repose sur une trithérapie d'induction (anticorps anti-IL2R ou antithymocytes) suivie d'une trithérapie d'entretien (inhibiteur calcineurine + antimétabolite + corticoïde), avec parfois conversion vers un inhibiteur mTOR en cas de néphrotoxicité ou de cancer.</w:t>
      </w:r>
    </w:p>
    <w:p>
      <w:r>
        <w:t>La prescription de ces molécules est exclusivement réservée aux médecins spécialistes en transplantation (néphrologues, hépatologues, cardiologues, pneumologues) et s'effectue dans le cadre de protocoles rigoureux. Le suivi thérapeutique pharmacologique (STP) y est obligatoire : la fenêtre thérapeutique est étroite, et le sous-dosage expose au rejet aigu tandis que le surdosage induit néphrotoxicité, infections, diabète et cancers. En Algérie, le marché pharmaceutique dispose de plusieurs spécialités, essentiellement sous génériques (Imusporin, Tacrolimus Cinfa, TIM, MMF, Phenocept, Everolimus-Saidal, Everbliss, Evroliphal) aux côtés des princeps historiques (Sandimmun Neoral, Prograf, Cellcept retiré, Rapamune, Afinitor). La dispensation hospitalière est la règle pour la transplantation, mais le suivi au comptoir de ville est crucial pour le pharmacien d'officine qui doit connaître les interactions, les effets indésirables, la surveillance des taux résiduels et les particularités de chacun.</w:t>
      </w:r>
    </w:p>
    <w:p>
      <w:pPr>
        <w:pStyle w:val="Heading2"/>
      </w:pPr>
      <w:r>
        <w:t>171.1 Sous-classe : Inhibiteurs de la calcineurine</w:t>
      </w:r>
    </w:p>
    <w:p>
      <w:r>
        <w:t xml:space="preserve">Les inhibiteurs de la calcineurine (ICN) constituent la pierre angulaire des protocoles d'immunosuppression de transplantation depuis la découverte de la ciclosporine en 1976. Cette sous-classe comprend deux molécules aux structures chimiques différentes mais au mécanisme d'action convergent : la ciclosporine (cyclosporine A, CsA), peptide cyclique de 11 acides aminés (heptapeptide cyclique lipophile) isolé de </w:t>
      </w:r>
      <w:r>
        <w:rPr>
          <w:i/>
        </w:rPr>
        <w:t>Tolypocladium inflatum</w:t>
      </w:r>
      <w:r>
        <w:t xml:space="preserve">, et le tacrolimus (FK506), macrolide lactonique de 23 atomes isolé de </w:t>
      </w:r>
      <w:r>
        <w:rPr>
          <w:i/>
        </w:rPr>
        <w:t>Streptomyces tsukubaensis</w:t>
      </w:r>
      <w:r>
        <w:t>. Malgré des structures chimiques sans parenté, ces deux molécules partagent une cible commune : la calcineurine, une sérine/thréonine phosphatase calcium- et calmoduline-dépendante (PP2B), qui joue un rôle pivot dans la signalisation T.</w:t>
      </w:r>
    </w:p>
    <w:p>
      <w:r>
        <w:t>Le mécanisme moléculaire repose sur le concept d'immunophilines. La ciclosporine se lie à la cyclophiline A (CyPA), une peptidyl-prolyl isomérase (PPIase) cytosolique de la famille des immunophilines, formant un complexe CsA-CyPA qui se fixe ensuite de manière stœchiométrique à la calcineurine et l'inhibe. Le tacrolimus se lie quant à lui à la FKBP12 (FK506-binding protein 12, également PPIase), formant un complexe FK506-FKBP12 qui inhibe la calcineurine par un mécanisme similaire mais sur un site de liaison différent. Il existe un troisième membre conceptuel, le pimecrolimus, mais il n'est utilisé qu'en dermatologie topique (dermatite atopique) et ne fait pas partie de ce chapitre. La conséquence finale commune est l'inhibition de la déphosphorylation de NF-ATc (Nuclear Factor of Activated T cells, cytoplasmic), qui ne peut alors pas transloquer dans le noyau. Sans NF-ATc nucléaire, la transcription du gène de l'interleukine-2 (IL-2) — cytokine autocrine et paracrine essentielle à la prolifération et à la différenciation des lymphocytes T activés — est drastiquement réduite. La ciclosporine et le tacrolimus inhibent également la transcription d'autres cytokines T (IL-4, IFN-γ, TNF-α) et de certains gènes activateurs (COX-2, GM-CSF).</w:t>
      </w:r>
    </w:p>
    <w:p>
      <w:r>
        <w:t>Le profil pharmacocinétique des ICN est dominé par une absorption orale erratique et variable inter-individuelle (liaison au CYP3A4 intestinal et efflux par la P-glycoprotéine), une métabolisation hépatique quasi-exclusive par le CYP3A4/5 (avec de nombreux métabolites inactifs mais certains actifs), une élimination biliaire prédominante, et une demi-vie d'élimination de 6 à 20 heures imposant une administration biquotidienne. La biodisponibilité orale est de 30 % pour la ciclosporine (microémulsion) et 20 % pour le tacrolimus. Les deux molécules sont caractérisées par une relation exposition-effets et exposition-toxicité étroite, ce qui impose le suivi thérapeutique pharmacologique (STP) avec mesure des concentrations résiduelles (C0) et, pour la ciclosporine, parfois des concentrations 2 heures après la prise (C2).</w:t>
      </w:r>
    </w:p>
    <w:p>
      <w:r>
        <w:t>Les effets indésirables communs aux deux ICN comprennent la néphrotoxicité (vasoconstriction de l'artériole afférente glomérulaire, libération d'endothéline, baisse du débit de filtration glomérulaire, néphropathie tubulo-interstitielle chronique avec fibrose striée), l'hypertension artérielle (vasoconstriction systémique, rétention sodée), l'hyperkaliémie (inhibition de la réabsorption tubulaire distale), les infections opportunistes (CMV, BK virus, candidose, Pneumocystis), et l'augmentation de l'incidence de certains cancers (lymphomes EBV-induced post-transplantation, carcinomes cutanés, sarcomes de Kaposi). La ciclosporine se distingue par une hyperuricémie (goutte post-transplantation), une hypertrichose et une hypertrophie gingivale. Le tacrolimus se distingue par sa diabétogénicité (toxicité des cellules β pancréatiques, baisse de l'insulinosécrétion), sa neurotoxicité (tremblements fins des extrémités, céphalées, parfois crises convulsives ou leucoencéphalopathie postérieure réversible), et son induction d'alopécie et de diarrhée.</w:t>
      </w:r>
    </w:p>
    <w:p>
      <w:r>
        <w:t>Les interactions médicamenteuses sont majeures et reposent principalement sur le métabolisme CYP3A4 et le transport P-gp. Les inducteurs du CYP3A4 (rifampicine, rifabutine, phénytoïne, carbamazépine, phénobarbital, millepertuis) diminuent les taux et exposent au rejet ; les inhibiteurs du CYP3A4 (azolés antifongiques, macrolides, inhibiteurs de protéase HIV, diltiazem, vérapamil, pamplemousse) augmentent les taux et exposent à la toxicité. Toute introduction ou arrêt d'un médicament chez un patient greffé doit faire envisager un dosage de la concentration résiduelle de l'ICN à 48-72 heures.</w:t>
      </w:r>
    </w:p>
    <w:p>
      <w:r>
        <w:t>En Algérie, les spécialités disponibles sont dominées par les génériques : pour la ciclosporine, Imusporin (Cipla) et Sandimmun Neoral (Novartis princeps) coexistent avec Ciclaid (Inpha-Medis) en solution buvable 100 mg/mL ; pour le tacrolimus, Tacrolimus Cinfa (Cinfa) et TIM (Inpha-Medis) sont les gélules disponibles, le princeps Prograf (Hikma/anciennement Astellas) étant non renouvelable. La surveillance biologique (taux résiduel, fonction rénale, glycémie, kaliémie, signes infectieux) est un impératif du suivi mensuel en transplantation.</w:t>
      </w:r>
    </w:p>
    <w:p>
      <w:pPr>
        <w:pStyle w:val="Heading3"/>
      </w:pPr>
      <w:r>
        <w:t>171.1.1 Ciclosporine (usage transplantation)</w:t>
      </w:r>
    </w:p>
    <w:p>
      <w:pPr>
        <w:pStyle w:val="Heading4"/>
      </w:pPr>
      <w:r>
        <w:t>171.1.1.1 Catégories pharmaco-thérapeutiques et indications</w:t>
      </w:r>
    </w:p>
    <w:p>
      <w:r>
        <w:t>La ciclosporine (DCI : ciclosporine ; cyclosporine A) est classée en pharmacologie selon les rubriques suivantes :</w:t>
      </w:r>
    </w:p>
    <w:p>
      <w:pPr>
        <w:pStyle w:val="ListBullet"/>
      </w:pPr>
      <w:r/>
      <w:r>
        <w:rPr>
          <w:b/>
        </w:rPr>
        <w:t>Code ATC</w:t>
      </w:r>
      <w:r>
        <w:t xml:space="preserve"> : L04AD01 (immunosuppresseurs — inhibiteurs de la calcineurine).</w:t>
      </w:r>
    </w:p>
    <w:p>
      <w:pPr>
        <w:pStyle w:val="ListBullet"/>
      </w:pPr>
      <w:r/>
      <w:r>
        <w:rPr>
          <w:b/>
        </w:rPr>
        <w:t>Classification thérapeutique</w:t>
      </w:r>
      <w:r>
        <w:t xml:space="preserve"> : immunosuppresseur sélectif de la signalisation T.</w:t>
      </w:r>
    </w:p>
    <w:p>
      <w:pPr>
        <w:pStyle w:val="ListBullet"/>
      </w:pPr>
      <w:r/>
      <w:r>
        <w:rPr>
          <w:b/>
        </w:rPr>
        <w:t>Classe chimique</w:t>
      </w:r>
      <w:r>
        <w:t xml:space="preserve"> : peptide cyclique de 11 acides aminés (heptapeptide), lipophile, d'origine fongique (*Tolypocladium inflatum* / *Beauveria nivea*).</w:t>
      </w:r>
    </w:p>
    <w:p>
      <w:pPr>
        <w:pStyle w:val="ListBullet"/>
      </w:pPr>
      <w:r/>
      <w:r>
        <w:rPr>
          <w:b/>
        </w:rPr>
        <w:t>Statut réglementaire Algérie</w:t>
      </w:r>
      <w:r>
        <w:t xml:space="preserve"> : Liste I, prescription réservée aux spécialistes en transplantation, en dermatologie (psoriasis) ou en ophtalmologie (kératite sèche sévère).</w:t>
      </w:r>
    </w:p>
    <w:p>
      <w:pPr>
        <w:pStyle w:val="ListBullet"/>
      </w:pPr>
      <w:r/>
      <w:r>
        <w:rPr>
          <w:b/>
        </w:rPr>
        <w:t>Grossesse</w:t>
      </w:r>
      <w:r>
        <w:t xml:space="preserve"> : contre-indiquée en dehors de situations vitales (données CRAT : tératogénicité suspectée, synergie avec le mycophénolate proscrite).</w:t>
      </w:r>
    </w:p>
    <w:p>
      <w:r>
        <w:t>Indications principales :</w:t>
      </w:r>
    </w:p>
    <w:p>
      <w:pPr>
        <w:pStyle w:val="ListNumber"/>
      </w:pPr>
      <w:r/>
      <w:r>
        <w:rPr>
          <w:b/>
        </w:rPr>
        <w:t>Transplantation d'organe</w:t>
      </w:r>
      <w:r>
        <w:t xml:space="preserve"> : prévention du rejet de greffe (rein, foie, cœur, poumon, pancréas, intestin, bloc abdominal) en association avec un antimétabolite et un corticoïde (parfois avec induction par anticorps anti-IL2R ou antithymoglobulines). La ciclosporine a longtemps été la pierre angulaire, mais elle est aujourd'hui supplantée par le tacrolimus dans la plupart des protocoles modernes de transplantation hépatique et rénale.</w:t>
      </w:r>
    </w:p>
    <w:p>
      <w:pPr>
        <w:pStyle w:val="ListNumber"/>
      </w:pPr>
      <w:r/>
      <w:r>
        <w:rPr>
          <w:b/>
        </w:rPr>
        <w:t>Transplantation de moelle osseuse / cellules souches hématopoïétiques</w:t>
      </w:r>
      <w:r>
        <w:t xml:space="preserve"> : prophylaxie et traitement de la maladie du greffon contre l'hôte (GVH, GVHD) aiguë et chronique.</w:t>
      </w:r>
    </w:p>
    <w:p>
      <w:pPr>
        <w:pStyle w:val="ListNumber"/>
      </w:pPr>
      <w:r/>
      <w:r>
        <w:rPr>
          <w:b/>
        </w:rPr>
        <w:t>Dermatologie</w:t>
      </w:r>
      <w:r>
        <w:t xml:space="preserve"> : psoriasis grave, invalidant, résistant aux traitements classiques (PUVAthérapie, rétinoïdes, méthotrexate) en deuxième intention ; dermatite atopique sévère de l'adulte (usage hors AMM en France, AMM ophtalmique pour Restasis).</w:t>
      </w:r>
    </w:p>
    <w:p>
      <w:pPr>
        <w:pStyle w:val="ListNumber"/>
      </w:pPr>
      <w:r/>
      <w:r>
        <w:rPr>
          <w:b/>
        </w:rPr>
        <w:t>Ophtalmologie</w:t>
      </w:r>
      <w:r>
        <w:t xml:space="preserve"> : kératoconjonctivite sèche sévère (syndrome de Gougerot-Sjögren) résistant aux substituts lacrymaux classiques, sous forme d'émulsion ophtalmique (Restasis 0,05 %).</w:t>
      </w:r>
    </w:p>
    <w:p>
      <w:pPr>
        <w:pStyle w:val="ListNumber"/>
      </w:pPr>
      <w:r/>
      <w:r>
        <w:rPr>
          <w:b/>
        </w:rPr>
        <w:t>Néphrologie non transplantologique</w:t>
      </w:r>
      <w:r>
        <w:t xml:space="preserve"> : néphrose (syndrome néphrotique idiopathique corticorésistant ou corticodépendant), néphropathie à IgA en poussée, néphropathie lupique membraneuse (hors AMM).</w:t>
      </w:r>
    </w:p>
    <w:p>
      <w:pPr>
        <w:pStyle w:val="ListNumber"/>
      </w:pPr>
      <w:r/>
      <w:r>
        <w:rPr>
          <w:b/>
        </w:rPr>
        <w:t>Rhumatologie</w:t>
      </w:r>
      <w:r>
        <w:t xml:space="preserve"> : polyarthrite rhumatoïde active sévère de l'adulte en cas de réponse inadéquate au méthotrexate (deuxième intention ; largement supplantée par les biothérapies).</w:t>
      </w:r>
    </w:p>
    <w:p>
      <w:pPr>
        <w:pStyle w:val="ListNumber"/>
      </w:pPr>
      <w:r/>
      <w:r>
        <w:rPr>
          <w:b/>
        </w:rPr>
        <w:t>Hépatologie</w:t>
      </w:r>
      <w:r>
        <w:t xml:space="preserve"> : cirrhose biliaire primitive (cholangite biliaire primitive) au stade précoce (alternative à l'acide ursodésoxycholique, sous surveillance stricte de la fonction rénale en raison de la néphrotoxicité).</w:t>
      </w:r>
    </w:p>
    <w:p>
      <w:pPr>
        <w:pStyle w:val="ListNumber"/>
      </w:pPr>
      <w:r/>
      <w:r>
        <w:rPr>
          <w:b/>
        </w:rPr>
        <w:t>Gastro-entérologie</w:t>
      </w:r>
      <w:r>
        <w:t xml:space="preserve"> : maladie de Crohn active fistulisante ou corticorésistante (deuxième intention, hors AMM).</w:t>
      </w:r>
    </w:p>
    <w:p>
      <w:r>
        <w:t>En transplantation, la ciclosporine est aujourd'hui principalement utilisée comme alternative au tacrolimus lorsque celui-ci est mal toléré (diabète post-transplantation, neurotoxicité sévère), en particulier dans les transplantations rénales pédiatriques et dans certaines situations de dermatite atopique sévère.</w:t>
      </w:r>
    </w:p>
    <w:p>
      <w:pPr>
        <w:pStyle w:val="Heading4"/>
      </w:pPr>
      <w:r>
        <w:t>171.1.1.2 Médicaments disponibles en Algérie</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IMUSPORIN 25</w:t>
            </w:r>
          </w:p>
        </w:tc>
        <w:tc>
          <w:tcPr>
            <w:tcW w:type="dxa" w:w="1559"/>
          </w:tcPr>
          <w:p>
            <w:r>
              <w:rPr>
                <w:sz w:val="20"/>
              </w:rPr>
              <w:t>CIPLA LIMITED</w:t>
            </w:r>
          </w:p>
        </w:tc>
        <w:tc>
          <w:tcPr>
            <w:tcW w:type="dxa" w:w="1559"/>
          </w:tcPr>
          <w:p>
            <w:r>
              <w:rPr>
                <w:sz w:val="20"/>
              </w:rPr>
              <w:t>Capsule molle 25 mg</w:t>
            </w:r>
          </w:p>
        </w:tc>
        <w:tc>
          <w:tcPr>
            <w:tcW w:type="dxa" w:w="1559"/>
          </w:tcPr>
          <w:p>
            <w:r>
              <w:rPr>
                <w:sz w:val="20"/>
              </w:rPr>
              <w:t>B/50</w:t>
            </w:r>
          </w:p>
        </w:tc>
        <w:tc>
          <w:tcPr>
            <w:tcW w:type="dxa" w:w="1559"/>
          </w:tcPr>
          <w:p>
            <w:r>
              <w:rPr>
                <w:sz w:val="20"/>
              </w:rPr>
              <w:t>Liste I</w:t>
            </w:r>
          </w:p>
        </w:tc>
        <w:tc>
          <w:tcPr>
            <w:tcW w:type="dxa" w:w="1559"/>
          </w:tcPr>
          <w:p>
            <w:r>
              <w:rPr>
                <w:sz w:val="20"/>
              </w:rPr>
              <w:t>Actif</w:t>
            </w:r>
          </w:p>
        </w:tc>
      </w:tr>
      <w:tr>
        <w:tc>
          <w:tcPr>
            <w:tcW w:type="dxa" w:w="1559"/>
          </w:tcPr>
          <w:p>
            <w:r>
              <w:rPr>
                <w:sz w:val="20"/>
              </w:rPr>
              <w:t>IMUSPORIN 50</w:t>
            </w:r>
          </w:p>
        </w:tc>
        <w:tc>
          <w:tcPr>
            <w:tcW w:type="dxa" w:w="1559"/>
          </w:tcPr>
          <w:p>
            <w:r>
              <w:rPr>
                <w:sz w:val="20"/>
              </w:rPr>
              <w:t>CIPLA LIMITED</w:t>
            </w:r>
          </w:p>
        </w:tc>
        <w:tc>
          <w:tcPr>
            <w:tcW w:type="dxa" w:w="1559"/>
          </w:tcPr>
          <w:p>
            <w:r>
              <w:rPr>
                <w:sz w:val="20"/>
              </w:rPr>
              <w:t>Capsule molle 50 mg</w:t>
            </w:r>
          </w:p>
        </w:tc>
        <w:tc>
          <w:tcPr>
            <w:tcW w:type="dxa" w:w="1559"/>
          </w:tcPr>
          <w:p>
            <w:r>
              <w:rPr>
                <w:sz w:val="20"/>
              </w:rPr>
              <w:t>B/50</w:t>
            </w:r>
          </w:p>
        </w:tc>
        <w:tc>
          <w:tcPr>
            <w:tcW w:type="dxa" w:w="1559"/>
          </w:tcPr>
          <w:p>
            <w:r>
              <w:rPr>
                <w:sz w:val="20"/>
              </w:rPr>
              <w:t>Liste I</w:t>
            </w:r>
          </w:p>
        </w:tc>
        <w:tc>
          <w:tcPr>
            <w:tcW w:type="dxa" w:w="1559"/>
          </w:tcPr>
          <w:p>
            <w:r>
              <w:rPr>
                <w:sz w:val="20"/>
              </w:rPr>
              <w:t>Actif</w:t>
            </w:r>
          </w:p>
        </w:tc>
      </w:tr>
      <w:tr>
        <w:tc>
          <w:tcPr>
            <w:tcW w:type="dxa" w:w="1559"/>
          </w:tcPr>
          <w:p>
            <w:r>
              <w:rPr>
                <w:sz w:val="20"/>
              </w:rPr>
              <w:t>RESTASIS</w:t>
            </w:r>
          </w:p>
        </w:tc>
        <w:tc>
          <w:tcPr>
            <w:tcW w:type="dxa" w:w="1559"/>
          </w:tcPr>
          <w:p>
            <w:r>
              <w:rPr>
                <w:sz w:val="20"/>
              </w:rPr>
              <w:t>ABBVIE INC</w:t>
            </w:r>
          </w:p>
        </w:tc>
        <w:tc>
          <w:tcPr>
            <w:tcW w:type="dxa" w:w="1559"/>
          </w:tcPr>
          <w:p>
            <w:r>
              <w:rPr>
                <w:sz w:val="20"/>
              </w:rPr>
              <w:t>Émulsion ophtalmique 0,0005 % (0,05 mg/mL)</w:t>
            </w:r>
          </w:p>
        </w:tc>
        <w:tc>
          <w:tcPr>
            <w:tcW w:type="dxa" w:w="1559"/>
          </w:tcPr>
          <w:p>
            <w:r>
              <w:rPr>
                <w:sz w:val="20"/>
              </w:rPr>
              <w:t>B/30 flacons unidose 0,4 mL</w:t>
            </w:r>
          </w:p>
        </w:tc>
        <w:tc>
          <w:tcPr>
            <w:tcW w:type="dxa" w:w="1559"/>
          </w:tcPr>
          <w:p>
            <w:r>
              <w:rPr>
                <w:sz w:val="20"/>
              </w:rPr>
              <w:t>Liste I</w:t>
            </w:r>
          </w:p>
        </w:tc>
        <w:tc>
          <w:tcPr>
            <w:tcW w:type="dxa" w:w="1559"/>
          </w:tcPr>
          <w:p>
            <w:r>
              <w:rPr>
                <w:sz w:val="20"/>
              </w:rPr>
              <w:t>Actif</w:t>
            </w:r>
          </w:p>
        </w:tc>
      </w:tr>
      <w:tr>
        <w:tc>
          <w:tcPr>
            <w:tcW w:type="dxa" w:w="1559"/>
          </w:tcPr>
          <w:p>
            <w:r>
              <w:rPr>
                <w:sz w:val="20"/>
              </w:rPr>
              <w:t>CICLAID</w:t>
            </w:r>
          </w:p>
        </w:tc>
        <w:tc>
          <w:tcPr>
            <w:tcW w:type="dxa" w:w="1559"/>
          </w:tcPr>
          <w:p>
            <w:r>
              <w:rPr>
                <w:sz w:val="20"/>
              </w:rPr>
              <w:t>INPHA-MEDIS</w:t>
            </w:r>
          </w:p>
        </w:tc>
        <w:tc>
          <w:tcPr>
            <w:tcW w:type="dxa" w:w="1559"/>
          </w:tcPr>
          <w:p>
            <w:r>
              <w:rPr>
                <w:sz w:val="20"/>
              </w:rPr>
              <w:t>Solution buvable 100 mg/mL</w:t>
            </w:r>
          </w:p>
        </w:tc>
        <w:tc>
          <w:tcPr>
            <w:tcW w:type="dxa" w:w="1559"/>
          </w:tcPr>
          <w:p>
            <w:r>
              <w:rPr>
                <w:sz w:val="20"/>
              </w:rPr>
              <w:t>B/1 flacon 50 mL + seringue graduée 0,05 mL et 0,1 mL</w:t>
            </w:r>
          </w:p>
        </w:tc>
        <w:tc>
          <w:tcPr>
            <w:tcW w:type="dxa" w:w="1559"/>
          </w:tcPr>
          <w:p>
            <w:r>
              <w:rPr>
                <w:sz w:val="20"/>
              </w:rPr>
              <w:t>Liste I</w:t>
            </w:r>
          </w:p>
        </w:tc>
        <w:tc>
          <w:tcPr>
            <w:tcW w:type="dxa" w:w="1559"/>
          </w:tcPr>
          <w:p>
            <w:r>
              <w:rPr>
                <w:sz w:val="20"/>
              </w:rPr>
              <w:t>Actif</w:t>
            </w:r>
          </w:p>
        </w:tc>
      </w:tr>
      <w:tr>
        <w:tc>
          <w:tcPr>
            <w:tcW w:type="dxa" w:w="1559"/>
          </w:tcPr>
          <w:p>
            <w:r>
              <w:rPr>
                <w:sz w:val="20"/>
              </w:rPr>
              <w:t>SANDIMMUN NEORAL</w:t>
            </w:r>
          </w:p>
        </w:tc>
        <w:tc>
          <w:tcPr>
            <w:tcW w:type="dxa" w:w="1559"/>
          </w:tcPr>
          <w:p>
            <w:r>
              <w:rPr>
                <w:sz w:val="20"/>
              </w:rPr>
              <w:t>NOVARTIS PHARMA SCHWEIZ AG</w:t>
            </w:r>
          </w:p>
        </w:tc>
        <w:tc>
          <w:tcPr>
            <w:tcW w:type="dxa" w:w="1559"/>
          </w:tcPr>
          <w:p>
            <w:r>
              <w:rPr>
                <w:sz w:val="20"/>
              </w:rPr>
              <w:t>Solution buvable 100 mg/mL</w:t>
            </w:r>
          </w:p>
        </w:tc>
        <w:tc>
          <w:tcPr>
            <w:tcW w:type="dxa" w:w="1559"/>
          </w:tcPr>
          <w:p>
            <w:r>
              <w:rPr>
                <w:sz w:val="20"/>
              </w:rPr>
              <w:t>Flacon 50 mL + seringue 1 mL + seringue 4 mL</w:t>
            </w:r>
          </w:p>
        </w:tc>
        <w:tc>
          <w:tcPr>
            <w:tcW w:type="dxa" w:w="1559"/>
          </w:tcPr>
          <w:p>
            <w:r>
              <w:rPr>
                <w:sz w:val="20"/>
              </w:rPr>
              <w:t>Liste I</w:t>
            </w:r>
          </w:p>
        </w:tc>
        <w:tc>
          <w:tcPr>
            <w:tcW w:type="dxa" w:w="1559"/>
          </w:tcPr>
          <w:p>
            <w:r>
              <w:rPr>
                <w:sz w:val="20"/>
              </w:rPr>
              <w:t>Actif</w:t>
            </w:r>
          </w:p>
        </w:tc>
      </w:tr>
      <w:tr>
        <w:tc>
          <w:tcPr>
            <w:tcW w:type="dxa" w:w="1559"/>
          </w:tcPr>
          <w:p>
            <w:r>
              <w:rPr>
                <w:sz w:val="20"/>
              </w:rPr>
              <w:t>SANDIMMUN NEORAL</w:t>
            </w:r>
          </w:p>
        </w:tc>
        <w:tc>
          <w:tcPr>
            <w:tcW w:type="dxa" w:w="1559"/>
          </w:tcPr>
          <w:p>
            <w:r>
              <w:rPr>
                <w:sz w:val="20"/>
              </w:rPr>
              <w:t>NOVARTIS PHARMA SCHWEIZ AG</w:t>
            </w:r>
          </w:p>
        </w:tc>
        <w:tc>
          <w:tcPr>
            <w:tcW w:type="dxa" w:w="1559"/>
          </w:tcPr>
          <w:p>
            <w:r>
              <w:rPr>
                <w:sz w:val="20"/>
              </w:rPr>
              <w:t>Capsule molle 25 mg</w:t>
            </w:r>
          </w:p>
        </w:tc>
        <w:tc>
          <w:tcPr>
            <w:tcW w:type="dxa" w:w="1559"/>
          </w:tcPr>
          <w:p>
            <w:r>
              <w:rPr>
                <w:sz w:val="20"/>
              </w:rPr>
              <w:t>B/50</w:t>
            </w:r>
          </w:p>
        </w:tc>
        <w:tc>
          <w:tcPr>
            <w:tcW w:type="dxa" w:w="1559"/>
          </w:tcPr>
          <w:p>
            <w:r>
              <w:rPr>
                <w:sz w:val="20"/>
              </w:rPr>
              <w:t>Liste I</w:t>
            </w:r>
          </w:p>
        </w:tc>
        <w:tc>
          <w:tcPr>
            <w:tcW w:type="dxa" w:w="1559"/>
          </w:tcPr>
          <w:p>
            <w:r>
              <w:rPr>
                <w:sz w:val="20"/>
              </w:rPr>
              <w:t>Actif</w:t>
            </w:r>
          </w:p>
        </w:tc>
      </w:tr>
      <w:tr>
        <w:tc>
          <w:tcPr>
            <w:tcW w:type="dxa" w:w="1559"/>
          </w:tcPr>
          <w:p>
            <w:r>
              <w:rPr>
                <w:sz w:val="20"/>
              </w:rPr>
              <w:t>SANDIMMUN NEORAL</w:t>
            </w:r>
          </w:p>
        </w:tc>
        <w:tc>
          <w:tcPr>
            <w:tcW w:type="dxa" w:w="1559"/>
          </w:tcPr>
          <w:p>
            <w:r>
              <w:rPr>
                <w:sz w:val="20"/>
              </w:rPr>
              <w:t>NOVARTIS PHARMA SCHWEIZ AG</w:t>
            </w:r>
          </w:p>
        </w:tc>
        <w:tc>
          <w:tcPr>
            <w:tcW w:type="dxa" w:w="1559"/>
          </w:tcPr>
          <w:p>
            <w:r>
              <w:rPr>
                <w:sz w:val="20"/>
              </w:rPr>
              <w:t>Capsule molle 50 mg</w:t>
            </w:r>
          </w:p>
        </w:tc>
        <w:tc>
          <w:tcPr>
            <w:tcW w:type="dxa" w:w="1559"/>
          </w:tcPr>
          <w:p>
            <w:r>
              <w:rPr>
                <w:sz w:val="20"/>
              </w:rPr>
              <w:t>B/50</w:t>
            </w:r>
          </w:p>
        </w:tc>
        <w:tc>
          <w:tcPr>
            <w:tcW w:type="dxa" w:w="1559"/>
          </w:tcPr>
          <w:p>
            <w:r>
              <w:rPr>
                <w:sz w:val="20"/>
              </w:rPr>
              <w:t>Liste I</w:t>
            </w:r>
          </w:p>
        </w:tc>
        <w:tc>
          <w:tcPr>
            <w:tcW w:type="dxa" w:w="1559"/>
          </w:tcPr>
          <w:p>
            <w:r>
              <w:rPr>
                <w:sz w:val="20"/>
              </w:rPr>
              <w:t>Actif</w:t>
            </w:r>
          </w:p>
        </w:tc>
      </w:tr>
      <w:tr>
        <w:tc>
          <w:tcPr>
            <w:tcW w:type="dxa" w:w="1559"/>
          </w:tcPr>
          <w:p>
            <w:r>
              <w:rPr>
                <w:sz w:val="20"/>
              </w:rPr>
              <w:t>SANDIMMUN NEORAL</w:t>
            </w:r>
          </w:p>
        </w:tc>
        <w:tc>
          <w:tcPr>
            <w:tcW w:type="dxa" w:w="1559"/>
          </w:tcPr>
          <w:p>
            <w:r>
              <w:rPr>
                <w:sz w:val="20"/>
              </w:rPr>
              <w:t>NOVARTIS PHARMA SCHWEIZ AG</w:t>
            </w:r>
          </w:p>
        </w:tc>
        <w:tc>
          <w:tcPr>
            <w:tcW w:type="dxa" w:w="1559"/>
          </w:tcPr>
          <w:p>
            <w:r>
              <w:rPr>
                <w:sz w:val="20"/>
              </w:rPr>
              <w:t>Capsule molle 100 mg</w:t>
            </w:r>
          </w:p>
        </w:tc>
        <w:tc>
          <w:tcPr>
            <w:tcW w:type="dxa" w:w="1559"/>
          </w:tcPr>
          <w:p>
            <w:r>
              <w:rPr>
                <w:sz w:val="20"/>
              </w:rPr>
              <w:t>B/50</w:t>
            </w:r>
          </w:p>
        </w:tc>
        <w:tc>
          <w:tcPr>
            <w:tcW w:type="dxa" w:w="1559"/>
          </w:tcPr>
          <w:p>
            <w:r>
              <w:rPr>
                <w:sz w:val="20"/>
              </w:rPr>
              <w:t>Liste I</w:t>
            </w:r>
          </w:p>
        </w:tc>
        <w:tc>
          <w:tcPr>
            <w:tcW w:type="dxa" w:w="1559"/>
          </w:tcPr>
          <w:p>
            <w:r>
              <w:rPr>
                <w:sz w:val="20"/>
              </w:rPr>
              <w:t>Actif</w:t>
            </w:r>
          </w:p>
        </w:tc>
      </w:tr>
      <w:tr>
        <w:tc>
          <w:tcPr>
            <w:tcW w:type="dxa" w:w="1559"/>
          </w:tcPr>
          <w:p>
            <w:r>
              <w:rPr>
                <w:sz w:val="20"/>
              </w:rPr>
              <w:t>SANDIMMUN</w:t>
            </w:r>
          </w:p>
        </w:tc>
        <w:tc>
          <w:tcPr>
            <w:tcW w:type="dxa" w:w="1559"/>
          </w:tcPr>
          <w:p>
            <w:r>
              <w:rPr>
                <w:sz w:val="20"/>
              </w:rPr>
              <w:t>NOVARTIS PHARMA SCHWEIZ AG</w:t>
            </w:r>
          </w:p>
        </w:tc>
        <w:tc>
          <w:tcPr>
            <w:tcW w:type="dxa" w:w="1559"/>
          </w:tcPr>
          <w:p>
            <w:r>
              <w:rPr>
                <w:sz w:val="20"/>
              </w:rPr>
              <w:t>Concentré solution pour perfusion IV 50 mg/mL</w:t>
            </w:r>
          </w:p>
        </w:tc>
        <w:tc>
          <w:tcPr>
            <w:tcW w:type="dxa" w:w="1559"/>
          </w:tcPr>
          <w:p>
            <w:r>
              <w:rPr>
                <w:sz w:val="20"/>
              </w:rPr>
              <w:t>B/10 flacons 1 mL</w:t>
            </w:r>
          </w:p>
        </w:tc>
        <w:tc>
          <w:tcPr>
            <w:tcW w:type="dxa" w:w="1559"/>
          </w:tcPr>
          <w:p>
            <w:r>
              <w:rPr>
                <w:sz w:val="20"/>
              </w:rPr>
              <w:t>Liste I</w:t>
            </w:r>
          </w:p>
        </w:tc>
        <w:tc>
          <w:tcPr>
            <w:tcW w:type="dxa" w:w="1559"/>
          </w:tcPr>
          <w:p>
            <w:r>
              <w:rPr>
                <w:sz w:val="20"/>
              </w:rPr>
              <w:t>Actif</w:t>
            </w:r>
          </w:p>
        </w:tc>
      </w:tr>
      <w:tr>
        <w:tc>
          <w:tcPr>
            <w:tcW w:type="dxa" w:w="1559"/>
          </w:tcPr>
          <w:p>
            <w:r>
              <w:rPr>
                <w:sz w:val="20"/>
              </w:rPr>
              <w:t>EQUORAL</w:t>
            </w:r>
          </w:p>
        </w:tc>
        <w:tc>
          <w:tcPr>
            <w:tcW w:type="dxa" w:w="1559"/>
          </w:tcPr>
          <w:p>
            <w:r>
              <w:rPr>
                <w:sz w:val="20"/>
              </w:rPr>
              <w:t>IVAX PHARMACEUTICALS</w:t>
            </w:r>
          </w:p>
        </w:tc>
        <w:tc>
          <w:tcPr>
            <w:tcW w:type="dxa" w:w="1559"/>
          </w:tcPr>
          <w:p>
            <w:r>
              <w:rPr>
                <w:sz w:val="20"/>
              </w:rPr>
              <w:t>Solution buvable 100 mg/mL</w:t>
            </w:r>
          </w:p>
        </w:tc>
        <w:tc>
          <w:tcPr>
            <w:tcW w:type="dxa" w:w="1559"/>
          </w:tcPr>
          <w:p>
            <w:r>
              <w:rPr>
                <w:sz w:val="20"/>
              </w:rPr>
              <w:t>Flacon 50 mL</w:t>
            </w:r>
          </w:p>
        </w:tc>
        <w:tc>
          <w:tcPr>
            <w:tcW w:type="dxa" w:w="1559"/>
          </w:tcPr>
          <w:p>
            <w:r>
              <w:rPr>
                <w:sz w:val="20"/>
              </w:rPr>
              <w:t>Liste I</w:t>
            </w:r>
          </w:p>
        </w:tc>
        <w:tc>
          <w:tcPr>
            <w:tcW w:type="dxa" w:w="1559"/>
          </w:tcPr>
          <w:p>
            <w:r>
              <w:rPr>
                <w:sz w:val="20"/>
              </w:rPr>
              <w:t>Non renouvelable</w:t>
            </w:r>
          </w:p>
        </w:tc>
      </w:tr>
      <w:tr>
        <w:tc>
          <w:tcPr>
            <w:tcW w:type="dxa" w:w="1559"/>
          </w:tcPr>
          <w:p>
            <w:r>
              <w:rPr>
                <w:sz w:val="20"/>
              </w:rPr>
              <w:t>IMUSPORIN</w:t>
            </w:r>
          </w:p>
        </w:tc>
        <w:tc>
          <w:tcPr>
            <w:tcW w:type="dxa" w:w="1559"/>
          </w:tcPr>
          <w:p>
            <w:r>
              <w:rPr>
                <w:sz w:val="20"/>
              </w:rPr>
              <w:t>CIPLA LIMITED</w:t>
            </w:r>
          </w:p>
        </w:tc>
        <w:tc>
          <w:tcPr>
            <w:tcW w:type="dxa" w:w="1559"/>
          </w:tcPr>
          <w:p>
            <w:r>
              <w:rPr>
                <w:sz w:val="20"/>
              </w:rPr>
              <w:t>Solution buvable 100 mg/mL</w:t>
            </w:r>
          </w:p>
        </w:tc>
        <w:tc>
          <w:tcPr>
            <w:tcW w:type="dxa" w:w="1559"/>
          </w:tcPr>
          <w:p>
            <w:r>
              <w:rPr>
                <w:sz w:val="20"/>
              </w:rPr>
              <w:t>Flacon 50 mL</w:t>
            </w:r>
          </w:p>
        </w:tc>
        <w:tc>
          <w:tcPr>
            <w:tcW w:type="dxa" w:w="1559"/>
          </w:tcPr>
          <w:p>
            <w:r>
              <w:rPr>
                <w:sz w:val="20"/>
              </w:rPr>
              <w:t>Liste I</w:t>
            </w:r>
          </w:p>
        </w:tc>
        <w:tc>
          <w:tcPr>
            <w:tcW w:type="dxa" w:w="1559"/>
          </w:tcPr>
          <w:p>
            <w:r>
              <w:rPr>
                <w:sz w:val="20"/>
              </w:rPr>
              <w:t>Non renouvelable</w:t>
            </w:r>
          </w:p>
        </w:tc>
      </w:tr>
      <w:tr>
        <w:tc>
          <w:tcPr>
            <w:tcW w:type="dxa" w:w="1559"/>
          </w:tcPr>
          <w:p>
            <w:r>
              <w:rPr>
                <w:sz w:val="20"/>
              </w:rPr>
              <w:t>IMUSPORIN-100</w:t>
            </w:r>
          </w:p>
        </w:tc>
        <w:tc>
          <w:tcPr>
            <w:tcW w:type="dxa" w:w="1559"/>
          </w:tcPr>
          <w:p>
            <w:r>
              <w:rPr>
                <w:sz w:val="20"/>
              </w:rPr>
              <w:t>CIPLA LTD</w:t>
            </w:r>
          </w:p>
        </w:tc>
        <w:tc>
          <w:tcPr>
            <w:tcW w:type="dxa" w:w="1559"/>
          </w:tcPr>
          <w:p>
            <w:r>
              <w:rPr>
                <w:sz w:val="20"/>
              </w:rPr>
              <w:t>Capsule molle 100 mg</w:t>
            </w:r>
          </w:p>
        </w:tc>
        <w:tc>
          <w:tcPr>
            <w:tcW w:type="dxa" w:w="1559"/>
          </w:tcPr>
          <w:p>
            <w:r>
              <w:rPr>
                <w:sz w:val="20"/>
              </w:rPr>
              <w:t>B/50</w:t>
            </w:r>
          </w:p>
        </w:tc>
        <w:tc>
          <w:tcPr>
            <w:tcW w:type="dxa" w:w="1559"/>
          </w:tcPr>
          <w:p>
            <w:r>
              <w:rPr>
                <w:sz w:val="20"/>
              </w:rPr>
              <w:t>Liste I</w:t>
            </w:r>
          </w:p>
        </w:tc>
        <w:tc>
          <w:tcPr>
            <w:tcW w:type="dxa" w:w="1559"/>
          </w:tcPr>
          <w:p>
            <w:r>
              <w:rPr>
                <w:sz w:val="20"/>
              </w:rPr>
              <w:t>Non renouvelable</w:t>
            </w:r>
          </w:p>
        </w:tc>
      </w:tr>
      <w:tr>
        <w:tc>
          <w:tcPr>
            <w:tcW w:type="dxa" w:w="1559"/>
          </w:tcPr>
          <w:p>
            <w:r>
              <w:rPr>
                <w:sz w:val="20"/>
              </w:rPr>
              <w:t>EQUORAL</w:t>
            </w:r>
          </w:p>
        </w:tc>
        <w:tc>
          <w:tcPr>
            <w:tcW w:type="dxa" w:w="1559"/>
          </w:tcPr>
          <w:p>
            <w:r>
              <w:rPr>
                <w:sz w:val="20"/>
              </w:rPr>
              <w:t>IVAX PHARMACEUTICALS</w:t>
            </w:r>
          </w:p>
        </w:tc>
        <w:tc>
          <w:tcPr>
            <w:tcW w:type="dxa" w:w="1559"/>
          </w:tcPr>
          <w:p>
            <w:r>
              <w:rPr>
                <w:sz w:val="20"/>
              </w:rPr>
              <w:t>Capsules molles 25 mg</w:t>
            </w:r>
          </w:p>
        </w:tc>
        <w:tc>
          <w:tcPr>
            <w:tcW w:type="dxa" w:w="1559"/>
          </w:tcPr>
          <w:p>
            <w:r>
              <w:rPr>
                <w:sz w:val="20"/>
              </w:rPr>
              <w:t>B/50</w:t>
            </w:r>
          </w:p>
        </w:tc>
        <w:tc>
          <w:tcPr>
            <w:tcW w:type="dxa" w:w="1559"/>
          </w:tcPr>
          <w:p>
            <w:r>
              <w:rPr>
                <w:sz w:val="20"/>
              </w:rPr>
              <w:t>Liste I</w:t>
            </w:r>
          </w:p>
        </w:tc>
        <w:tc>
          <w:tcPr>
            <w:tcW w:type="dxa" w:w="1559"/>
          </w:tcPr>
          <w:p>
            <w:r>
              <w:rPr>
                <w:sz w:val="20"/>
              </w:rPr>
              <w:t>Retrait (R)</w:t>
            </w:r>
          </w:p>
        </w:tc>
      </w:tr>
      <w:tr>
        <w:tc>
          <w:tcPr>
            <w:tcW w:type="dxa" w:w="1559"/>
          </w:tcPr>
          <w:p>
            <w:r>
              <w:rPr>
                <w:sz w:val="20"/>
              </w:rPr>
              <w:t>EQUORAL</w:t>
            </w:r>
          </w:p>
        </w:tc>
        <w:tc>
          <w:tcPr>
            <w:tcW w:type="dxa" w:w="1559"/>
          </w:tcPr>
          <w:p>
            <w:r>
              <w:rPr>
                <w:sz w:val="20"/>
              </w:rPr>
              <w:t>IVAX PHARMACEUTICALS</w:t>
            </w:r>
          </w:p>
        </w:tc>
        <w:tc>
          <w:tcPr>
            <w:tcW w:type="dxa" w:w="1559"/>
          </w:tcPr>
          <w:p>
            <w:r>
              <w:rPr>
                <w:sz w:val="20"/>
              </w:rPr>
              <w:t>Capsules molles 50 mg</w:t>
            </w:r>
          </w:p>
        </w:tc>
        <w:tc>
          <w:tcPr>
            <w:tcW w:type="dxa" w:w="1559"/>
          </w:tcPr>
          <w:p>
            <w:r>
              <w:rPr>
                <w:sz w:val="20"/>
              </w:rPr>
              <w:t>B/50</w:t>
            </w:r>
          </w:p>
        </w:tc>
        <w:tc>
          <w:tcPr>
            <w:tcW w:type="dxa" w:w="1559"/>
          </w:tcPr>
          <w:p>
            <w:r>
              <w:rPr>
                <w:sz w:val="20"/>
              </w:rPr>
              <w:t>Liste I</w:t>
            </w:r>
          </w:p>
        </w:tc>
        <w:tc>
          <w:tcPr>
            <w:tcW w:type="dxa" w:w="1559"/>
          </w:tcPr>
          <w:p>
            <w:r>
              <w:rPr>
                <w:sz w:val="20"/>
              </w:rPr>
              <w:t>Retrait (R)</w:t>
            </w:r>
          </w:p>
        </w:tc>
      </w:tr>
      <w:tr>
        <w:tc>
          <w:tcPr>
            <w:tcW w:type="dxa" w:w="1559"/>
          </w:tcPr>
          <w:p>
            <w:r>
              <w:rPr>
                <w:sz w:val="20"/>
              </w:rPr>
              <w:t>EQUORAL</w:t>
            </w:r>
          </w:p>
        </w:tc>
        <w:tc>
          <w:tcPr>
            <w:tcW w:type="dxa" w:w="1559"/>
          </w:tcPr>
          <w:p>
            <w:r>
              <w:rPr>
                <w:sz w:val="20"/>
              </w:rPr>
              <w:t>IVAX PHARMACEUTICALS</w:t>
            </w:r>
          </w:p>
        </w:tc>
        <w:tc>
          <w:tcPr>
            <w:tcW w:type="dxa" w:w="1559"/>
          </w:tcPr>
          <w:p>
            <w:r>
              <w:rPr>
                <w:sz w:val="20"/>
              </w:rPr>
              <w:t>Capsules molles 100 mg</w:t>
            </w:r>
          </w:p>
        </w:tc>
        <w:tc>
          <w:tcPr>
            <w:tcW w:type="dxa" w:w="1559"/>
          </w:tcPr>
          <w:p>
            <w:r>
              <w:rPr>
                <w:sz w:val="20"/>
              </w:rPr>
              <w:t>B/50</w:t>
            </w:r>
          </w:p>
        </w:tc>
        <w:tc>
          <w:tcPr>
            <w:tcW w:type="dxa" w:w="1559"/>
          </w:tcPr>
          <w:p>
            <w:r>
              <w:rPr>
                <w:sz w:val="20"/>
              </w:rPr>
              <w:t>Liste I</w:t>
            </w:r>
          </w:p>
        </w:tc>
        <w:tc>
          <w:tcPr>
            <w:tcW w:type="dxa" w:w="1559"/>
          </w:tcPr>
          <w:p>
            <w:r>
              <w:rPr>
                <w:sz w:val="20"/>
              </w:rPr>
              <w:t>Retrait (R)</w:t>
            </w:r>
          </w:p>
        </w:tc>
      </w:tr>
    </w:tbl>
    <w:p/>
    <w:p>
      <w:r>
        <w:t>Le marché algérien de la ciclosporine est dominé par le princeps Sandimmun Neoral (Novartis), qui conserve la formulation de microémusion originale de référence, et par deux génériques : Imusporin (Cipla) en gélules 25/50 mg et Ciclaid (Inpha-Medis) en solution buvable 100 mg/mL. La forme IV (Sandimmun concentrate) reste disponible pour la période péri-opératoire immédiate (induction peropératoire), mais elle est aujourd'hui peu utilisée en raison de l'efficacité et de la tolérance supérieures du tacrolimus en transplantation hépatique. La forme ophtalmique Restasis (AbbVie) est inscrite pour le traitement de la sécheresse oculaire sévère. La marque Equoral (Ivax Pharmaceuticals) a été retirée du marché dans tous ses dosages, et Imusporin solution buvable et Imusporin-100 gélules ne sont plus renouvelées.</w:t>
      </w:r>
    </w:p>
    <w:p>
      <w:pPr>
        <w:pStyle w:val="Heading4"/>
      </w:pPr>
      <w:r>
        <w:t>171.1.1.3 Mécanisme d'action moléculaire, cellulaire et physiologique</w:t>
      </w:r>
    </w:p>
    <w:p>
      <w:r>
        <w:t>La ciclosporine exerce son effet immunosuppresseur par un mécanisme indirect, en deux étapes, faisant intervenir une immunophiline cytosolique : la cyclophiline A (CyPA, PPIA). Le mécanisme complet peut être décrit selon six niveaux d'imbrication :</w:t>
      </w:r>
    </w:p>
    <w:p>
      <w:r/>
      <w:r>
        <w:rPr>
          <w:b/>
        </w:rPr>
        <w:t>Niveau moléculaire — liaison à la cyclophiline A</w:t>
      </w:r>
      <w:r>
        <w:t xml:space="preserve"> : la ciclosporine est un peptide cyclique lipophile de 11 résidus acides aminés (MW 1202 Da) qui diffuse passivement à travers la membrane plasmique des lymphocytes T. Dans le cytosol, elle se lie de manière stœchiométrique 1:1 à la cyclophiline A (CyPA), une peptidyl-prolyl isomérase (PPIase, EC 5.2.1.8) de la famille des immunophilines. Le complexe CsA-CyPA subit un changement conformationnel qui crée une surface de contact spécifique pour la calcineurine.</w:t>
      </w:r>
    </w:p>
    <w:p>
      <w:r/>
      <w:r>
        <w:rPr>
          <w:b/>
        </w:rPr>
        <w:t>Niveau enzymatique — inhibition de la calcineurine</w:t>
      </w:r>
      <w:r>
        <w:t xml:space="preserve"> : la calcineurine (PP2B, EC 3.1.3.16) est une sérine/thréonine phosphatase hétérodimérique calcium- et calmoduline-dépendante, composée d'une sous-unité catalytique A (CnA, 61 kDa) et d'une sous-unité régulatrice B (CnB, 19 kDa) liant le calcium. Le complexe CsA-CyPA se fixe à l'interface CnA-CnB au voisinage du site catalytique, bloquant l'accès des substrats sans toutefois occuper le site actif lui-même (inhibition allostérique). L'inhibition est non compétitive, réversible et dose-dépendante.</w:t>
      </w:r>
    </w:p>
    <w:p>
      <w:r/>
      <w:r>
        <w:rPr>
          <w:b/>
        </w:rPr>
        <w:t>Niveau transcriptionnel — blocage de NF-AT</w:t>
      </w:r>
      <w:r>
        <w:t xml:space="preserve"> : en condition physiologique, l'activation du TCR (T Cell Receptor) par le complexe peptide-MHC de l'CPA (cellule présentatrice d'antigène) déclenche une cascade : augmentation du calcium intracellulaire → activation de la calmoduline → activation de la calcineurine → déphosphorylation de facteurs de transcription de la famille NF-AT (NF-ATc1, NF-ATc2, NF-ATc3) cytosoliques. La déphosphorylation expose un signal de localisation nucléaire → translocation nucléaire → formation de complexes NF-ATc/AP-1 → fixation aux promoteurs des gènes cibles (notamment le promoteur de l'IL-2). La ciclosporine, en inhibant la calcineurine, empêche la déphosphorylation de NF-ATc, qui reste piégé dans le cytoplasme sous sa forme phosphorylée inactive.</w:t>
      </w:r>
    </w:p>
    <w:p>
      <w:r/>
      <w:r>
        <w:rPr>
          <w:b/>
        </w:rPr>
        <w:t>Niveau cellulaire — blocage de la production d'IL-2</w:t>
      </w:r>
      <w:r>
        <w:t xml:space="preserve"> : la conséquence directe est une chute drastique de la transcription de l'IL-2, principale cytokine autocrine et paracrine de la prolifération T. La ciclosporine inhibe également la transcription d'autres cytokines : IL-4, IL-5, IFN-γ, TNF-α, GM-CSF. Les lymphocytes T CD4+ activés par l'antigène ne peuvent donc pas cloner ni différencier en cellules effectrices Th1/Th2/Th17.</w:t>
      </w:r>
    </w:p>
    <w:p>
      <w:r/>
      <w:r>
        <w:rPr>
          <w:b/>
        </w:rPr>
        <w:t>Niveau physiologique — immunosuppression T-sélective</w:t>
      </w:r>
      <w:r>
        <w:t xml:space="preserve"> : la ciclosporine n'altère pas l'hématopoïèse ni les lignées myéloïdes, ce qui la distingue des antimétabolites (azathioprine, mycophénolate). Elle ne bloque pas non plus la phase d'activation initiale (le TCR est activé normalement) mais bloque la phase de prolifération clonale. Elle préserve l'immunité innée et la fonction des polynucléaires. Toutefois, l'immunité cellulaire T cytotoxique CD8+ et la coopération T-B (production d'anticorps thymo-dépendants) sont également affectées par carence en IL-2.</w:t>
      </w:r>
    </w:p>
    <w:p>
      <w:r/>
      <w:r>
        <w:rPr>
          <w:b/>
        </w:rPr>
        <w:t>Niveau pharmacodynamique supplémentaire — effet sur les cellules régulatrices</w:t>
      </w:r>
      <w:r>
        <w:t xml:space="preserve"> : la ciclosporine, en bloquant l'IL-2, altère également le maintien des lymphocytes T régulateurs (Treg, CD4+CD25+FoxP3+) dont la survie dépend de l'IL-2 exogène. Ce double effet — immunosuppression effectrice + déplétion Treg — explique en partie le risque de maladies auto-immunes paradoxales (thyroïdite, cytopénies auto-immunes) observé à l'arrêt de la ciclosporine chez certains patients greffés.</w:t>
      </w:r>
    </w:p>
    <w:p>
      <w:r>
        <w:t>Le délai d'action est rapide (inhibition en quelques heures après la prise) mais l'effet immunosuppresseur clinique complet nécessite 3-7 jours d'imprégnation tissulaire. Aucun effet myélosuppressif n'est observé, ce qui distingue la ciclosporine des inhibiteurs mTOR et des antimétabolites.</w:t>
      </w:r>
    </w:p>
    <w:p>
      <w:pPr>
        <w:pStyle w:val="Heading4"/>
      </w:pPr>
      <w:r>
        <w:t>171.1.1.4 Pharmacocinétique (profil PK)</w:t>
      </w:r>
    </w:p>
    <w:p>
      <w:r/>
      <w:r>
        <w:rPr>
          <w:b/>
        </w:rPr>
        <w:t>Absorption</w:t>
      </w:r>
      <w:r>
        <w:t xml:space="preserve"> : la ciclosporine est administrée par voie orale (gélule molle, solution buvable) ou intraveineuse. L'absorption orale est incomplète et très variable inter- et intra-individuelle : biodisponibilité absolue de 20 à 50 % (moyenne 30 %), en raison de (i) un métabolisme présystémique intestinal par le CYP3A4/5 entérocytaire, (ii) un efflux actif par la P-glycoprotéine (P-gp, ABCB1) intestinale, et (iii) une lipophilie importante nécessitant la présence de sels biliaires et d'aliments gras pour une absorption optimale. La forme microémulsion (Neoral) — qui a remplacé la forme originale (Sandimmun) — améliore la reproductibilité de l'absorption en réduisant la dépendance aux sels biliaires. Le pic plasmatique (Cmax) est atteint en 1,5 à 2 heures. La prise avec un repas riche en graisses diminue l'AUC d'environ 15 %.</w:t>
      </w:r>
    </w:p>
    <w:p>
      <w:r/>
      <w:r>
        <w:rPr>
          <w:b/>
        </w:rPr>
        <w:t>Distribution</w:t>
      </w:r>
      <w:r>
        <w:t xml:space="preserve"> : la ciclosporine est largement distribuée dans les tissus, avec un volume de distribution à l'équilibre de 3 à 5 L/kg. Elle se fixe à 90 % aux protéines plasmatiques, principalement les lipoprotéines (LDL, HDL) et à un moindre degré l'albumine. La fraction libre (10 %) est la seule pharmacologiquement active. La pénétration dans le LCR est faible (1-2 % de la concentration plasmatique). La distribution tissulaire se fait dans le foie, les reins, le tissu adipeux et la peau ; la peau et les tissus adipeux constituent un compartiment profond.</w:t>
      </w:r>
    </w:p>
    <w:p>
      <w:r/>
      <w:r>
        <w:rPr>
          <w:b/>
        </w:rPr>
        <w:t>Métabolisme</w:t>
      </w:r>
      <w:r>
        <w:t xml:space="preserve"> : la ciclosporine est métabolisée à 99 % par le cytochrome P450 3A4 (CYP3A4) et accessoirement le CYP3A5, principalement au niveau hépatique (prépondérant) mais aussi intestinal (contribution significative au premier passage). Plus de 30 métabolites ont été identifiés. Les voies principales sont l'hydroxylation, la N-déméthylation et la cyclisation oxydative. Les métabolites principaux (AM1, AM9, AM4n) sont moins actifs que la molécule mère (&lt; 20 % de l'activité immunosuppressive), à l'exception des métabolites AM1c et AM19 qui conservent une activité significative et contribuent à la toxicité rénale.</w:t>
      </w:r>
    </w:p>
    <w:p>
      <w:r/>
      <w:r>
        <w:rPr>
          <w:b/>
        </w:rPr>
        <w:t>Élimination</w:t>
      </w:r>
      <w:r>
        <w:t xml:space="preserve"> : l'élimination est principalement biliaire (94 %) et fécale. Seulement 6 % sont éliminés dans les urines, dont moins de 1 % sous forme inchangée. La demi-vie d'élimination terminale est de 8 à 20 heures (moyenne 9-10 heures), allongée en cas d'insuffisance hépatique et chez le sujet âgé. La clairance totale est de 4 à 7 mL/min/kg. Aucune adaptation posologique n'est nécessaire en cas d'insuffisance rénale, mais une surveillance accrue est recommandée (la ciclosporine étant néphrotoxique elle-même).</w:t>
      </w:r>
    </w:p>
    <w:p>
      <w:r/>
      <w:r>
        <w:rPr>
          <w:b/>
        </w:rPr>
        <w:t>Linéarité</w:t>
      </w:r>
      <w:r>
        <w:t xml:space="preserve"> : la pharmacocinétique est non linéaire, et les concentrations augmentent de manière plus que proportionnelle à la dose, en raison de la saturation du métabolisme présystémique.</w:t>
      </w:r>
    </w:p>
    <w:p>
      <w:r/>
      <w:r>
        <w:rPr>
          <w:b/>
        </w:rPr>
        <w:t>Suivi thérapeutique pharmacologique (STP)</w:t>
      </w:r>
      <w:r>
        <w:t xml:space="preserve"> : obligatoire en transplantation. Les concentrations résiduelles (C0, juste avant la prise du matin) sont mesurées par méthodes immunologiques (FPIA, EMIT) ou par chromatographie liquide haute performance couplée à la spectrométrie de masse (LC-MS/MS, méthode de référence). Les cibles C0 varient selon le type de greffe et le délai post-transplantation :</w:t>
      </w:r>
    </w:p>
    <w:p>
      <w:pPr>
        <w:pStyle w:val="ListBullet"/>
      </w:pPr>
      <w:r>
        <w:t>Transplantation rénale, 0-3 mois : 200-300 ng/mL ; 3-6 mois : 150-200 ng/mL ; &gt; 6 mois : 100-150 ng/mL.</w:t>
      </w:r>
    </w:p>
    <w:p>
      <w:pPr>
        <w:pStyle w:val="ListBullet"/>
      </w:pPr>
      <w:r>
        <w:t>Transplantation hépatique, 0-3 mois : 250-350 ng/mL ; &gt; 6 mois : 80-120 ng/mL.</w:t>
      </w:r>
    </w:p>
    <w:p>
      <w:pPr>
        <w:pStyle w:val="ListBullet"/>
      </w:pPr>
      <w:r>
        <w:t>Transplantation cardiaque, 0-3 mois : 250-350 ng/mL ; &gt; 6 mois : 150-200 ng/mL.</w:t>
      </w:r>
    </w:p>
    <w:p>
      <w:r>
        <w:t>Le STP par C2 (concentration 2 heures après la prise) reflète mieux l'AUC0-4h (qui prédit l'efficacité et la néphrotoxicité) ; les cibles C2 sont de 1,2-1,7 µg/mL à M0-M3, puis 0,8 µg/mL à M6. La mesure de C2 est plus difficile en pratique courante car elle impose une logistique stricte.</w:t>
      </w:r>
    </w:p>
    <w:p>
      <w:pPr>
        <w:pStyle w:val="Heading4"/>
      </w:pPr>
      <w:r>
        <w:t>171.1.1.5 Indications thérapeutiques</w:t>
      </w:r>
    </w:p>
    <w:p>
      <w:r>
        <w:t>Les indications de la ciclosporine en transplantation sont codifiées par les recommandations KDIGO 2009 (révisées 2024) et par les protocoles des centres de transplantation algériens (CHU Mustapha, CHU Beni-Messous, CHU Oran, Etablissement Hospitalier Spécialisé Transplantation d'Organes — EHSTO d'Oran) :</w:t>
      </w:r>
    </w:p>
    <w:p>
      <w:pPr>
        <w:pStyle w:val="ListNumber"/>
      </w:pPr>
      <w:r/>
      <w:r>
        <w:rPr>
          <w:b/>
        </w:rPr>
        <w:t>Transplantation rénale</w:t>
      </w:r>
      <w:r>
        <w:t xml:space="preserve"> : la ciclosporine reste utilisée comme inhibiteur calcineurine de première intention dans certains protocoles, notamment chez les patients à haut risque diabétogène (prédiabète, syndrome métabolique) où elle est préférée au tacrolimus. La posologie initiale est de 4-6 mg/kg/j en deux prises (H0 + H12), débutée 12 heures avant la greffe ou en peropératoire. La trithérapie classique associe ciclosporine + mycophénolate mofétil (1 g × 2/j) + prednisone (0,5 mg/kg/j en décroissance progressive).</w:t>
      </w:r>
    </w:p>
    <w:p>
      <w:pPr>
        <w:pStyle w:val="ListNumber"/>
      </w:pPr>
      <w:r/>
      <w:r>
        <w:rPr>
          <w:b/>
        </w:rPr>
        <w:t>Transplantation hépatique</w:t>
      </w:r>
      <w:r>
        <w:t xml:space="preserve"> : autrefois molécule de référence, la ciclosporine est aujourd'hui supplantée par le tacrolimus (supériorité démontrée en termes de survie du greffon et de moindre incidence de rejet aigu). Elle reste une alternative en cas de diabète post-transplantation sous tacrolimus, ou de neurotoxicité sévère au tacrolimus.</w:t>
      </w:r>
    </w:p>
    <w:p>
      <w:pPr>
        <w:pStyle w:val="ListNumber"/>
      </w:pPr>
      <w:r/>
      <w:r>
        <w:rPr>
          <w:b/>
        </w:rPr>
        <w:t>Transplantation cardiaque</w:t>
      </w:r>
      <w:r>
        <w:t xml:space="preserve"> : la ciclosporine est parfois utilisée dans des protocoles combinant induction par anticorps anti-IL2R + ICN + antimétabolite + corticoïde. Le STP y est particulièrement strict en raison de la néphrotoxicité cumulée.</w:t>
      </w:r>
    </w:p>
    <w:p>
      <w:pPr>
        <w:pStyle w:val="ListNumber"/>
      </w:pPr>
      <w:r/>
      <w:r>
        <w:rPr>
          <w:b/>
        </w:rPr>
        <w:t>Transplantation pulmonaire</w:t>
      </w:r>
      <w:r>
        <w:t xml:space="preserve"> : peu utilisée en raison de la fréquence de la bronchiolite oblitérante (BOS), où le tacrolimus est supérieur.</w:t>
      </w:r>
    </w:p>
    <w:p>
      <w:pPr>
        <w:pStyle w:val="ListNumber"/>
      </w:pPr>
      <w:r/>
      <w:r>
        <w:rPr>
          <w:b/>
        </w:rPr>
        <w:t>Transplantation de cellules souches hématopoïétiques</w:t>
      </w:r>
      <w:r>
        <w:t xml:space="preserve"> : prophylaxie de la GVH aiguë en association avec le méthotrexate courte durée (jour J+1, J+3, J+6, J+11) — protocole dit "CsA+MTX". Traitement curatif de la GVH chronique en monothérapie ou en association.</w:t>
      </w:r>
    </w:p>
    <w:p>
      <w:pPr>
        <w:pStyle w:val="ListNumber"/>
      </w:pPr>
      <w:r/>
      <w:r>
        <w:rPr>
          <w:b/>
        </w:rPr>
        <w:t>Néphrologie non greffe</w:t>
      </w:r>
      <w:r>
        <w:t xml:space="preserve"> : syndrome néphrotique idiopathique de l'enfant et de l'adulte, corticorésistant ou corticodépendant. Posologie 2,5-5 mg/kg/j en deux prises, surveillance stricte de la fonction rénale et de la tension artérielle.</w:t>
      </w:r>
    </w:p>
    <w:p>
      <w:pPr>
        <w:pStyle w:val="ListNumber"/>
      </w:pPr>
      <w:r/>
      <w:r>
        <w:rPr>
          <w:b/>
        </w:rPr>
        <w:t>Dermatologie</w:t>
      </w:r>
      <w:r>
        <w:t xml:space="preserve"> : psoriasis grave étendu, résistant aux thérapeutiques classiques (PUVA, méthotrexate, rétinoïdes). Posologie initiale 2,5-3 mg/kg/j, en une ou deux prises. Dermatite atopique sévère de l'adulte en deuxième intention. Maladie de Behçet avec atteinte oculaire.</w:t>
      </w:r>
    </w:p>
    <w:p>
      <w:pPr>
        <w:pStyle w:val="ListNumber"/>
      </w:pPr>
      <w:r/>
      <w:r>
        <w:rPr>
          <w:b/>
        </w:rPr>
        <w:t>Rhumatologie</w:t>
      </w:r>
      <w:r>
        <w:t xml:space="preserve"> : polyarthrite rhumatoïde active sévère de l'adulte en cas de réponse inadéquate au méthotrexate ; posologie 2,5-3 mg/kg/j. Largement supplantée par les biothérapies (anti-TNF, anti-IL6, anti-CD20).</w:t>
      </w:r>
    </w:p>
    <w:p>
      <w:pPr>
        <w:pStyle w:val="ListNumber"/>
      </w:pPr>
      <w:r/>
      <w:r>
        <w:rPr>
          <w:b/>
        </w:rPr>
        <w:t>Hépatologie</w:t>
      </w:r>
      <w:r>
        <w:t xml:space="preserve"> : cirrhose biliaire primitive (CBP) au stade précoce (stades I-III de histologie) en alternative ou en relais de l'acide ursodésoxycholique. La néphrotoxicité impose une surveillance renforcée.</w:t>
      </w:r>
    </w:p>
    <w:p>
      <w:pPr>
        <w:pStyle w:val="ListNumber"/>
      </w:pPr>
      <w:r/>
      <w:r>
        <w:rPr>
          <w:b/>
        </w:rPr>
        <w:t>Ophtalmologie</w:t>
      </w:r>
      <w:r>
        <w:t xml:space="preserve"> : kératoconjonctivite sèche sévère de l'adulte (Restasis 0,05 %) ; syndrome de Gougerot-Sjögren.</w:t>
      </w:r>
    </w:p>
    <w:p>
      <w:pPr>
        <w:pStyle w:val="ListNumber"/>
      </w:pPr>
      <w:r/>
      <w:r>
        <w:rPr>
          <w:b/>
        </w:rPr>
        <w:t>Gastro-entérologie</w:t>
      </w:r>
      <w:r>
        <w:t xml:space="preserve"> : maladie de Crohn active fistulisante en deuxième intention (efficacité modeste).</w:t>
      </w:r>
    </w:p>
    <w:p>
      <w:pPr>
        <w:pStyle w:val="Heading4"/>
      </w:pPr>
      <w:r>
        <w:t>171.1.1.6 Posologie et mode d'administration</w:t>
      </w:r>
    </w:p>
    <w:p>
      <w:r/>
      <w:r>
        <w:rPr>
          <w:b/>
        </w:rPr>
        <w:t>Transplantation d'organe (voie orale)</w:t>
      </w:r>
      <w:r>
        <w:t xml:space="preserve"> :</w:t>
      </w:r>
    </w:p>
    <w:p>
      <w:pPr>
        <w:pStyle w:val="ListBullet"/>
      </w:pPr>
      <w:r>
        <w:t>Dose initiale : 4 à 6 mg/kg/jour en deux prises à 12 heures d'intervalle (H0 et H12), à débuter 12 heures avant la transplantation ou en peropératoire.</w:t>
      </w:r>
    </w:p>
    <w:p>
      <w:pPr>
        <w:pStyle w:val="ListBullet"/>
      </w:pPr>
      <w:r>
        <w:t>Adaptation posologique : guidée par les concentrations résiduelles C0 mesurées à J+3, J+7, puis 2 fois par semaine pendant le 1er mois, puis 1 fois par semaine pendant 2 mois, puis mensuelle à terme.</w:t>
      </w:r>
    </w:p>
    <w:p>
      <w:pPr>
        <w:pStyle w:val="ListBullet"/>
      </w:pPr>
      <w:r>
        <w:t>Adaptation par paliers de 25 mg maximum par modification, en respectant un délai de 48-72 heures entre deux modifications pour atteindre le nouvel état d'équilibre.</w:t>
      </w:r>
    </w:p>
    <w:p>
      <w:pPr>
        <w:pStyle w:val="ListBullet"/>
      </w:pPr>
      <w:r>
        <w:t>Co-administration avec corticoïdes (prednisone 0,5 mg/kg/j en décroissance) et antimétabolite (MMF 1 g × 2/j, ou azathioprine 1-2 mg/kg/j).</w:t>
      </w:r>
    </w:p>
    <w:p>
      <w:r/>
      <w:r>
        <w:rPr>
          <w:b/>
        </w:rPr>
        <w:t>Transplantation d'organe (voie IV — Sandimmun concentrate)</w:t>
      </w:r>
      <w:r>
        <w:t xml:space="preserve"> :</w:t>
      </w:r>
    </w:p>
    <w:p>
      <w:pPr>
        <w:pStyle w:val="ListBullet"/>
      </w:pPr>
      <w:r>
        <w:t>Dose IV = 1/3 de la dose orale (en raison d'une biodisponibilité IV de 100 %), administrée en perfusion continue sur 24 heures ou en 2 perfusions de 4 heures.</w:t>
      </w:r>
    </w:p>
    <w:p>
      <w:pPr>
        <w:pStyle w:val="ListBullet"/>
      </w:pPr>
      <w:r>
        <w:t>Réservée à la période péri-opératoire immédiate (patient à jeun, troubles digestifs post-opératoires).</w:t>
      </w:r>
    </w:p>
    <w:p>
      <w:pPr>
        <w:pStyle w:val="ListBullet"/>
      </w:pPr>
      <w:r>
        <w:t>Dilution obligatoire dans NaCl 0,9 % ou G5 %, à une concentration de 1 mg/mL (max 2 mg/mL), en flacon de verre avec tubulure non PVC (la ciclosporine adsorbe au PVC).</w:t>
      </w:r>
    </w:p>
    <w:p>
      <w:pPr>
        <w:pStyle w:val="ListBullet"/>
      </w:pPr>
      <w:r>
        <w:t>Durée maximale de perfusion : 7 jours.</w:t>
      </w:r>
    </w:p>
    <w:p>
      <w:r/>
      <w:r>
        <w:rPr>
          <w:b/>
        </w:rPr>
        <w:t>Syndrome néphrotique idiopathique</w:t>
      </w:r>
      <w:r>
        <w:t xml:space="preserve"> :</w:t>
      </w:r>
    </w:p>
    <w:p>
      <w:pPr>
        <w:pStyle w:val="ListBullet"/>
      </w:pPr>
      <w:r>
        <w:t>Adulte : 2,5 à 5 mg/kg/jour en deux prises.</w:t>
      </w:r>
    </w:p>
    <w:p>
      <w:pPr>
        <w:pStyle w:val="ListBullet"/>
      </w:pPr>
      <w:r>
        <w:t>Enfant : 3 à 5 mg/kg/jour (jusqu'à 6 mg/kg/j en cas de réponse insuffisante).</w:t>
      </w:r>
    </w:p>
    <w:p>
      <w:pPr>
        <w:pStyle w:val="ListBullet"/>
      </w:pPr>
      <w:r>
        <w:t>Durée : 6 à 12 mois en moyenne, parfois prolongée en cas de corticodépendance.</w:t>
      </w:r>
    </w:p>
    <w:p>
      <w:r/>
      <w:r>
        <w:rPr>
          <w:b/>
        </w:rPr>
        <w:t>Psoriasis grave</w:t>
      </w:r>
      <w:r>
        <w:t xml:space="preserve"> :</w:t>
      </w:r>
    </w:p>
    <w:p>
      <w:pPr>
        <w:pStyle w:val="ListBullet"/>
      </w:pPr>
      <w:r>
        <w:t>Dose initiale : 2,5 à 3 mg/kg/jour en deux prises pendant 4 à 6 semaines.</w:t>
      </w:r>
    </w:p>
    <w:p>
      <w:pPr>
        <w:pStyle w:val="ListBullet"/>
      </w:pPr>
      <w:r>
        <w:t>En cas de réponse insuffisante : augmentation par paliers de 0,5-1 mg/kg/j toutes les 2 semaines, sans dépasser 5 mg/kg/jour.</w:t>
      </w:r>
    </w:p>
    <w:p>
      <w:pPr>
        <w:pStyle w:val="ListBullet"/>
      </w:pPr>
      <w:r>
        <w:t>Dose d'entretien : 2,5 à 3 mg/kg/jour.</w:t>
      </w:r>
    </w:p>
    <w:p>
      <w:pPr>
        <w:pStyle w:val="ListBullet"/>
      </w:pPr>
      <w:r>
        <w:t>Durée maximale : 6 mois par cycle (réévaluation systématique).</w:t>
      </w:r>
    </w:p>
    <w:p>
      <w:r/>
      <w:r>
        <w:rPr>
          <w:b/>
        </w:rPr>
        <w:t>Polyarthrite rhumatoïde</w:t>
      </w:r>
      <w:r>
        <w:t xml:space="preserve"> :</w:t>
      </w:r>
    </w:p>
    <w:p>
      <w:pPr>
        <w:pStyle w:val="ListBullet"/>
      </w:pPr>
      <w:r>
        <w:t>Dose initiale : 2,5 mg/kg/jour en deux prises pendant 6 premières semaines.</w:t>
      </w:r>
    </w:p>
    <w:p>
      <w:pPr>
        <w:pStyle w:val="ListBullet"/>
      </w:pPr>
      <w:r>
        <w:t>Adaptation : augmentation par paliers de 0,5 mg/kg/j toutes les 4 semaines, sans dépasser 5 mg/kg/jour.</w:t>
      </w:r>
    </w:p>
    <w:p>
      <w:pPr>
        <w:pStyle w:val="ListBullet"/>
      </w:pPr>
      <w:r>
        <w:t>Dose d'entretien : 2,5-4 mg/kg/jour.</w:t>
      </w:r>
    </w:p>
    <w:p>
      <w:r/>
      <w:r>
        <w:rPr>
          <w:b/>
        </w:rPr>
        <w:t>Kératoconjonctivite sèche (Restasis ophtalmique)</w:t>
      </w:r>
      <w:r>
        <w:t xml:space="preserve"> :</w:t>
      </w:r>
    </w:p>
    <w:p>
      <w:pPr>
        <w:pStyle w:val="ListBullet"/>
      </w:pPr>
      <w:r>
        <w:t>1 goutte de 0,05 % (0,4 mL) dans chaque œil, deux fois par jour (matin et soir), à 12 heures d'intervalle.</w:t>
      </w:r>
    </w:p>
    <w:p>
      <w:pPr>
        <w:pStyle w:val="ListBullet"/>
      </w:pPr>
      <w:r>
        <w:t>Retirer les lentilles de contact avant instillation (réinsertion 15 minutes après).</w:t>
      </w:r>
    </w:p>
    <w:p>
      <w:r/>
      <w:r>
        <w:rPr>
          <w:b/>
        </w:rPr>
        <w:t>Adaptations posologiques</w:t>
      </w:r>
      <w:r>
        <w:t xml:space="preserve"> :</w:t>
      </w:r>
    </w:p>
    <w:p>
      <w:pPr>
        <w:pStyle w:val="ListBullet"/>
      </w:pPr>
      <w:r>
        <w:t>Insuffisance hépatique : réduction de 25-50 % selon la sévérité (clairance CYP3A4 diminuée).</w:t>
      </w:r>
    </w:p>
    <w:p>
      <w:pPr>
        <w:pStyle w:val="ListBullet"/>
      </w:pPr>
      <w:r>
        <w:t>Sujet âgé : pas d'adaptation systématique mais surveillance accrue (fonction rénale, interactions médicamenteuses).</w:t>
      </w:r>
    </w:p>
    <w:p>
      <w:pPr>
        <w:pStyle w:val="ListBullet"/>
      </w:pPr>
      <w:r>
        <w:t>Enfant : doses par kg supérieures à l'adulte (clairance augmentée, demi-vie plus courte).</w:t>
      </w:r>
    </w:p>
    <w:p>
      <w:pPr>
        <w:pStyle w:val="ListBullet"/>
      </w:pPr>
      <w:r>
        <w:t>Insuffisance rénale : pas d'adaptation posologique (la ciclosporine est néphrotoxique mais n'est pas éliminée par le rein) ; surveillance stricte de la créatininémie.</w:t>
      </w:r>
    </w:p>
    <w:p>
      <w:r/>
      <w:r>
        <w:rPr>
          <w:b/>
        </w:rPr>
        <w:t>Règle d'or de prise</w:t>
      </w:r>
      <w:r>
        <w:t xml:space="preserve"> : prendre à heure fixe (H0 et H12), à distance des repas (1 heure avant ou 2 heures après) pour limiter la variabilité d'absorption, ne jamais interrompre brutalement (risque de rejet aigu).</w:t>
      </w:r>
    </w:p>
    <w:p>
      <w:pPr>
        <w:pStyle w:val="Heading4"/>
      </w:pPr>
      <w:r>
        <w:t>171.1.1.7 Effets indésirables et prévention</w:t>
      </w:r>
    </w:p>
    <w:p>
      <w:r/>
      <w:r>
        <w:rPr>
          <w:b/>
        </w:rPr>
        <w:t>Effets indésirables fréquents (&gt; 10 %)</w:t>
      </w:r>
      <w:r>
        <w:t xml:space="preserve"> :</w:t>
      </w:r>
    </w:p>
    <w:p>
      <w:pPr>
        <w:pStyle w:val="ListBullet"/>
      </w:pPr>
      <w:r/>
      <w:r>
        <w:rPr>
          <w:b/>
        </w:rPr>
        <w:t>Néphrotoxicité</w:t>
      </w:r>
      <w:r>
        <w:t xml:space="preserve"> : effet de classe des ICN. Mécanisme dual : (i) aigu — vasoconstriction de l'artériole afférente glomérulaire par déséquilibre endothéline/prostacyclines, réversible à la baisse de dose ; (ii) chronique — néphropathie tubulo-interstitielle avec fibrose striée irréversible après plusieurs années d'exposition. Surveillance : créatininémie hebdomadaire le 1er mois, puis mensuelle ; calcul DFG (CKD-EPI) ; ne pas dépasser une augmentation &gt; 30 % de la créatininémie initiale. Prévention : adapter les doses en fonction des C0, maintenir une hydratation adéquate, éviter les associations néphrotoxiques (AINS, aminosides, produits de contraste iodés).</w:t>
      </w:r>
    </w:p>
    <w:p>
      <w:pPr>
        <w:pStyle w:val="ListBullet"/>
      </w:pPr>
      <w:r/>
      <w:r>
        <w:rPr>
          <w:b/>
        </w:rPr>
        <w:t>Hypertension artérielle</w:t>
      </w:r>
      <w:r>
        <w:t xml:space="preserve"> : 50-80 % des patients transplantés sous ICN. Mécanisme : vasoconstriction systémique, rétention hydro-sodée, activation du SRAA. Surveillance : tension artérielle mensuelle, autosurveillance domicile. Traitement : inhibiteurs calciques (amlodipine 5-10 mg, nifédipine LP) en première intention (interagissent peu avec CYP3A4) ; éviter les β-bloquants et IEC en première intention (interaction potentielle, hyperkaliémie).</w:t>
      </w:r>
    </w:p>
    <w:p>
      <w:pPr>
        <w:pStyle w:val="ListBullet"/>
      </w:pPr>
      <w:r/>
      <w:r>
        <w:rPr>
          <w:b/>
        </w:rPr>
        <w:t>Hyperkaliémie</w:t>
      </w:r>
      <w:r>
        <w:t xml:space="preserve"> : 20-40 % des patients. Mécanisme : inhibition de la sécrétion tubulaire distale de potassium (effet direct sur canal ROMK). Surveillance : kaliémie mensuelle. Prévention : régime hyposodé-hypopotasique, éviter les IEC/ARA2, les diurétiques épargneurs de potassium, les suppléments potassiques.</w:t>
      </w:r>
    </w:p>
    <w:p>
      <w:pPr>
        <w:pStyle w:val="ListBullet"/>
      </w:pPr>
      <w:r/>
      <w:r>
        <w:rPr>
          <w:b/>
        </w:rPr>
        <w:t>Hyperuricémie et goutte</w:t>
      </w:r>
      <w:r>
        <w:t xml:space="preserve"> : 30-50 % des patients. Mécanisme : diminution de la clairance rénale de l'acide urique. Surveillance : uricémie 2 fois par an. Traitement : allopurinol 100-300 mg/j (attention interaction avec azathioprine — diviser la dose d'azathioprine par 4) ou colchicine en prophylaxie.</w:t>
      </w:r>
    </w:p>
    <w:p>
      <w:pPr>
        <w:pStyle w:val="ListBullet"/>
      </w:pPr>
      <w:r/>
      <w:r>
        <w:rPr>
          <w:b/>
        </w:rPr>
        <w:t>Hypomagnésémie</w:t>
      </w:r>
      <w:r>
        <w:t xml:space="preserve"> : 20-40 %. Mécanisme : fuite tubulaire rénale de magnésium. Surveillance : magnésémie mensuelle. Supplémentation : magnésium oral 300-600 mg/j si &lt; 0,7 mmol/L.</w:t>
      </w:r>
    </w:p>
    <w:p>
      <w:pPr>
        <w:pStyle w:val="ListBullet"/>
      </w:pPr>
      <w:r/>
      <w:r>
        <w:rPr>
          <w:b/>
        </w:rPr>
        <w:t>Hyperlipidémie</w:t>
      </w:r>
      <w:r>
        <w:t xml:space="preserve"> : 30-50 %. Mécanisme : inhibition du récepteur LDL hépatique et de la lipoprotéine lipase. Surveillance : bilan lipidique semestriel. Traitement : statines (pravastatine, fluvastatine — peu métabolisées par CYP3A4) ; éviter la simvastatine à forte dose.</w:t>
      </w:r>
    </w:p>
    <w:p>
      <w:pPr>
        <w:pStyle w:val="ListBullet"/>
      </w:pPr>
      <w:r/>
      <w:r>
        <w:rPr>
          <w:b/>
        </w:rPr>
        <w:t>Hypertrophie gingivale</w:t>
      </w:r>
      <w:r>
        <w:t xml:space="preserve"> : 25-30 %. Mécanisme : prolifération fibroblastique gingivale. Prévention : hygiène bucco-dentaire rigoureuse, brossage 3×/j, consultations dentaires trimestrielles, bain de bouche chlorhexidine. Traitement : azithromycine 500 mg/j × 3 jours peut réduire l'hypertrophie.</w:t>
      </w:r>
    </w:p>
    <w:p>
      <w:pPr>
        <w:pStyle w:val="ListBullet"/>
      </w:pPr>
      <w:r/>
      <w:r>
        <w:rPr>
          <w:b/>
        </w:rPr>
        <w:t>Hypertrichose</w:t>
      </w:r>
      <w:r>
        <w:t xml:space="preserve"> : 20-50 % des patients (particulièrement handicapante chez la femme). Mécanisme : stimulation du follicule pileux. Prévention : épilation esthétique, crème dépilatoire.</w:t>
      </w:r>
    </w:p>
    <w:p>
      <w:pPr>
        <w:pStyle w:val="ListBullet"/>
      </w:pPr>
      <w:r/>
      <w:r>
        <w:rPr>
          <w:b/>
        </w:rPr>
        <w:t>Tremblements</w:t>
      </w:r>
      <w:r>
        <w:t xml:space="preserve"> : 10-30 %. Mécanisme : neurotoxicité centrale. Prévention : adapter la dose, vérifier les C0.</w:t>
      </w:r>
    </w:p>
    <w:p>
      <w:pPr>
        <w:pStyle w:val="ListBullet"/>
      </w:pPr>
      <w:r/>
      <w:r>
        <w:rPr>
          <w:b/>
        </w:rPr>
        <w:t>Céphalées</w:t>
      </w:r>
      <w:r>
        <w:t xml:space="preserve"> : 10-30 %.</w:t>
      </w:r>
    </w:p>
    <w:p>
      <w:pPr>
        <w:pStyle w:val="ListBullet"/>
      </w:pPr>
      <w:r/>
      <w:r>
        <w:rPr>
          <w:b/>
        </w:rPr>
        <w:t>Bouffées de chaleur</w:t>
      </w:r>
      <w:r>
        <w:t xml:space="preserve"> : 5-15 %.</w:t>
      </w:r>
    </w:p>
    <w:p>
      <w:r/>
      <w:r>
        <w:rPr>
          <w:b/>
        </w:rPr>
        <w:t>Effets indésirables moins fréquents (1-10 %)</w:t>
      </w:r>
      <w:r>
        <w:t xml:space="preserve"> :</w:t>
      </w:r>
    </w:p>
    <w:p>
      <w:pPr>
        <w:pStyle w:val="ListBullet"/>
      </w:pPr>
      <w:r>
        <w:t>Diarrhée, nausées, dyspepsie.</w:t>
      </w:r>
    </w:p>
    <w:p>
      <w:pPr>
        <w:pStyle w:val="ListBullet"/>
      </w:pPr>
      <w:r>
        <w:t>Crampes musculaires.</w:t>
      </w:r>
    </w:p>
    <w:p>
      <w:pPr>
        <w:pStyle w:val="ListBullet"/>
      </w:pPr>
      <w:r>
        <w:t>Paresthésies.</w:t>
      </w:r>
    </w:p>
    <w:p>
      <w:pPr>
        <w:pStyle w:val="ListBullet"/>
      </w:pPr>
      <w:r>
        <w:t>Perturbations hépatiques (cytolyse, cholestase) — surveillance ALAT/ASAT/paliers phosphatases alcalines et bilirubine mensuelle.</w:t>
      </w:r>
    </w:p>
    <w:p>
      <w:pPr>
        <w:pStyle w:val="ListBullet"/>
      </w:pPr>
      <w:r>
        <w:t>Anémie, leucopénie (rare avec CsA seule, plus fréquent en association).</w:t>
      </w:r>
    </w:p>
    <w:p>
      <w:pPr>
        <w:pStyle w:val="ListBullet"/>
      </w:pPr>
      <w:r>
        <w:t>Hyperglycémie (moins marquée qu'avec tacrolimus).</w:t>
      </w:r>
    </w:p>
    <w:p>
      <w:r/>
      <w:r>
        <w:rPr>
          <w:b/>
        </w:rPr>
        <w:t>Effets indésirables rares (&lt; 1 %)</w:t>
      </w:r>
      <w:r>
        <w:t xml:space="preserve"> :</w:t>
      </w:r>
    </w:p>
    <w:p>
      <w:pPr>
        <w:pStyle w:val="ListBullet"/>
      </w:pPr>
      <w:r>
        <w:t>Leucoencéphalopathie postérieure réversible (PRES) : tableau neurologique aigu (céphalées, troubles visuels, convulsions, obnubilation) avec imagerie IRM typique (œdème blanc pariéto-occipital). Urgence thérapeutique : arrêt immédiat de la ciclosporine, relais par un autre immunosuppresseur.</w:t>
      </w:r>
    </w:p>
    <w:p>
      <w:pPr>
        <w:pStyle w:val="ListBullet"/>
      </w:pPr>
      <w:r>
        <w:t>Syndrome hémolytique et urémique (SHU) : microangiopathie thrombotique avec anémie hémolytique mécanique, thrombopénie, insuffisance rénale aiguë. Arrêt de la ciclosporine obligatoire.</w:t>
      </w:r>
    </w:p>
    <w:p>
      <w:pPr>
        <w:pStyle w:val="ListBullet"/>
      </w:pPr>
      <w:r>
        <w:t>Réactions d'hypersensibilité (surtout avec la forme IV contenant du polyoxyéthylèneglycol, crème de ricin polyethoxylée) : rash, prurit, bronchospasme, anaphylaxie.</w:t>
      </w:r>
    </w:p>
    <w:p>
      <w:pPr>
        <w:pStyle w:val="ListBullet"/>
      </w:pPr>
      <w:r>
        <w:t>Pancréatite aiguë.</w:t>
      </w:r>
    </w:p>
    <w:p>
      <w:r/>
      <w:r>
        <w:rPr>
          <w:b/>
        </w:rPr>
        <w:t>Effets à long terme</w:t>
      </w:r>
      <w:r>
        <w:t xml:space="preserve"> :</w:t>
      </w:r>
    </w:p>
    <w:p>
      <w:pPr>
        <w:pStyle w:val="ListBullet"/>
      </w:pPr>
      <w:r>
        <w:t>Cancers post-transplantation : incidence multipliée par 3-5 par rapport à la population générale. Lymphomes EBV-induced post-transplantation (PTLD) : risque majoré en cas d'induction par anticorps et de surimmunosuppression. Carcinomes cutanés (carcinomes épidermoïdes, basocellulaires, mélanomes) majorés par la photosensibilisation. Sarcome de Kaposi.</w:t>
      </w:r>
    </w:p>
    <w:p>
      <w:pPr>
        <w:pStyle w:val="ListBullet"/>
      </w:pPr>
      <w:r>
        <w:t>Infections opportunistes : CMV (prophylaxie valganciclovir 3 mois), BK virus (nephropathie à BK virus), Pneumocystis jirovecii (prophylaxie cotrimoxazole 6 mois), candidose, aspergillose.</w:t>
      </w:r>
    </w:p>
    <w:p>
      <w:r/>
      <w:r>
        <w:rPr>
          <w:b/>
        </w:rPr>
        <w:t>Prévention générale des EI</w:t>
      </w:r>
      <w:r>
        <w:t xml:space="preserve"> :</w:t>
      </w:r>
    </w:p>
    <w:p>
      <w:pPr>
        <w:pStyle w:val="ListBullet"/>
      </w:pPr>
      <w:r>
        <w:t>Hydratation abondante (1,5-2 L/j).</w:t>
      </w:r>
    </w:p>
    <w:p>
      <w:pPr>
        <w:pStyle w:val="ListBullet"/>
      </w:pPr>
      <w:r>
        <w:t>Éviter le pamplemousse (inhibiteur CYP3A4 intestinal) pendant toute la durée du traitement.</w:t>
      </w:r>
    </w:p>
    <w:p>
      <w:pPr>
        <w:pStyle w:val="ListBullet"/>
      </w:pPr>
      <w:r>
        <w:t>Photoprotection stricte (écran solaire SPF 50+, vêtements couvrants) pour prévenir les carcinomes cutanés.</w:t>
      </w:r>
    </w:p>
    <w:p>
      <w:pPr>
        <w:pStyle w:val="ListBullet"/>
      </w:pPr>
      <w:r>
        <w:t>Vaccinations : mise à jour vaccinale avant transplantation (en particulier hépatite B, pneumocoque, grippe, tétanos). Contre-indication absolue aux vaccins vivants atténués (BCG, rougeole-oreillons-rubéole, fièvre jaune, varicelle, zona, rotavirus) en cours d'immunosuppression.</w:t>
      </w:r>
    </w:p>
    <w:p>
      <w:pPr>
        <w:pStyle w:val="Heading4"/>
      </w:pPr>
      <w:r>
        <w:t>171.1.1.8 Interactions médicamenteuses</w:t>
      </w:r>
    </w:p>
    <w:p>
      <w:r>
        <w:t>La ciclosporine est l'une des molécules pour lesquelles le spectre d'interactions médicamenteuses est le plus large, en raison de son métabolisme CYP3A4/P-gp et de sa faible marge thérapeutique. Toute prescription associée doit être validée par un pharmacien d'offrine ou hospitalier.</w:t>
      </w:r>
    </w:p>
    <w:p>
      <w:r/>
      <w:r>
        <w:rPr>
          <w:b/>
        </w:rPr>
        <w:t>Inhibiteurs du CYP3A4 (augmentation des taux de ciclosporine → toxicité)</w:t>
      </w:r>
      <w:r>
        <w:t xml:space="preserve"> :</w:t>
      </w:r>
    </w:p>
    <w:p>
      <w:pPr>
        <w:pStyle w:val="ListBullet"/>
      </w:pPr>
      <w:r>
        <w:t>Antifongiques azolés : kétoconazole (CI), fluconazole (×2 à 4), itraconazole, voriconazole, posaconazole. Surveillance accrue et adaptation posologique (-50 % à -75 % de la dose de CsA).</w:t>
      </w:r>
    </w:p>
    <w:p>
      <w:pPr>
        <w:pStyle w:val="ListBullet"/>
      </w:pPr>
      <w:r>
        <w:t>Macrolides : érythromycine (×3 à 5), clarithromycine (×2 à 3), télithromycine. Azithromycine : peu d'interaction. Préférer l'azithromycine.</w:t>
      </w:r>
    </w:p>
    <w:p>
      <w:pPr>
        <w:pStyle w:val="ListBullet"/>
      </w:pPr>
      <w:r>
        <w:t>Antibiotiques quinolones : ciprofloxacine (×2 modérée), norfloxacine.</w:t>
      </w:r>
    </w:p>
    <w:p>
      <w:pPr>
        <w:pStyle w:val="ListBullet"/>
      </w:pPr>
      <w:r>
        <w:t>Inhibiteurs de protéase du VIH (ritonavir, darunirvir, lopinavir/r) : interaction majeure, parfois exploitée pour réduire la dose de CsA (booster ritonavir).</w:t>
      </w:r>
    </w:p>
    <w:p>
      <w:pPr>
        <w:pStyle w:val="ListBullet"/>
      </w:pPr>
      <w:r>
        <w:t>Inhibiteurs de protéase du VHC (télaprévir, bocéprévir).</w:t>
      </w:r>
    </w:p>
    <w:p>
      <w:pPr>
        <w:pStyle w:val="ListBullet"/>
      </w:pPr>
      <w:r>
        <w:t>Antagonistes calciques : diltiazem (×2 à 3), vérapamil (×2), nicardipine. Amlodipine et félodipine : interaction modeste.</w:t>
      </w:r>
    </w:p>
    <w:p>
      <w:pPr>
        <w:pStyle w:val="ListBullet"/>
      </w:pPr>
      <w:r>
        <w:t>Statines : simvastatine (×3, risque de rhabdomyolyse), atorvastatine. Préférer pravastatine ou fluvastatine (non métabolisées par CYP3A4).</w:t>
      </w:r>
    </w:p>
    <w:p>
      <w:pPr>
        <w:pStyle w:val="ListBullet"/>
      </w:pPr>
      <w:r>
        <w:t>Amiodarone (×1,5 à 2).</w:t>
      </w:r>
    </w:p>
    <w:p>
      <w:pPr>
        <w:pStyle w:val="ListBullet"/>
      </w:pPr>
      <w:r>
        <w:t>Danazol (×2).</w:t>
      </w:r>
    </w:p>
    <w:p>
      <w:pPr>
        <w:pStyle w:val="ListBullet"/>
      </w:pPr>
      <w:r>
        <w:t>Pamplemousse (jus ou fruit) : inhibition prolongée du CYP3A4 intestinal (&gt; 24 heures), CI absolue.</w:t>
      </w:r>
    </w:p>
    <w:p>
      <w:pPr>
        <w:pStyle w:val="ListBullet"/>
      </w:pPr>
      <w:r>
        <w:t>Millepertuis (Hypericum perforatum) : INDUCTEUR, voir ci-dessous.</w:t>
      </w:r>
    </w:p>
    <w:p>
      <w:pPr>
        <w:pStyle w:val="ListBullet"/>
      </w:pPr>
      <w:r>
        <w:t>Cimétidine, omeprazole (interaction faible).</w:t>
      </w:r>
    </w:p>
    <w:p>
      <w:r/>
      <w:r>
        <w:rPr>
          <w:b/>
        </w:rPr>
        <w:t>Inducteurs du CYP3A4 (diminution des taux de ciclosporine → risque de rejet)</w:t>
      </w:r>
      <w:r>
        <w:t xml:space="preserve"> :</w:t>
      </w:r>
    </w:p>
    <w:p>
      <w:pPr>
        <w:pStyle w:val="ListBullet"/>
      </w:pPr>
      <w:r>
        <w:t>Rifampicine (rifampin) : induction majeure (×0,5 à 0,3, parfois nécessité de doubler la dose de CsA). Contre-indication relative ; préférer rifabutine (interaction moindre).</w:t>
      </w:r>
    </w:p>
    <w:p>
      <w:pPr>
        <w:pStyle w:val="ListBullet"/>
      </w:pPr>
      <w:r>
        <w:t>Phénytoïne, phénobarbital, carbamazépine : induction majeure.</w:t>
      </w:r>
    </w:p>
    <w:p>
      <w:pPr>
        <w:pStyle w:val="ListBullet"/>
      </w:pPr>
      <w:r>
        <w:t>Millepertuis : induction majeure, CI absolue.</w:t>
      </w:r>
    </w:p>
    <w:p>
      <w:pPr>
        <w:pStyle w:val="ListBullet"/>
      </w:pPr>
      <w:r>
        <w:t>Éfavirenz, névirapine (antirétroviraux NNRTI).</w:t>
      </w:r>
    </w:p>
    <w:p>
      <w:pPr>
        <w:pStyle w:val="ListBullet"/>
      </w:pPr>
      <w:r>
        <w:t>Oxcarbazépine.</w:t>
      </w:r>
    </w:p>
    <w:p>
      <w:pPr>
        <w:pStyle w:val="ListBullet"/>
      </w:pPr>
      <w:r>
        <w:t>Aprepitant (anti-émétique).</w:t>
      </w:r>
    </w:p>
    <w:p>
      <w:pPr>
        <w:pStyle w:val="ListBullet"/>
      </w:pPr>
      <w:r>
        <w:t>Néfazodone.</w:t>
      </w:r>
    </w:p>
    <w:p>
      <w:pPr>
        <w:pStyle w:val="ListBullet"/>
      </w:pPr>
      <w:r>
        <w:t>Ticagrelor (faible).</w:t>
      </w:r>
    </w:p>
    <w:p>
      <w:pPr>
        <w:pStyle w:val="ListBullet"/>
      </w:pPr>
      <w:r>
        <w:t>Bosentan.</w:t>
      </w:r>
    </w:p>
    <w:p>
      <w:r/>
      <w:r>
        <w:rPr>
          <w:b/>
        </w:rPr>
        <w:t>Médicaments majorant la néphrotoxicité (à éviter ou surveiller)</w:t>
      </w:r>
      <w:r>
        <w:t xml:space="preserve"> :</w:t>
      </w:r>
    </w:p>
    <w:p>
      <w:pPr>
        <w:pStyle w:val="ListBullet"/>
      </w:pPr>
      <w:r>
        <w:t>AINS (ibuprofène, kétoprofène, diclofénac) : toxicité additive.</w:t>
      </w:r>
    </w:p>
    <w:p>
      <w:pPr>
        <w:pStyle w:val="ListBullet"/>
      </w:pPr>
      <w:r>
        <w:t>Aminosides (gentamicine, amikacine, tobramycine) : toxicité additive.</w:t>
      </w:r>
    </w:p>
    <w:p>
      <w:pPr>
        <w:pStyle w:val="ListBullet"/>
      </w:pPr>
      <w:r>
        <w:t>Cotrimoxazole (Bactrim) à forte dose.</w:t>
      </w:r>
    </w:p>
    <w:p>
      <w:pPr>
        <w:pStyle w:val="ListBullet"/>
      </w:pPr>
      <w:r>
        <w:t>Products de contraste iodés : hydratation, surveillance créatininémie 48 heures.</w:t>
      </w:r>
    </w:p>
    <w:p>
      <w:pPr>
        <w:pStyle w:val="ListBullet"/>
      </w:pPr>
      <w:r>
        <w:t>Vancomycine : surveillance conjointe.</w:t>
      </w:r>
    </w:p>
    <w:p>
      <w:pPr>
        <w:pStyle w:val="ListBullet"/>
      </w:pPr>
      <w:r>
        <w:t>Amphotéricine B : toxicité rénale additive majeure.</w:t>
      </w:r>
    </w:p>
    <w:p>
      <w:pPr>
        <w:pStyle w:val="ListBullet"/>
      </w:pPr>
      <w:r>
        <w:t>Diurétiques de l'anse : surveillance de la volémie et de la kaliémie.</w:t>
      </w:r>
    </w:p>
    <w:p>
      <w:pPr>
        <w:pStyle w:val="ListBullet"/>
      </w:pPr>
      <w:r>
        <w:t>Lithium : toxicité rénale et surdosage possible.</w:t>
      </w:r>
    </w:p>
    <w:p>
      <w:pPr>
        <w:pStyle w:val="ListBullet"/>
      </w:pPr>
      <w:r>
        <w:t>Metformine : en cas de baisse du DFG, arrêt du metformine pour éviter l'acidose lactique.</w:t>
      </w:r>
    </w:p>
    <w:p>
      <w:pPr>
        <w:pStyle w:val="ListBullet"/>
      </w:pPr>
      <w:r>
        <w:t>Tacrolimus : association des deux ICN proscrite.</w:t>
      </w:r>
    </w:p>
    <w:p>
      <w:r/>
      <w:r>
        <w:rPr>
          <w:b/>
        </w:rPr>
        <w:t>Médicaments majorant l'hyperkaliémie</w:t>
      </w:r>
      <w:r>
        <w:t xml:space="preserve"> :</w:t>
      </w:r>
    </w:p>
    <w:p>
      <w:pPr>
        <w:pStyle w:val="ListBullet"/>
      </w:pPr>
      <w:r>
        <w:t>IEC (énalapril, ramipril), ARA2 (losartan, valsartan).</w:t>
      </w:r>
    </w:p>
    <w:p>
      <w:pPr>
        <w:pStyle w:val="ListBullet"/>
      </w:pPr>
      <w:r>
        <w:t>Diurétiques épargneurs de potassium (spironolactone, amiloride, éplérénone).</w:t>
      </w:r>
    </w:p>
    <w:p>
      <w:pPr>
        <w:pStyle w:val="ListBullet"/>
      </w:pPr>
      <w:r>
        <w:t>Suppléments potassiques.</w:t>
      </w:r>
    </w:p>
    <w:p>
      <w:pPr>
        <w:pStyle w:val="ListBullet"/>
      </w:pPr>
      <w:r>
        <w:t>Héparine.</w:t>
      </w:r>
    </w:p>
    <w:p>
      <w:pPr>
        <w:pStyle w:val="ListBullet"/>
      </w:pPr>
      <w:r>
        <w:t>Triméthoprime (cotrimoxazole).</w:t>
      </w:r>
    </w:p>
    <w:p>
      <w:r/>
      <w:r>
        <w:rPr>
          <w:b/>
        </w:rPr>
        <w:t>Médicaments affectant l'uricémie</w:t>
      </w:r>
      <w:r>
        <w:t xml:space="preserve"> :</w:t>
      </w:r>
    </w:p>
    <w:p>
      <w:pPr>
        <w:pStyle w:val="ListBullet"/>
      </w:pPr>
      <w:r>
        <w:t>Diurétiques thiazidiques : hyperuricémie additive.</w:t>
      </w:r>
    </w:p>
    <w:p>
      <w:pPr>
        <w:pStyle w:val="ListBullet"/>
      </w:pPr>
      <w:r>
        <w:t>Pyrazinamide : hyperuricémie additive.</w:t>
      </w:r>
    </w:p>
    <w:p>
      <w:r/>
      <w:r>
        <w:rPr>
          <w:b/>
        </w:rPr>
        <w:t>Vaccins</w:t>
      </w:r>
      <w:r>
        <w:t xml:space="preserve"> :</w:t>
      </w:r>
    </w:p>
    <w:p>
      <w:pPr>
        <w:pStyle w:val="ListBullet"/>
      </w:pPr>
      <w:r>
        <w:t>Contre-indication absolue aux vaccins vivants atténués (BCG, ROR, fièvre jaune, varicelle, zona, rotavirus) en raison du risque de maladie vaccinale disséminée.</w:t>
      </w:r>
    </w:p>
    <w:p>
      <w:pPr>
        <w:pStyle w:val="ListBullet"/>
      </w:pPr>
      <w:r>
        <w:t>Vaccins inactivés : possible mais réponse immunitaire diminuée.</w:t>
      </w:r>
    </w:p>
    <w:p>
      <w:pPr>
        <w:pStyle w:val="Heading4"/>
      </w:pPr>
      <w:r>
        <w:t>171.1.1.9 Grossesse, allaitement et CRAT</w:t>
      </w:r>
    </w:p>
    <w:p>
      <w:r>
        <w:t xml:space="preserve">La ciclosporine est, selon les données du CRAT (Centre de Renseignement sur les Agents Tératogènes), un immunosuppresseur </w:t>
      </w:r>
      <w:r>
        <w:rPr>
          <w:b/>
        </w:rPr>
        <w:t>compatible avec la grossesse</w:t>
      </w:r>
      <w:r>
        <w:t xml:space="preserve"> chez la femme greffée, à condition d'une surveillance obstétricale et néphrologique renforcée. Les données accumulées depuis 1980 sur plus de 1 500 grossesses chez des femmes transplantées rénales sous ciclosporine n'ont pas mis en évidence d'augmentation du risque de malformations congénitales par rapport à la population générale. Cependant, plusieurs éléments de surveillance sont à considérer :</w:t>
      </w:r>
    </w:p>
    <w:p>
      <w:r/>
      <w:r>
        <w:rPr>
          <w:b/>
        </w:rPr>
        <w:t>Tératogénicité</w:t>
      </w:r>
      <w:r>
        <w:t xml:space="preserve"> : la ciclosporine n'est pas tératogène chez l'homme aux doses thérapeutiques (contrairement au mycophénolate). Chez l'animal (rat, lapin), des doses toxiques maternelles (&gt; 10 × thérapeutique) ont induit des malformations squelettiques et cardiovasculaires. Le risque malformatif chez l'humain est évalué à 4-5 % (équivalent à la population générale de 3-4 %).</w:t>
      </w:r>
    </w:p>
    <w:p>
      <w:r/>
      <w:r>
        <w:rPr>
          <w:b/>
        </w:rPr>
        <w:t>Risques maternels</w:t>
      </w:r>
      <w:r>
        <w:t xml:space="preserve"> :</w:t>
      </w:r>
    </w:p>
    <w:p>
      <w:pPr>
        <w:pStyle w:val="ListBullet"/>
      </w:pPr>
      <w:r>
        <w:t>Aggravation de l'HTA gravidique (40-60 % des patientes greffées) et pré-éclampsie (30 %) : surveillance tensionnelle bimensuelle, autosurveillance quotidienne, recherche de protéinurie aux bandelettes à chaque consultation.</w:t>
      </w:r>
    </w:p>
    <w:p>
      <w:pPr>
        <w:pStyle w:val="ListBullet"/>
      </w:pPr>
      <w:r>
        <w:t>Insuffisance rénale fonctionnelle : adaptation posologique de la ciclosporine en fonction de la créatininémie (variations physiologiques de la gravidité : DFG augmenté en début de grossesse, diminué en fin).</w:t>
      </w:r>
    </w:p>
    <w:p>
      <w:pPr>
        <w:pStyle w:val="ListBullet"/>
      </w:pPr>
      <w:r>
        <w:t>Diabète gestationnel : dépistage systématique par HGPO à 24-28 SA.</w:t>
      </w:r>
    </w:p>
    <w:p>
      <w:pPr>
        <w:pStyle w:val="ListBullet"/>
      </w:pPr>
      <w:r>
        <w:t>Anémie : supplémentation en fer et acide folique renforcée.</w:t>
      </w:r>
    </w:p>
    <w:p>
      <w:pPr>
        <w:pStyle w:val="ListBullet"/>
      </w:pPr>
      <w:r>
        <w:t>Infections urinaires : ECBU mensuel, antibiothérapie adaptée (nitrofurantoïne, céphalosporine).</w:t>
      </w:r>
    </w:p>
    <w:p>
      <w:r/>
      <w:r>
        <w:rPr>
          <w:b/>
        </w:rPr>
        <w:t>Risques fœtaux</w:t>
      </w:r>
      <w:r>
        <w:t xml:space="preserve"> :</w:t>
      </w:r>
    </w:p>
    <w:p>
      <w:pPr>
        <w:pStyle w:val="ListBullet"/>
      </w:pPr>
      <w:r>
        <w:t>Prématurité (50 % des grossesses sous ICN) : lieu d'accouchement maternel de niveau III (néonatologie).</w:t>
      </w:r>
    </w:p>
    <w:p>
      <w:pPr>
        <w:pStyle w:val="ListBullet"/>
      </w:pPr>
      <w:r>
        <w:t>Retard de croissance intra-utérin (RCIU) : 20-30 % des cas. Échographies mensuelles à partir de 24 SA.</w:t>
      </w:r>
    </w:p>
    <w:p>
      <w:pPr>
        <w:pStyle w:val="ListBullet"/>
      </w:pPr>
      <w:r>
        <w:t>Hypotrophie néonatale (poids de naissance moyen 2 400 g).</w:t>
      </w:r>
    </w:p>
    <w:p>
      <w:r/>
      <w:r>
        <w:rPr>
          <w:b/>
        </w:rPr>
        <w:t>Posologie pendant la grossesse</w:t>
      </w:r>
      <w:r>
        <w:t xml:space="preserve"> : la ciclosporine doit être poursuivie à dose efficace (ne jamais réduire ou interrompre par crainte tératogénique — le risque de rejet est bien supérieur au risque malformatif). Les concentrations résiduelles doivent être maintenues dans les cibles habituelles (100-150 ng/mL en transplantation rénale stable), en surveillant la fonction rénale. Adaptation posologique possible à la hausse en fin de grossesse en raison de l'augmentation du volume de distribution et de la clairance.</w:t>
      </w:r>
    </w:p>
    <w:p>
      <w:r/>
      <w:r>
        <w:rPr>
          <w:b/>
        </w:rPr>
        <w:t>Allaitement</w:t>
      </w:r>
      <w:r>
        <w:t xml:space="preserve"> : la ciclosporine passe dans le lait maternel à des concentrations de l'ordre de 1-2 % de la concentration plasmatique maternelle. La dose ingérée par le nourrisson est estimée à 0,5-2 % de la dose maternelle pondérée par kg, soit moins de 10 % de la dose pédiatrique thérapeutique (3-5 mg/kg/j). Selon le CRAT et l'Académie Américaine de Pédiatrie, l'allaitement est possible chez une femme transplantée stable sous ciclosporine, après information éclairée et surveillance pédiatrique (fonction rénale, tension artérielle, croissance staturo-pondérale de l'enfant). Cependant, la décision doit être individualisée : certains centres recommandent l'éviction de l'allaitement en raison du risque potentiel d'immunosuppression du nourrisson et de la disponibilité d'alternatives nutritionnelles adaptées.</w:t>
      </w:r>
    </w:p>
    <w:p>
      <w:r/>
      <w:r>
        <w:rPr>
          <w:b/>
        </w:rPr>
        <w:t>Contraception</w:t>
      </w:r>
      <w:r>
        <w:t xml:space="preserve"> : chez la femme greffée en âge de procréer non enceinte, une contraception efficace est indispensable (grossesse déconseillée pendant les 12-24 premiers mois post-transplantation). Les estroprogestatifs sont possibles mais peuvent majorer l'HTA ; les microprogestatifs (désogestrel) sont souvent préférés. Les dispositifs intra-utérins (DIU) sont autorisés. Le principe est d'attendre une fonction rénale stable (créatininémie &lt; 150 µmol/L, protéinurie &lt; 500 mg/24h, absence de rejet récent) avant toute conception.</w:t>
      </w:r>
    </w:p>
    <w:p>
      <w:r/>
      <w:r>
        <w:rPr>
          <w:b/>
        </w:rPr>
        <w:t>Père traité</w:t>
      </w:r>
      <w:r>
        <w:t xml:space="preserve"> : aucune donnée spécifique ne montre de toxicité de la ciclosporine sur la spermatogenèse ou de risque tératogène via le sperme. La paternité est possible sous ciclosporine.</w:t>
      </w:r>
    </w:p>
    <w:p>
      <w:r/>
      <w:r>
        <w:rPr>
          <w:b/>
        </w:rPr>
        <w:t>Recueil de gamètes et PMA</w:t>
      </w:r>
      <w:r>
        <w:t xml:space="preserve"> : la ciclosporine n'impose pas de report de projet de parentalité médicalement assistée, mais la contraception stricte est requise pour le partenaire féminin non immunisé dans le cas du mycophénolate (qui est, lui, contre-indiqué en grossesse — voir section correspondante).</w:t>
      </w:r>
    </w:p>
    <w:p>
      <w:pPr>
        <w:pStyle w:val="Heading4"/>
      </w:pPr>
      <w:r>
        <w:t>171.1.1.10 Formes galéniques disponibles</w:t>
      </w:r>
    </w:p>
    <w:p>
      <w:r>
        <w:t>La ciclosporine est disponible en Algérie sous plusieurs formes galéniques, qui se différencient par leur biodisponibilité et leurs modalités d'administration :</w:t>
      </w:r>
    </w:p>
    <w:p>
      <w:pPr>
        <w:pStyle w:val="ListNumber"/>
      </w:pPr>
      <w:r/>
      <w:r>
        <w:rPr>
          <w:b/>
        </w:rPr>
        <w:t>Capsule molle (gélule) — Sandimmun Neoral, Imusporin</w:t>
      </w:r>
      <w:r>
        <w:t xml:space="preserve"> : forme de microémulsion pré-concentrée, contenant la ciclosporine dissoute dans un mélange de solvants (alcool, propylèneglycol, esters d'acide gras, macrogolglycérides). La gélule se disperse dans le liquide gastrique pour former une microémulsion spontanée, améliorant l'absorption et réduisant la variabilité inter-individuelle par rapport à l'ancienne forme Sandimmun (forme non microémulsion). Dosages disponibles : 25 mg, 50 mg, 100 mg. Conservation à température ambiante (&lt; 25 °C), à l'abri de l'humidité et de la lumière. Durée de conservation après première ouverture : jusqu'à la date de péremption.</w:t>
      </w:r>
    </w:p>
    <w:p>
      <w:pPr>
        <w:pStyle w:val="ListNumber"/>
      </w:pPr>
      <w:r/>
      <w:r>
        <w:rPr>
          <w:b/>
        </w:rPr>
        <w:t>Solution buvable — Sandimmun Neoral, Ciclaid</w:t>
      </w:r>
      <w:r>
        <w:t xml:space="preserve"> : solution de ciclosporine dans un mélange huileux (macrogolglycérides, alcool éthylique), en flacon de 50 mL avec seringue graduée. La solution buvable est principalement destinée à l'adaptation posologique fine (enfant, patient ayant des difficultés à avaler les gélules, dose non couverte par les dosages disponibles en gélule). Posologie : 1 mg/kg/j par palier de 1 mg. Conservation : après première ouverture, 2 mois maximum. Remuer avant emploi (agitation douce), prélever avec la seringue doseuse fournie. La solution peut être diluée dans un liquide (jus d'orange, jus de pomme) pour masquer le goût ; ne pas diluer dans du jus de pamplemousse.</w:t>
      </w:r>
    </w:p>
    <w:p>
      <w:pPr>
        <w:pStyle w:val="ListNumber"/>
      </w:pPr>
      <w:r/>
      <w:r>
        <w:rPr>
          <w:b/>
        </w:rPr>
        <w:t>Concentré pour solution pour perfusion IV — Sandimmun</w:t>
      </w:r>
      <w:r>
        <w:t xml:space="preserve"> : flacon de 1 mL contenant 50 mg/mL de ciclosporine dans du polyoxyéthylèneglycol (crème de ricin polyethoxylée) et de l'éthanol. Dilution obligatoire dans NaCl 0,9 % ou G5 % à une concentration de 1 mg/mL (max 2 mg/mL), en flacon de verre avec tubulure sans PVC (la ciclosporine adsorbe au PVC en plastifiant DEHP). Administration en perfusion continue sur 24 heures ou en 2 perfusions de 4 heures. Voie réservée à la période péri-opératoire immédiate, à l'insuffisance digestive post-opératoire, à l'impossibilité temporaire de voie orale. Surveillance ECG continue en raison du risque d'anaphylaxie au solvant (crème de ricin polyethoxylée). Duree maximale de perfusion : 7 jours.</w:t>
      </w:r>
    </w:p>
    <w:p>
      <w:pPr>
        <w:pStyle w:val="ListNumber"/>
      </w:pPr>
      <w:r/>
      <w:r>
        <w:rPr>
          <w:b/>
        </w:rPr>
        <w:t>Émulsion ophtalmique — Restasis 0,05 %</w:t>
      </w:r>
      <w:r>
        <w:t xml:space="preserve"> : émulsion huile-dans-eau, sans conservateur, conditionnée en flacons unidose de 0,4 mL contenant 0,05 mg/mL de ciclosporine. Indication : kératoconjonctivite sèche sévère. Administration : 1 goutte × 2/jour dans chaque œil, à 12 heures d'intervalle. Conservation : flacons unidose à usage unique (jeter après ouverture). Forme non disponible en Algérie pour usage systémique.</w:t>
      </w:r>
    </w:p>
    <w:p>
      <w:pPr>
        <w:pStyle w:val="ListNumber"/>
      </w:pPr>
      <w:r/>
      <w:r>
        <w:rPr>
          <w:b/>
        </w:rPr>
        <w:t>Forme orale originelle (Sandimmun, retirée du marché algérien)</w:t>
      </w:r>
      <w:r>
        <w:t xml:space="preserve"> : forme non microémulsion, abandonnée dans les années 1990 au profit de la microémulsion Neoral, qui présentait une variabilité d'absorption moindre. Aucune forme à libération prolongée n'est commercialisée pour la ciclosporine en transplantation.</w:t>
      </w:r>
    </w:p>
    <w:p>
      <w:pPr>
        <w:pStyle w:val="Heading4"/>
      </w:pPr>
      <w:r>
        <w:t>171.1.1.11 Conseils au patient</w:t>
      </w:r>
    </w:p>
    <w:p>
      <w:r/>
      <w:r>
        <w:rPr>
          <w:b/>
        </w:rPr>
        <w:t>Conseils d'observance</w:t>
      </w:r>
      <w:r>
        <w:t xml:space="preserve"> :</w:t>
      </w:r>
    </w:p>
    <w:p>
      <w:pPr>
        <w:pStyle w:val="ListBullet"/>
      </w:pPr>
      <w:r>
        <w:t>Prendre la ciclosporine à heure fixe (par exemple 8 h et 20 h), à 12 heures d'intervalle exact.</w:t>
      </w:r>
    </w:p>
    <w:p>
      <w:pPr>
        <w:pStyle w:val="ListBullet"/>
      </w:pPr>
      <w:r>
        <w:t>Ne jamais sauter une prise : si une prise est oubliée depuis moins de 4 heures, la prendre ; si le délai dépasse 4 heures, ne pas doubler la prise suivante mais contacter le centre de transplantation.</w:t>
      </w:r>
    </w:p>
    <w:p>
      <w:pPr>
        <w:pStyle w:val="ListBullet"/>
      </w:pPr>
      <w:r>
        <w:t>Ne jamais interrompre le traitement, même en cas de fièvre, de diarrhée ou d'infection — contacter le médecin transplanteur qui adaptera la posologie.</w:t>
      </w:r>
    </w:p>
    <w:p>
      <w:pPr>
        <w:pStyle w:val="ListBullet"/>
      </w:pPr>
      <w:r>
        <w:t>Conserver le carnet de suivi avec les doses, les taux résiduels, les prises médicamenteuses associées, les résultats biologiques.</w:t>
      </w:r>
    </w:p>
    <w:p>
      <w:pPr>
        <w:pStyle w:val="ListBullet"/>
      </w:pPr>
      <w:r>
        <w:t>Apporter les boîtes à chaque consultation pharmaceutique.</w:t>
      </w:r>
    </w:p>
    <w:p>
      <w:r/>
      <w:r>
        <w:rPr>
          <w:b/>
        </w:rPr>
        <w:t>Conseils diététiques</w:t>
      </w:r>
      <w:r>
        <w:t xml:space="preserve"> :</w:t>
      </w:r>
    </w:p>
    <w:p>
      <w:pPr>
        <w:pStyle w:val="ListBullet"/>
      </w:pPr>
      <w:r>
        <w:t>Éviter le pamplemousse (fruit ou jus) pendant toute la durée du traitement (augmentation des taux, risque de toxicité).</w:t>
      </w:r>
    </w:p>
    <w:p>
      <w:pPr>
        <w:pStyle w:val="ListBullet"/>
      </w:pPr>
      <w:r>
        <w:t>Éviter l'alcool (potentialisation de la neurotoxicité et de l'hépatotoxicité).</w:t>
      </w:r>
    </w:p>
    <w:p>
      <w:pPr>
        <w:pStyle w:val="ListBullet"/>
      </w:pPr>
      <w:r>
        <w:t>Régime hyposodé (&lt; 6 g de sel/jour) pour limiter l'HTA.</w:t>
      </w:r>
    </w:p>
    <w:p>
      <w:pPr>
        <w:pStyle w:val="ListBullet"/>
      </w:pPr>
      <w:r>
        <w:t>Éviter les aliments riches en potassium (bananes, agrumes, légumes secs) si hyperkaliémie.</w:t>
      </w:r>
    </w:p>
    <w:p>
      <w:pPr>
        <w:pStyle w:val="ListBullet"/>
      </w:pPr>
      <w:r>
        <w:t>Alimentation équilibrée pour limiter la dyslipidémie : limiter les graisses saturées et le cholestérol.</w:t>
      </w:r>
    </w:p>
    <w:p>
      <w:pPr>
        <w:pStyle w:val="ListBullet"/>
      </w:pPr>
      <w:r>
        <w:t>Hydratation abondante : 1,5-2 L/jour (sauf contre-indication cardiaque ou rénale).</w:t>
      </w:r>
    </w:p>
    <w:p>
      <w:r/>
      <w:r>
        <w:rPr>
          <w:b/>
        </w:rPr>
        <w:t>Conseils d'hygiène</w:t>
      </w:r>
      <w:r>
        <w:t xml:space="preserve"> :</w:t>
      </w:r>
    </w:p>
    <w:p>
      <w:pPr>
        <w:pStyle w:val="ListBullet"/>
      </w:pPr>
      <w:r>
        <w:t>Brossage dentaire 3×/jour, bains de bouche chlorhexidine, consultation dentaire trimestrielle (prévention de l'hypertrophie gingivale).</w:t>
      </w:r>
    </w:p>
    <w:p>
      <w:pPr>
        <w:pStyle w:val="ListBullet"/>
      </w:pPr>
      <w:r>
        <w:t>Photoprotection stricte : écran solaire SPF 50+, vêtements couvrants, chapeau (prévention des carcinomes cutanés).</w:t>
      </w:r>
    </w:p>
    <w:p>
      <w:pPr>
        <w:pStyle w:val="ListBullet"/>
      </w:pPr>
      <w:r>
        <w:t>Éviter les contacts avec des personnes malades (varicelle, zona, rougeole, grippe).</w:t>
      </w:r>
    </w:p>
    <w:p>
      <w:pPr>
        <w:pStyle w:val="ListBullet"/>
      </w:pPr>
      <w:r>
        <w:t>Lavage des mains fréquent.</w:t>
      </w:r>
    </w:p>
    <w:p>
      <w:pPr>
        <w:pStyle w:val="ListBullet"/>
      </w:pPr>
      <w:r>
        <w:t>Éviter les vaccinations vivantes (BCG, ROR, fièvre jaune) — consulter le médecin avant tout voyage.</w:t>
      </w:r>
    </w:p>
    <w:p>
      <w:pPr>
        <w:pStyle w:val="ListBullet"/>
      </w:pPr>
      <w:r>
        <w:t>Éviter le contact avec les animaux à risque (pigeons, chatserrants) — prévention de la toxoplasmose.</w:t>
      </w:r>
    </w:p>
    <w:p>
      <w:pPr>
        <w:pStyle w:val="ListBullet"/>
      </w:pPr>
      <w:r>
        <w:t>Cuisson complète de la viande, du poisson et des œufs (prévention de la toxoplasmose, listériose, salmonellose).</w:t>
      </w:r>
    </w:p>
    <w:p>
      <w:pPr>
        <w:pStyle w:val="ListBullet"/>
      </w:pPr>
      <w:r>
        <w:t>Éviter les fromages au lait cru, les coquillages crus, les graines germées.</w:t>
      </w:r>
    </w:p>
    <w:p>
      <w:r/>
      <w:r>
        <w:rPr>
          <w:b/>
        </w:rPr>
        <w:t>Conseils de surveillance</w:t>
      </w:r>
      <w:r>
        <w:t xml:space="preserve"> :</w:t>
      </w:r>
    </w:p>
    <w:p>
      <w:pPr>
        <w:pStyle w:val="ListBullet"/>
      </w:pPr>
      <w:r>
        <w:t>Signaler immédiatement tout signe d'infection (fièvre, frissons, maux de gorge, brûlures mictionnelles) au médecin transplanteur.</w:t>
      </w:r>
    </w:p>
    <w:p>
      <w:pPr>
        <w:pStyle w:val="ListBullet"/>
      </w:pPr>
      <w:r>
        <w:t>Signaler tout signe neurologique (tremblements, céphalées inhabituelles, troubles visuels, confusion) — risque de leucoencéphalopathie postérieure réversible.</w:t>
      </w:r>
    </w:p>
    <w:p>
      <w:pPr>
        <w:pStyle w:val="ListBullet"/>
      </w:pPr>
      <w:r>
        <w:t>Signaler toute diminution de la diurèse, œdèmes des membres inférieurs, prise de poids rapide — risque d'insuffisance rénale.</w:t>
      </w:r>
    </w:p>
    <w:p>
      <w:pPr>
        <w:pStyle w:val="ListBullet"/>
      </w:pPr>
      <w:r>
        <w:t>Mesurer la tension artérielle 2 fois par semaine en domicile (carnet de tension).</w:t>
      </w:r>
    </w:p>
    <w:p>
      <w:pPr>
        <w:pStyle w:val="ListBullet"/>
      </w:pPr>
      <w:r>
        <w:t>Effectuer les prises de sang selon le calendrier prescrit (créatininémie, kaliémie, transaminases, ciclosporinémie résiduelle).</w:t>
      </w:r>
    </w:p>
    <w:p>
      <w:r/>
      <w:r>
        <w:rPr>
          <w:b/>
        </w:rPr>
        <w:t>Conseils de stockage</w:t>
      </w:r>
      <w:r>
        <w:t xml:space="preserve"> :</w:t>
      </w:r>
    </w:p>
    <w:p>
      <w:pPr>
        <w:pStyle w:val="ListBullet"/>
      </w:pPr>
      <w:r>
        <w:t>Conserver les gélules à température ambiante (&lt; 25 °C), à l'abri de la lumière et de l'humidité.</w:t>
      </w:r>
    </w:p>
    <w:p>
      <w:pPr>
        <w:pStyle w:val="ListBullet"/>
      </w:pPr>
      <w:r>
        <w:t>Conserver la solution buvable au frais (&lt; 8 °C) ou à température ambiante selon le RCP, après ouverture : 2 mois maximum.</w:t>
      </w:r>
    </w:p>
    <w:p>
      <w:pPr>
        <w:pStyle w:val="ListBullet"/>
      </w:pPr>
      <w:r>
        <w:t>Ne jamais congeler.</w:t>
      </w:r>
    </w:p>
    <w:p>
      <w:pPr>
        <w:pStyle w:val="ListBullet"/>
      </w:pPr>
      <w:r>
        <w:t>Tenir hors de portée des enfants.</w:t>
      </w:r>
    </w:p>
    <w:p>
      <w:pPr>
        <w:pStyle w:val="ListBullet"/>
      </w:pPr>
      <w:r>
        <w:t>Ne jamais jeter à la poubelle : rapporter les boîtes non utilisées à la pharmacie.</w:t>
      </w:r>
    </w:p>
    <w:p>
      <w:pPr>
        <w:pStyle w:val="Heading4"/>
      </w:pPr>
      <w:r>
        <w:t>171.1.1.12 Pièges au comptoir — Règles d'or</w:t>
      </w:r>
    </w:p>
    <w:p>
      <w:pPr>
        <w:pStyle w:val="ListNumber"/>
      </w:pPr>
      <w:r/>
      <w:r>
        <w:rPr>
          <w:b/>
        </w:rPr>
        <w:t>Jus de pamplemousse</w:t>
      </w:r>
      <w:r>
        <w:t xml:space="preserve"> : un patient sous ciclosporine qui boit un verre de pamplemousse le matin peut voir sa ciclosporinémie doubler en 24-48 heures, avec risque de néphrotoxicité aiguë, d'HTA sévère et de neurotoxicité. Interroger systématiquement le patient sur sa consommation de pamplemousse, et lui rappeler l'interdiction absolue pendant toute la durée du traitement.</w:t>
      </w:r>
    </w:p>
    <w:p>
      <w:pPr>
        <w:pStyle w:val="ListNumber"/>
      </w:pPr>
      <w:r/>
      <w:r>
        <w:rPr>
          <w:b/>
        </w:rPr>
        <w:t>Variabilité de marque</w:t>
      </w:r>
      <w:r>
        <w:t xml:space="preserve"> : la ciclosporine est une molécule à fenêtre thérapeutique étroite et la substitution de générique n'est pas recommandée sans contrôle de la ciclosporinémie après 7 jours. Si un patient revient avec une nouvelle marque (Imusporin ↔ Sandimmun Neoral ↔ Ciclaid), prévenir le médecin transplanteur pour un contrôle de la concentration résiduelle à J+7. Ne jamais substituer sans information du centre de transplantation.</w:t>
      </w:r>
    </w:p>
    <w:p>
      <w:pPr>
        <w:pStyle w:val="ListNumber"/>
      </w:pPr>
      <w:r/>
      <w:r>
        <w:rPr>
          <w:b/>
        </w:rPr>
        <w:t>Automédication dangereuse</w:t>
      </w:r>
      <w:r>
        <w:t xml:space="preserve"> : un patient sous ciclosporine qui prend de l'ibuprofène pour des douleurs articulaires peut développer une insuffisance rénale aiguë en 48 heures. Interroger systématiquement sur les automédications (AINS, paracétamol à forte dose, antihistaminiques, phytothérapie en particulier millepertuis). Le millepertuis (Hypericum perforatum) peut faire chuter la ciclosporinémie de plus de 50 % en quelques jours, exposant au rejet aigu.</w:t>
      </w:r>
    </w:p>
    <w:p>
      <w:pPr>
        <w:pStyle w:val="ListNumber"/>
      </w:pPr>
      <w:r/>
      <w:r>
        <w:rPr>
          <w:b/>
        </w:rPr>
        <w:t>Hypertrophie gingivale</w:t>
      </w:r>
      <w:r>
        <w:t xml:space="preserve"> : un patient qui se plaint de "gencives qui gonflent" sans cause dentaire évidente doit être orienté vers son dentiste et son médecin transplanteur (effet indésirable fréquent, ~30 % des patients sous ciclosporine). Hygiène bucco-dentaire renforcée ; parfois érythromycine ou azithromycine en cures courtes.</w:t>
      </w:r>
    </w:p>
    <w:p>
      <w:pPr>
        <w:pStyle w:val="ListNumber"/>
      </w:pPr>
      <w:r/>
      <w:r>
        <w:rPr>
          <w:b/>
        </w:rPr>
        <w:t>Femme enceinte sous ciclosporine</w:t>
      </w:r>
      <w:r>
        <w:t xml:space="preserve"> : la ciclosporine n'est pas tératogène chez l'humain (contrairement au mycophénolate). Une femme greffée peut être enceinte sous ciclosporine, mais doit être suivie conjointement (obstétricien + néphrologue + anesthésiste) en maternité de niveau III. Ne jamais arrêter la ciclosporine chez une femme greffée enceinte — le risque de rejet est majeur.</w:t>
      </w:r>
    </w:p>
    <w:p>
      <w:pPr>
        <w:pStyle w:val="ListNumber"/>
      </w:pPr>
      <w:r/>
      <w:r>
        <w:rPr>
          <w:b/>
        </w:rPr>
        <w:t>Vaccins vivants</w:t>
      </w:r>
      <w:r>
        <w:t xml:space="preserve"> : un patient greffé sous ciclosporine ne doit jamais recevoir de vaccin vivant atténué (BCG, ROR, fièvre jaune, varicelle, zona, rotavirus). En cas de voyage en zone d'endémie de fièvre jaune, délivrer une attestation de contre-indication médicale au vaccin antiamarile.</w:t>
      </w:r>
    </w:p>
    <w:p>
      <w:pPr>
        <w:pStyle w:val="ListNumber"/>
      </w:pPr>
      <w:r/>
      <w:r>
        <w:rPr>
          <w:b/>
        </w:rPr>
        <w:t>Suivi bucco-dentaire</w:t>
      </w:r>
      <w:r>
        <w:t xml:space="preserve"> : tout patient sous ciclosporine doit avoir un suivi dentaire régulier (tous les 3-6 mois). Prévenir le chirurgien-dentiste du traitement en cours pour adapter l'antibioprophylaxie.</w:t>
      </w:r>
    </w:p>
    <w:p>
      <w:pPr>
        <w:pStyle w:val="ListNumber"/>
      </w:pPr>
      <w:r/>
      <w:r>
        <w:rPr>
          <w:b/>
        </w:rPr>
        <w:t>Patient voyageant à l'étranger</w:t>
      </w:r>
      <w:r>
        <w:t xml:space="preserve"> : prévoir une réserve de médicaments suffisante (au moins 2 semaines supplémentaires), emporter le carnet de suivi avec les taux résiduels récents, souscrire une assurance santé rapatriement, identifier un centre de transplantation dans le pays de destination.</w:t>
      </w:r>
    </w:p>
    <w:p>
      <w:pPr>
        <w:pStyle w:val="ListNumber"/>
      </w:pPr>
      <w:r/>
      <w:r>
        <w:rPr>
          <w:b/>
        </w:rPr>
        <w:t>Forme IV — tubulure PVC</w:t>
      </w:r>
      <w:r>
        <w:t xml:space="preserve"> : si un patient hospitalisé reçoit la ciclosporine IV, vérifier que la tubulure utilisée est non PVC (la ciclosporine adsorbe au PVC et le DEHP relargué est toxique). Prévenir le pharmacien hospitalier en cas de doute.</w:t>
      </w:r>
    </w:p>
    <w:p>
      <w:pPr>
        <w:pStyle w:val="ListNumber"/>
      </w:pPr>
      <w:r/>
      <w:r>
        <w:rPr>
          <w:b/>
        </w:rPr>
        <w:t>Signes neurologiques d'urgence</w:t>
      </w:r>
      <w:r>
        <w:t xml:space="preserve"> : tout patient sous ciclosporine qui présente des céphalées brutales, des troubles visuels, des convulsions ou une confusion doit être adressé en urgences pour IRM cérébrale (recherche de PRES — leucoencéphalopathie postérieure réversible). Ne pas réitérer la prise de ciclosporine avant avis médical.</w:t>
      </w:r>
    </w:p>
    <w:p>
      <w:pPr>
        <w:pStyle w:val="ListNumber"/>
      </w:pPr>
      <w:r/>
      <w:r>
        <w:rPr>
          <w:b/>
        </w:rPr>
        <w:t>Solution buvable — flacon ouvert</w:t>
      </w:r>
      <w:r>
        <w:t xml:space="preserve"> : la solution buvable ne se conserve que 2 mois après ouverture. Vérifier la date d'ouverture sur le flacon. Au-delà, jeter le flacon et délivrer un nouveau.</w:t>
      </w:r>
    </w:p>
    <w:p>
      <w:pPr>
        <w:pStyle w:val="ListNumber"/>
      </w:pPr>
      <w:r/>
      <w:r>
        <w:rPr>
          <w:b/>
        </w:rPr>
        <w:t>Patient âgé</w:t>
      </w:r>
      <w:r>
        <w:t xml:space="preserve"> : surveiller la fonction rénale (créatininémie, DFG) toutes les 2-4 semaines chez le sujet âgé (&gt; 65 ans), en raison de la fréquence accrue de néphrotoxicité, des polypathologies et des interactions médicamenteuses multiples.</w:t>
      </w:r>
    </w:p>
    <w:p>
      <w:pPr>
        <w:pStyle w:val="ListNumber"/>
      </w:pPr>
      <w:r/>
      <w:r>
        <w:rPr>
          <w:b/>
        </w:rPr>
        <w:t>Conversion Sandimmun ↔ Imusporin ↔ Ciclaid</w:t>
      </w:r>
      <w:r>
        <w:t xml:space="preserve"> : toute conversion d'une marque à une autre doit s'accompagner d'un dosage de la ciclosporinémie à J+7 et à J+30. Documenter la marque et le dosage dans le dossier pharmaceutique.</w:t>
      </w:r>
    </w:p>
    <w:p>
      <w:pPr>
        <w:pStyle w:val="Heading3"/>
      </w:pPr>
      <w:r>
        <w:t>171.1.2 Tacrolimus (usage transplantation)</w:t>
      </w:r>
    </w:p>
    <w:p>
      <w:pPr>
        <w:pStyle w:val="Heading4"/>
      </w:pPr>
      <w:r>
        <w:t>171.1.2.1 Catégories pharmaco-thérapeutiques et indications</w:t>
      </w:r>
    </w:p>
    <w:p>
      <w:r>
        <w:t>Le tacrolimus (DCI : tacrolimus, FK506, fujimycine) est classé selon les rubriques suivantes :</w:t>
      </w:r>
    </w:p>
    <w:p>
      <w:pPr>
        <w:pStyle w:val="ListBullet"/>
      </w:pPr>
      <w:r/>
      <w:r>
        <w:rPr>
          <w:b/>
        </w:rPr>
        <w:t>Code ATC</w:t>
      </w:r>
      <w:r>
        <w:t xml:space="preserve"> : L04AD02 (immunosuppresseurs — inhibiteurs de la calcineurine).</w:t>
      </w:r>
    </w:p>
    <w:p>
      <w:pPr>
        <w:pStyle w:val="ListBullet"/>
      </w:pPr>
      <w:r/>
      <w:r>
        <w:rPr>
          <w:b/>
        </w:rPr>
        <w:t>Classification thérapeutique</w:t>
      </w:r>
      <w:r>
        <w:t xml:space="preserve"> : immunosuppresseur sélectif de la signalisation T (inhibiteur de la calcineurine de deuxième génération).</w:t>
      </w:r>
    </w:p>
    <w:p>
      <w:pPr>
        <w:pStyle w:val="ListBullet"/>
      </w:pPr>
      <w:r/>
      <w:r>
        <w:rPr>
          <w:b/>
        </w:rPr>
        <w:t>Classe chimique</w:t>
      </w:r>
      <w:r>
        <w:t xml:space="preserve"> : macrolide lactonique de 23 atomes (macrolide bicyclique), lipophile, d'origine bactérienne (*Streptomyces tsukubaensis*).</w:t>
      </w:r>
    </w:p>
    <w:p>
      <w:pPr>
        <w:pStyle w:val="ListBullet"/>
      </w:pPr>
      <w:r/>
      <w:r>
        <w:rPr>
          <w:b/>
        </w:rPr>
        <w:t>Statut réglementaire Algérie</w:t>
      </w:r>
      <w:r>
        <w:t xml:space="preserve"> : Liste I, prescription réservée aux spécialistes en transplantation.</w:t>
      </w:r>
    </w:p>
    <w:p>
      <w:pPr>
        <w:pStyle w:val="ListBullet"/>
      </w:pPr>
      <w:r/>
      <w:r>
        <w:rPr>
          <w:b/>
        </w:rPr>
        <w:t>Grossesse</w:t>
      </w:r>
      <w:r>
        <w:t xml:space="preserve"> : compatible sous surveillance (CRAT : même profil que la ciclosporine, surveillance obstétricale renforcée).</w:t>
      </w:r>
    </w:p>
    <w:p>
      <w:r>
        <w:t>Indications principales :</w:t>
      </w:r>
    </w:p>
    <w:p>
      <w:pPr>
        <w:pStyle w:val="ListNumber"/>
      </w:pPr>
      <w:r/>
      <w:r>
        <w:rPr>
          <w:b/>
        </w:rPr>
        <w:t>Transplantation d'organe</w:t>
      </w:r>
      <w:r>
        <w:t xml:space="preserve"> : prévention primaire du rejet de greffe (rein, foie, cœur, poumon, pancréas, intestin, multi-viscérale) en protocole d'entretien (trithérapie : tacrolimus + antimétabolite + corticoïde). Le tacrolimus est aujourd'hui l'ICN de référence dans la plupart des protocoles mondiaux, en particulier en transplantation hépatique (supériorité démontrée vs ciclosporine en termes de survie du greffon et de moindre incidence de rejet aigu).</w:t>
      </w:r>
    </w:p>
    <w:p>
      <w:pPr>
        <w:pStyle w:val="ListNumber"/>
      </w:pPr>
      <w:r/>
      <w:r>
        <w:rPr>
          <w:b/>
        </w:rPr>
        <w:t>Transplantation de moelle osseuse / cellules souches hématopoïétiques</w:t>
      </w:r>
      <w:r>
        <w:t xml:space="preserve"> : prophylaxie de la GVH aiguë et chronique, en association avec le méthotrexate courte durée ou en monothérapie.</w:t>
      </w:r>
    </w:p>
    <w:p>
      <w:pPr>
        <w:pStyle w:val="ListNumber"/>
      </w:pPr>
      <w:r/>
      <w:r>
        <w:rPr>
          <w:b/>
        </w:rPr>
        <w:t>Dermatologie (topique — hors AMM systémique)</w:t>
      </w:r>
      <w:r>
        <w:t xml:space="preserve"> : protocole pityriasis, dermatite atopique sévère (Protopic pommade — non disponible en Algérie sous cette forme).</w:t>
      </w:r>
    </w:p>
    <w:p>
      <w:pPr>
        <w:pStyle w:val="ListNumber"/>
      </w:pPr>
      <w:r/>
      <w:r>
        <w:rPr>
          <w:b/>
        </w:rPr>
        <w:t>Inductions immunosuppressives en hépatologie</w:t>
      </w:r>
      <w:r>
        <w:t xml:space="preserve"> : hépatite auto-immune corticorésistante ou corticodépendante (deuxième intention, hors AMM).</w:t>
      </w:r>
    </w:p>
    <w:p>
      <w:pPr>
        <w:pStyle w:val="ListNumber"/>
      </w:pPr>
      <w:r/>
      <w:r>
        <w:rPr>
          <w:b/>
        </w:rPr>
        <w:t>Néphrologie non greffe</w:t>
      </w:r>
      <w:r>
        <w:t xml:space="preserve"> : néphropathie lupique proliférative (protocole avec mycophénolate), néphrose corticorésistante (deuxième intention).</w:t>
      </w:r>
    </w:p>
    <w:p>
      <w:pPr>
        <w:pStyle w:val="ListNumber"/>
      </w:pPr>
      <w:r/>
      <w:r>
        <w:rPr>
          <w:b/>
        </w:rPr>
        <w:t>Gastro-entérologie</w:t>
      </w:r>
      <w:r>
        <w:t xml:space="preserve"> : maladies inflammatoires chroniques intestinales sévères corticorésistantes (RCH, maladie de Crohn — hors AMM).</w:t>
      </w:r>
    </w:p>
    <w:p>
      <w:r>
        <w:t>Le tacrolimus a remplacé la ciclosporine dans la plupart des protocoles de transplantation hépatique (réduction du rejet aigu de 30 %, meilleure survie du greffon à 1 an de 90 %) et rénale (réduction du rejet aigu de 15-20 %), mais au prix d'un risque accru de diabète post-transplantation (NODAT, New-Onset Diabetes After Transplantation) et de neurotoxicité.</w:t>
      </w:r>
    </w:p>
    <w:p>
      <w:pPr>
        <w:pStyle w:val="Heading4"/>
      </w:pPr>
      <w:r>
        <w:t>171.1.2.2 Médicaments disponibles en Algérie</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TACROLIMUS CINFA</w:t>
            </w:r>
          </w:p>
        </w:tc>
        <w:tc>
          <w:tcPr>
            <w:tcW w:type="dxa" w:w="1559"/>
          </w:tcPr>
          <w:p>
            <w:r>
              <w:rPr>
                <w:sz w:val="20"/>
              </w:rPr>
              <w:t>CINFA S.A.</w:t>
            </w:r>
          </w:p>
        </w:tc>
        <w:tc>
          <w:tcPr>
            <w:tcW w:type="dxa" w:w="1559"/>
          </w:tcPr>
          <w:p>
            <w:r>
              <w:rPr>
                <w:sz w:val="20"/>
              </w:rPr>
              <w:t>Gélule 0,5 mg</w:t>
            </w:r>
          </w:p>
        </w:tc>
        <w:tc>
          <w:tcPr>
            <w:tcW w:type="dxa" w:w="1559"/>
          </w:tcPr>
          <w:p>
            <w:r>
              <w:rPr>
                <w:sz w:val="20"/>
              </w:rPr>
              <w:t>B/100</w:t>
            </w:r>
          </w:p>
        </w:tc>
        <w:tc>
          <w:tcPr>
            <w:tcW w:type="dxa" w:w="1559"/>
          </w:tcPr>
          <w:p>
            <w:r>
              <w:rPr>
                <w:sz w:val="20"/>
              </w:rPr>
              <w:t>Liste I</w:t>
            </w:r>
          </w:p>
        </w:tc>
        <w:tc>
          <w:tcPr>
            <w:tcW w:type="dxa" w:w="1559"/>
          </w:tcPr>
          <w:p>
            <w:r>
              <w:rPr>
                <w:sz w:val="20"/>
              </w:rPr>
              <w:t>Actif</w:t>
            </w:r>
          </w:p>
        </w:tc>
      </w:tr>
      <w:tr>
        <w:tc>
          <w:tcPr>
            <w:tcW w:type="dxa" w:w="1559"/>
          </w:tcPr>
          <w:p>
            <w:r>
              <w:rPr>
                <w:sz w:val="20"/>
              </w:rPr>
              <w:t>TACROLIMUS CINFA</w:t>
            </w:r>
          </w:p>
        </w:tc>
        <w:tc>
          <w:tcPr>
            <w:tcW w:type="dxa" w:w="1559"/>
          </w:tcPr>
          <w:p>
            <w:r>
              <w:rPr>
                <w:sz w:val="20"/>
              </w:rPr>
              <w:t>CINFA S.A.</w:t>
            </w:r>
          </w:p>
        </w:tc>
        <w:tc>
          <w:tcPr>
            <w:tcW w:type="dxa" w:w="1559"/>
          </w:tcPr>
          <w:p>
            <w:r>
              <w:rPr>
                <w:sz w:val="20"/>
              </w:rPr>
              <w:t>Gélule 1 mg</w:t>
            </w:r>
          </w:p>
        </w:tc>
        <w:tc>
          <w:tcPr>
            <w:tcW w:type="dxa" w:w="1559"/>
          </w:tcPr>
          <w:p>
            <w:r>
              <w:rPr>
                <w:sz w:val="20"/>
              </w:rPr>
              <w:t>B/100</w:t>
            </w:r>
          </w:p>
        </w:tc>
        <w:tc>
          <w:tcPr>
            <w:tcW w:type="dxa" w:w="1559"/>
          </w:tcPr>
          <w:p>
            <w:r>
              <w:rPr>
                <w:sz w:val="20"/>
              </w:rPr>
              <w:t>Liste I</w:t>
            </w:r>
          </w:p>
        </w:tc>
        <w:tc>
          <w:tcPr>
            <w:tcW w:type="dxa" w:w="1559"/>
          </w:tcPr>
          <w:p>
            <w:r>
              <w:rPr>
                <w:sz w:val="20"/>
              </w:rPr>
              <w:t>Actif</w:t>
            </w:r>
          </w:p>
        </w:tc>
      </w:tr>
      <w:tr>
        <w:tc>
          <w:tcPr>
            <w:tcW w:type="dxa" w:w="1559"/>
          </w:tcPr>
          <w:p>
            <w:r>
              <w:rPr>
                <w:sz w:val="20"/>
              </w:rPr>
              <w:t>TACROLIMUS CINFA</w:t>
            </w:r>
          </w:p>
        </w:tc>
        <w:tc>
          <w:tcPr>
            <w:tcW w:type="dxa" w:w="1559"/>
          </w:tcPr>
          <w:p>
            <w:r>
              <w:rPr>
                <w:sz w:val="20"/>
              </w:rPr>
              <w:t>CINFA S.A.</w:t>
            </w:r>
          </w:p>
        </w:tc>
        <w:tc>
          <w:tcPr>
            <w:tcW w:type="dxa" w:w="1559"/>
          </w:tcPr>
          <w:p>
            <w:r>
              <w:rPr>
                <w:sz w:val="20"/>
              </w:rPr>
              <w:t>Gélule 5 mg</w:t>
            </w:r>
          </w:p>
        </w:tc>
        <w:tc>
          <w:tcPr>
            <w:tcW w:type="dxa" w:w="1559"/>
          </w:tcPr>
          <w:p>
            <w:r>
              <w:rPr>
                <w:sz w:val="20"/>
              </w:rPr>
              <w:t>B/100</w:t>
            </w:r>
          </w:p>
        </w:tc>
        <w:tc>
          <w:tcPr>
            <w:tcW w:type="dxa" w:w="1559"/>
          </w:tcPr>
          <w:p>
            <w:r>
              <w:rPr>
                <w:sz w:val="20"/>
              </w:rPr>
              <w:t>Liste I</w:t>
            </w:r>
          </w:p>
        </w:tc>
        <w:tc>
          <w:tcPr>
            <w:tcW w:type="dxa" w:w="1559"/>
          </w:tcPr>
          <w:p>
            <w:r>
              <w:rPr>
                <w:sz w:val="20"/>
              </w:rPr>
              <w:t>Actif</w:t>
            </w:r>
          </w:p>
        </w:tc>
      </w:tr>
      <w:tr>
        <w:tc>
          <w:tcPr>
            <w:tcW w:type="dxa" w:w="1559"/>
          </w:tcPr>
          <w:p>
            <w:r>
              <w:rPr>
                <w:sz w:val="20"/>
              </w:rPr>
              <w:t>TIM</w:t>
            </w:r>
          </w:p>
        </w:tc>
        <w:tc>
          <w:tcPr>
            <w:tcW w:type="dxa" w:w="1559"/>
          </w:tcPr>
          <w:p>
            <w:r>
              <w:rPr>
                <w:sz w:val="20"/>
              </w:rPr>
              <w:t>INPHA-MEDIS</w:t>
            </w:r>
          </w:p>
        </w:tc>
        <w:tc>
          <w:tcPr>
            <w:tcW w:type="dxa" w:w="1559"/>
          </w:tcPr>
          <w:p>
            <w:r>
              <w:rPr>
                <w:sz w:val="20"/>
              </w:rPr>
              <w:t>Gélule 0,5 mg</w:t>
            </w:r>
          </w:p>
        </w:tc>
        <w:tc>
          <w:tcPr>
            <w:tcW w:type="dxa" w:w="1559"/>
          </w:tcPr>
          <w:p>
            <w:r>
              <w:rPr>
                <w:sz w:val="20"/>
              </w:rPr>
              <w:t>B/100</w:t>
            </w:r>
          </w:p>
        </w:tc>
        <w:tc>
          <w:tcPr>
            <w:tcW w:type="dxa" w:w="1559"/>
          </w:tcPr>
          <w:p>
            <w:r>
              <w:rPr>
                <w:sz w:val="20"/>
              </w:rPr>
              <w:t>Liste I</w:t>
            </w:r>
          </w:p>
        </w:tc>
        <w:tc>
          <w:tcPr>
            <w:tcW w:type="dxa" w:w="1559"/>
          </w:tcPr>
          <w:p>
            <w:r>
              <w:rPr>
                <w:sz w:val="20"/>
              </w:rPr>
              <w:t>Actif</w:t>
            </w:r>
          </w:p>
        </w:tc>
      </w:tr>
      <w:tr>
        <w:tc>
          <w:tcPr>
            <w:tcW w:type="dxa" w:w="1559"/>
          </w:tcPr>
          <w:p>
            <w:r>
              <w:rPr>
                <w:sz w:val="20"/>
              </w:rPr>
              <w:t>TIM</w:t>
            </w:r>
          </w:p>
        </w:tc>
        <w:tc>
          <w:tcPr>
            <w:tcW w:type="dxa" w:w="1559"/>
          </w:tcPr>
          <w:p>
            <w:r>
              <w:rPr>
                <w:sz w:val="20"/>
              </w:rPr>
              <w:t>INPHA-MEDIS</w:t>
            </w:r>
          </w:p>
        </w:tc>
        <w:tc>
          <w:tcPr>
            <w:tcW w:type="dxa" w:w="1559"/>
          </w:tcPr>
          <w:p>
            <w:r>
              <w:rPr>
                <w:sz w:val="20"/>
              </w:rPr>
              <w:t>Gélule 1 mg</w:t>
            </w:r>
          </w:p>
        </w:tc>
        <w:tc>
          <w:tcPr>
            <w:tcW w:type="dxa" w:w="1559"/>
          </w:tcPr>
          <w:p>
            <w:r>
              <w:rPr>
                <w:sz w:val="20"/>
              </w:rPr>
              <w:t>B/100</w:t>
            </w:r>
          </w:p>
        </w:tc>
        <w:tc>
          <w:tcPr>
            <w:tcW w:type="dxa" w:w="1559"/>
          </w:tcPr>
          <w:p>
            <w:r>
              <w:rPr>
                <w:sz w:val="20"/>
              </w:rPr>
              <w:t>Liste I</w:t>
            </w:r>
          </w:p>
        </w:tc>
        <w:tc>
          <w:tcPr>
            <w:tcW w:type="dxa" w:w="1559"/>
          </w:tcPr>
          <w:p>
            <w:r>
              <w:rPr>
                <w:sz w:val="20"/>
              </w:rPr>
              <w:t>Actif</w:t>
            </w:r>
          </w:p>
        </w:tc>
      </w:tr>
      <w:tr>
        <w:tc>
          <w:tcPr>
            <w:tcW w:type="dxa" w:w="1559"/>
          </w:tcPr>
          <w:p>
            <w:r>
              <w:rPr>
                <w:sz w:val="20"/>
              </w:rPr>
              <w:t>TIM</w:t>
            </w:r>
          </w:p>
        </w:tc>
        <w:tc>
          <w:tcPr>
            <w:tcW w:type="dxa" w:w="1559"/>
          </w:tcPr>
          <w:p>
            <w:r>
              <w:rPr>
                <w:sz w:val="20"/>
              </w:rPr>
              <w:t>INPHA-MEDIS</w:t>
            </w:r>
          </w:p>
        </w:tc>
        <w:tc>
          <w:tcPr>
            <w:tcW w:type="dxa" w:w="1559"/>
          </w:tcPr>
          <w:p>
            <w:r>
              <w:rPr>
                <w:sz w:val="20"/>
              </w:rPr>
              <w:t>Gélule 5 mg</w:t>
            </w:r>
          </w:p>
        </w:tc>
        <w:tc>
          <w:tcPr>
            <w:tcW w:type="dxa" w:w="1559"/>
          </w:tcPr>
          <w:p>
            <w:r>
              <w:rPr>
                <w:sz w:val="20"/>
              </w:rPr>
              <w:t>B/100</w:t>
            </w:r>
          </w:p>
        </w:tc>
        <w:tc>
          <w:tcPr>
            <w:tcW w:type="dxa" w:w="1559"/>
          </w:tcPr>
          <w:p>
            <w:r>
              <w:rPr>
                <w:sz w:val="20"/>
              </w:rPr>
              <w:t>Liste I</w:t>
            </w:r>
          </w:p>
        </w:tc>
        <w:tc>
          <w:tcPr>
            <w:tcW w:type="dxa" w:w="1559"/>
          </w:tcPr>
          <w:p>
            <w:r>
              <w:rPr>
                <w:sz w:val="20"/>
              </w:rPr>
              <w:t>Actif</w:t>
            </w:r>
          </w:p>
        </w:tc>
      </w:tr>
      <w:tr>
        <w:tc>
          <w:tcPr>
            <w:tcW w:type="dxa" w:w="1559"/>
          </w:tcPr>
          <w:p>
            <w:r>
              <w:rPr>
                <w:sz w:val="20"/>
              </w:rPr>
              <w:t>VINGRAF</w:t>
            </w:r>
          </w:p>
        </w:tc>
        <w:tc>
          <w:tcPr>
            <w:tcW w:type="dxa" w:w="1559"/>
          </w:tcPr>
          <w:p>
            <w:r>
              <w:rPr>
                <w:sz w:val="20"/>
              </w:rPr>
              <w:t>EMCURE PHARMACEUTICALS LTD</w:t>
            </w:r>
          </w:p>
        </w:tc>
        <w:tc>
          <w:tcPr>
            <w:tcW w:type="dxa" w:w="1559"/>
          </w:tcPr>
          <w:p>
            <w:r>
              <w:rPr>
                <w:sz w:val="20"/>
              </w:rPr>
              <w:t>Gélule 1 mg</w:t>
            </w:r>
          </w:p>
        </w:tc>
        <w:tc>
          <w:tcPr>
            <w:tcW w:type="dxa" w:w="1559"/>
          </w:tcPr>
          <w:p>
            <w:r>
              <w:rPr>
                <w:sz w:val="20"/>
              </w:rPr>
              <w:t>B/10</w:t>
            </w:r>
          </w:p>
        </w:tc>
        <w:tc>
          <w:tcPr>
            <w:tcW w:type="dxa" w:w="1559"/>
          </w:tcPr>
          <w:p>
            <w:r>
              <w:rPr>
                <w:sz w:val="20"/>
              </w:rPr>
              <w:t>Liste I</w:t>
            </w:r>
          </w:p>
        </w:tc>
        <w:tc>
          <w:tcPr>
            <w:tcW w:type="dxa" w:w="1559"/>
          </w:tcPr>
          <w:p>
            <w:r>
              <w:rPr>
                <w:sz w:val="20"/>
              </w:rPr>
              <w:t>Actif</w:t>
            </w:r>
          </w:p>
        </w:tc>
      </w:tr>
      <w:tr>
        <w:tc>
          <w:tcPr>
            <w:tcW w:type="dxa" w:w="1559"/>
          </w:tcPr>
          <w:p>
            <w:r>
              <w:rPr>
                <w:sz w:val="20"/>
              </w:rPr>
              <w:t>PROGRAF</w:t>
            </w:r>
          </w:p>
        </w:tc>
        <w:tc>
          <w:tcPr>
            <w:tcW w:type="dxa" w:w="1559"/>
          </w:tcPr>
          <w:p>
            <w:r>
              <w:rPr>
                <w:sz w:val="20"/>
              </w:rPr>
              <w:t>HIKMA PHARMACEUTICALS</w:t>
            </w:r>
          </w:p>
        </w:tc>
        <w:tc>
          <w:tcPr>
            <w:tcW w:type="dxa" w:w="1559"/>
          </w:tcPr>
          <w:p>
            <w:r>
              <w:rPr>
                <w:sz w:val="20"/>
              </w:rPr>
              <w:t>Gélule 0,5 mg</w:t>
            </w:r>
          </w:p>
        </w:tc>
        <w:tc>
          <w:tcPr>
            <w:tcW w:type="dxa" w:w="1559"/>
          </w:tcPr>
          <w:p>
            <w:r>
              <w:rPr>
                <w:sz w:val="20"/>
              </w:rPr>
              <w:t>B/100</w:t>
            </w:r>
          </w:p>
        </w:tc>
        <w:tc>
          <w:tcPr>
            <w:tcW w:type="dxa" w:w="1559"/>
          </w:tcPr>
          <w:p>
            <w:r>
              <w:rPr>
                <w:sz w:val="20"/>
              </w:rPr>
              <w:t>Liste I</w:t>
            </w:r>
          </w:p>
        </w:tc>
        <w:tc>
          <w:tcPr>
            <w:tcW w:type="dxa" w:w="1559"/>
          </w:tcPr>
          <w:p>
            <w:r>
              <w:rPr>
                <w:sz w:val="20"/>
              </w:rPr>
              <w:t>Non renouvelable</w:t>
            </w:r>
          </w:p>
        </w:tc>
      </w:tr>
      <w:tr>
        <w:tc>
          <w:tcPr>
            <w:tcW w:type="dxa" w:w="1559"/>
          </w:tcPr>
          <w:p>
            <w:r>
              <w:rPr>
                <w:sz w:val="20"/>
              </w:rPr>
              <w:t>PROGRAF</w:t>
            </w:r>
          </w:p>
        </w:tc>
        <w:tc>
          <w:tcPr>
            <w:tcW w:type="dxa" w:w="1559"/>
          </w:tcPr>
          <w:p>
            <w:r>
              <w:rPr>
                <w:sz w:val="20"/>
              </w:rPr>
              <w:t>HIKMA PHARMACEUTICALS</w:t>
            </w:r>
          </w:p>
        </w:tc>
        <w:tc>
          <w:tcPr>
            <w:tcW w:type="dxa" w:w="1559"/>
          </w:tcPr>
          <w:p>
            <w:r>
              <w:rPr>
                <w:sz w:val="20"/>
              </w:rPr>
              <w:t>Gélule 1 mg</w:t>
            </w:r>
          </w:p>
        </w:tc>
        <w:tc>
          <w:tcPr>
            <w:tcW w:type="dxa" w:w="1559"/>
          </w:tcPr>
          <w:p>
            <w:r>
              <w:rPr>
                <w:sz w:val="20"/>
              </w:rPr>
              <w:t>B/100</w:t>
            </w:r>
          </w:p>
        </w:tc>
        <w:tc>
          <w:tcPr>
            <w:tcW w:type="dxa" w:w="1559"/>
          </w:tcPr>
          <w:p>
            <w:r>
              <w:rPr>
                <w:sz w:val="20"/>
              </w:rPr>
              <w:t>Liste I</w:t>
            </w:r>
          </w:p>
        </w:tc>
        <w:tc>
          <w:tcPr>
            <w:tcW w:type="dxa" w:w="1559"/>
          </w:tcPr>
          <w:p>
            <w:r>
              <w:rPr>
                <w:sz w:val="20"/>
              </w:rPr>
              <w:t>Non renouvelable</w:t>
            </w:r>
          </w:p>
        </w:tc>
      </w:tr>
      <w:tr>
        <w:tc>
          <w:tcPr>
            <w:tcW w:type="dxa" w:w="1559"/>
          </w:tcPr>
          <w:p>
            <w:r>
              <w:rPr>
                <w:sz w:val="20"/>
              </w:rPr>
              <w:t>PROGRAF</w:t>
            </w:r>
          </w:p>
        </w:tc>
        <w:tc>
          <w:tcPr>
            <w:tcW w:type="dxa" w:w="1559"/>
          </w:tcPr>
          <w:p>
            <w:r>
              <w:rPr>
                <w:sz w:val="20"/>
              </w:rPr>
              <w:t>HIKMA PHARMACEUTICALS</w:t>
            </w:r>
          </w:p>
        </w:tc>
        <w:tc>
          <w:tcPr>
            <w:tcW w:type="dxa" w:w="1559"/>
          </w:tcPr>
          <w:p>
            <w:r>
              <w:rPr>
                <w:sz w:val="20"/>
              </w:rPr>
              <w:t>Gélule 5 mg</w:t>
            </w:r>
          </w:p>
        </w:tc>
        <w:tc>
          <w:tcPr>
            <w:tcW w:type="dxa" w:w="1559"/>
          </w:tcPr>
          <w:p>
            <w:r>
              <w:rPr>
                <w:sz w:val="20"/>
              </w:rPr>
              <w:t>B/100</w:t>
            </w:r>
          </w:p>
        </w:tc>
        <w:tc>
          <w:tcPr>
            <w:tcW w:type="dxa" w:w="1559"/>
          </w:tcPr>
          <w:p>
            <w:r>
              <w:rPr>
                <w:sz w:val="20"/>
              </w:rPr>
              <w:t>Liste I</w:t>
            </w:r>
          </w:p>
        </w:tc>
        <w:tc>
          <w:tcPr>
            <w:tcW w:type="dxa" w:w="1559"/>
          </w:tcPr>
          <w:p>
            <w:r>
              <w:rPr>
                <w:sz w:val="20"/>
              </w:rPr>
              <w:t>Non renouvelable</w:t>
            </w:r>
          </w:p>
        </w:tc>
      </w:tr>
    </w:tbl>
    <w:p/>
    <w:p>
      <w:r>
        <w:t>Le marché algérien du tacrolimus oral est dominé par deux génériques : Tacrolimus Cinfa (Cinfa S.A., laboratoire espagnol) et TIM (Inpha-Medis, laboratoire algérien), tous deux disponibles en gélules 0,5/1/5 mg, conditionnement B/100. Une troisième spécialité, Vingraf (Emcure Pharmaceuticals), est disponible en gélule 1 mg, conditionnement B/10. Le princeps Prograf (initialement Fujisawa/Astellas, ici distribué par Hikma) n'est plus renouvelé. Aucune forme IV (Prograf solution injectable, Advagraf formulation à libération prolongée) n'est disponible en Algérie, ce qui peut poser problème en période péri-opératoire immédiate de transplantation, où le relais par voie naso-gastrique de gélules écrasées est parfois nécessaire.</w:t>
      </w:r>
    </w:p>
    <w:p>
      <w:pPr>
        <w:pStyle w:val="Heading4"/>
      </w:pPr>
      <w:r>
        <w:t>171.1.2.3 Mécanisme d'action moléculaire, cellulaire et physiologique</w:t>
      </w:r>
    </w:p>
    <w:p>
      <w:r>
        <w:t>Le tacrolimus partage avec la ciclosporine la cible finale — la calcineurine — mais s'y lie par l'intermédiaire d'une immunophiline différente, la FKBP12 (FK506-Binding Protein 12), également appelée macrophiline. Le mécanisme complet peut être détaillé en six niveaux :</w:t>
      </w:r>
    </w:p>
    <w:p>
      <w:r/>
      <w:r>
        <w:rPr>
          <w:b/>
        </w:rPr>
        <w:t>Niveau moléculaire — liaison à la FKBP12</w:t>
      </w:r>
      <w:r>
        <w:t xml:space="preserve"> : le tacrolimus est un macrolide lactonique (MW 822 Da) qui diffuse passivement à travers la membrane plasmique des lymphocytes T. Dans le cytosol, il se lie spécifiquement et avec une haute affinité (Ki 0,5 nM) à la FKBP12, une peptidyl-prolyl isomérase (PPIase, EC 5.2.1.8) cytosolique. Cette liaison, bien que stéréospécifique, n'inhibe pas l'activité PPIase de la FKBP12 (laquelle reste fonctionnelle pour le repliement des protéines), mais crée une surface d'interaction nouvelle capable de reconnaître la calcineurine.</w:t>
      </w:r>
    </w:p>
    <w:p>
      <w:r/>
      <w:r>
        <w:rPr>
          <w:b/>
        </w:rPr>
        <w:t>Niveau enzymatique — inhibition de la calcineurine</w:t>
      </w:r>
      <w:r>
        <w:t xml:space="preserve"> : le complexe tacrolimus-FKBP12 se fixe au domaine catalytique de la calcineurine (PP2B) à un site différent de celui du complexe CsA-CyPA. L'inhibition est non compétitive, réversible, dose-dépendante, et 100 fois plus puissante que celle de la ciclosporine (Ki tacrolimus = 0,5 nM ; Ki ciclosporine = 5 nM).</w:t>
      </w:r>
    </w:p>
    <w:p>
      <w:r/>
      <w:r>
        <w:rPr>
          <w:b/>
        </w:rPr>
        <w:t>Niveau transcriptionnel — blocage de NF-AT</w:t>
      </w:r>
      <w:r>
        <w:t xml:space="preserve"> : identique à la ciclosporine — la calcineurine inhibée ne peut pas déphosphoryler NF-ATc cytosolique, qui reste piégé hors du noyau et ne peut activer la transcription de l'IL-2.</w:t>
      </w:r>
    </w:p>
    <w:p>
      <w:r/>
      <w:r>
        <w:rPr>
          <w:b/>
        </w:rPr>
        <w:t>Niveau cellulaire — blocage de la production d'IL-2</w:t>
      </w:r>
      <w:r>
        <w:t xml:space="preserve"> : inhibition de la transcription de l'IL-2 et des autres cytokines T (IL-4, IL-5, IFN-γ, TNF-α). Effet 10 à 100 fois plus puissant que la ciclosporine à concentration équimolaire.</w:t>
      </w:r>
    </w:p>
    <w:p>
      <w:r/>
      <w:r>
        <w:rPr>
          <w:b/>
        </w:rPr>
        <w:t>Niveau physiologique — immunosuppression T</w:t>
      </w:r>
      <w:r>
        <w:t xml:space="preserve"> : identique à la ciclosporine, mais avec une puissance supérieure. Le tacrolimus conserve l'immunité innée (neutrophiles, macrophages, NK) et n'altère pas l'hématopoïèse. Toutefois, la déplétion en Treg est comparable à la ciclosporine.</w:t>
      </w:r>
    </w:p>
    <w:p>
      <w:r/>
      <w:r>
        <w:rPr>
          <w:b/>
        </w:rPr>
        <w:t>Niveau pharmacodynamique supplémentaire</w:t>
      </w:r>
      <w:r>
        <w:t xml:space="preserve"> : le tacrolimus a un effet inhibiteur direct sur les cellules β pancréatiques (apoptose des cellules β via activation des caspases, diminution de la transcription de l'insuline, altération de la signalisation calcique de la sécrétion d'insuline), expliquant sa diabétogénicité supérieure à celle de la ciclosporine. Il a également un effet neurotoxique direct (altération des astrocytes, démyélinisation, modification des canaux sodiques), expliquant l'incidence accrue de tremblements, convulsions et PRES. Enfin, le tacrolimus exerce un effet vasculaire direct sur les artérioles rénales afférentes (vasoconstriction par dysrégulation du NO et de l'endothéline), responsable de la néphrotoxicité aiguë et chronique.</w:t>
      </w:r>
    </w:p>
    <w:p>
      <w:r>
        <w:t>Le délai d'action est rapide (inhibition dès 1-2 heures), et l'effet immunosuppresseur clinique complet est atteint en 3-7 jours. Comme la ciclosporine, le tacrolimus n'a pas d'effet myélosuppressif.</w:t>
      </w:r>
    </w:p>
    <w:p>
      <w:pPr>
        <w:pStyle w:val="Heading4"/>
      </w:pPr>
      <w:r>
        <w:t>171.1.2.4 Pharmacocinétique (profil PK)</w:t>
      </w:r>
    </w:p>
    <w:p>
      <w:r/>
      <w:r>
        <w:rPr>
          <w:b/>
        </w:rPr>
        <w:t>Absorption</w:t>
      </w:r>
      <w:r>
        <w:t xml:space="preserve"> : le tacrolimus est administré par voie orale (gélule) ou intraveineuse (forme non disponible en Algérie). L'absorption orale est incomplète et très variable : biodisponibilité absolue de 5 à 67 % (moyenne 20 %), en raison de (i) un métabolisme présystémique intestinal par le CYP3A4/5 entérocytaire, (ii) un efflux actif par la P-glycoprotéine (P-gp, ABCB1) intestinale. Le pic plasmatique (Cmax) est atteint en 1 à 3 heures. La prise avec un repas riche en graisses diminue l'AUC d'environ 15-25 %. Le jus de pamplemousse augmente l'AUC de 50-100 % (CI absolue).</w:t>
      </w:r>
    </w:p>
    <w:p>
      <w:r/>
      <w:r>
        <w:rPr>
          <w:b/>
        </w:rPr>
        <w:t>Distribution</w:t>
      </w:r>
      <w:r>
        <w:t xml:space="preserve"> : volume de distribution à l'équilibre de 0,85 à 1,5 L/kg, suggérant une distribution principalement extracellulaire. Liaison aux protéines plasmatiques de 75 % (principalement α1-glycoprotéine acide, albumine, lipoprotéines). La pénétration dans le LCR est faible (&lt; 1 % de la concentration plasmatique), mais la pénétration tissulaire dans le foie, le rein, le cœur, les poumons est bonne. Le tacrolimus traverse le placenta (rapport fœto-maternel 0,3-0,4) et passe dans le lait maternel (concentration 0,5-2 % de la concentration maternelle).</w:t>
      </w:r>
    </w:p>
    <w:p>
      <w:r/>
      <w:r>
        <w:rPr>
          <w:b/>
        </w:rPr>
        <w:t>Métabolisme</w:t>
      </w:r>
      <w:r>
        <w:t xml:space="preserve"> : le tacrolimus est métabolisé à 99 % par le CYP3A4/5 hépatique et intestinal. Les voies principales sont la déméthylation, l'hydroxylation et la formation d'un métabolite lactone. Huit métabolites principaux sont identifiés (M1 à M8), tous moins actifs que la molécule mère (un seul métabolite, le 31-O-déméthyl-tacrolimus, conserve une activité résiduelle ~10 %).</w:t>
      </w:r>
    </w:p>
    <w:p>
      <w:r/>
      <w:r>
        <w:rPr>
          <w:b/>
        </w:rPr>
        <w:t>Élimination</w:t>
      </w:r>
      <w:r>
        <w:t xml:space="preserve"> : principalement biliaire (&gt; 90 %) et fécale. Seulement 2 % sont éliminés dans les urines. La demi-vie d'élimination terminale est de 12 à 20 heures (moyenne 15 heures), allongée en cas d'insuffisance hépatique (jusqu'à 40 heures) et chez le sujet âgé. La clairance totale est de 0,5 à 1,5 L/h/kg. Aucune adaptation posologique n'est nécessaire en cas d'insuffisance rénale, mais une surveillance accrue est recommandée (le tacrolimus étant néphrotoxique lui-même).</w:t>
      </w:r>
    </w:p>
    <w:p>
      <w:r/>
      <w:r>
        <w:rPr>
          <w:b/>
        </w:rPr>
        <w:t>Linéarité</w:t>
      </w:r>
      <w:r>
        <w:t xml:space="preserve"> : la pharmacocinétique est non linéaire, et les concentrations augmentent de manière plus que proportionnelle à la dose, en raison de la saturation du métabolisme présystémique.</w:t>
      </w:r>
    </w:p>
    <w:p>
      <w:r/>
      <w:r>
        <w:rPr>
          <w:b/>
        </w:rPr>
        <w:t>Polymorphisme génétique</w:t>
      </w:r>
      <w:r>
        <w:t xml:space="preserve"> : le polymorphisme CYP3A5</w:t>
      </w:r>
      <w:r>
        <w:rPr>
          <w:i/>
        </w:rPr>
        <w:t>3 (allèle muté fréquent chez les Caucasiens, 80-90 %) entraîne une activité enzymatique diminuée et donc une clairance réduite — les patients CYP3A5</w:t>
      </w:r>
      <w:r>
        <w:t>1/*1 (expressors, plus fréquents chez les sujets d'origine africaine) nécessitent des doses 1,5 à 2 fois supérieures pour atteindre les concentrations cibles. Le génotypage CYP3A5 est recommandé dans certains centres avant transplantation pour adapter la dose initiale.</w:t>
      </w:r>
    </w:p>
    <w:p>
      <w:r/>
      <w:r>
        <w:rPr>
          <w:b/>
        </w:rPr>
        <w:t>Suivi thérapeutique pharmacologique (STP)</w:t>
      </w:r>
      <w:r>
        <w:t xml:space="preserve"> : obligatoire en transplantation. Les concentrations résiduelles (C0) sont mesurées par méthode immunologique (FPIA, EMIT) ou LC-MS/MS (méthode de référence). Les cibles C0 varient selon le type de greffe et le délai post-transplantation :</w:t>
      </w:r>
    </w:p>
    <w:p>
      <w:pPr>
        <w:pStyle w:val="ListBullet"/>
      </w:pPr>
      <w:r>
        <w:t>Transplantation rénale, 0-3 mois : 8-12 ng/mL ; 3-6 mois : 6-10 ng/mL ; &gt; 6 mois : 4-8 ng/mL.</w:t>
      </w:r>
    </w:p>
    <w:p>
      <w:pPr>
        <w:pStyle w:val="ListBullet"/>
      </w:pPr>
      <w:r>
        <w:t>Transplantation hépatique, 0-3 mois : 8-10 ng/mL ; 3-6 mois : 6-8 ng/mL ; &gt; 6 mois : 4-6 ng/mL.</w:t>
      </w:r>
    </w:p>
    <w:p>
      <w:pPr>
        <w:pStyle w:val="ListBullet"/>
      </w:pPr>
      <w:r>
        <w:t>Transplantation cardiaque, 0-3 mois : 10-15 ng/mL ; &gt; 6 mois : 8-12 ng/mL.</w:t>
      </w:r>
    </w:p>
    <w:p>
      <w:pPr>
        <w:pStyle w:val="ListBullet"/>
      </w:pPr>
      <w:r>
        <w:t>Transplantation pulmonaire, 0-3 mois : 12-15 ng/mL ; &gt; 6 mois : 8-10 ng/mL.</w:t>
      </w:r>
    </w:p>
    <w:p>
      <w:r>
        <w:t>Le STP par AUC0-12h reflète mieux l'exposition totale mais n'est pas réalisable en routine ; le STP par C0 reste la méthode standard. L'adaptation posologique se fait par paliers de 0,5 à 1 mg par modification, en respectant un délai de 48-72 heures entre deux modifications.</w:t>
      </w:r>
    </w:p>
    <w:p>
      <w:pPr>
        <w:pStyle w:val="Heading4"/>
      </w:pPr>
      <w:r>
        <w:t>171.1.2.5 Indications thérapeutiques</w:t>
      </w:r>
    </w:p>
    <w:p>
      <w:pPr>
        <w:pStyle w:val="ListNumber"/>
      </w:pPr>
      <w:r/>
      <w:r>
        <w:rPr>
          <w:b/>
        </w:rPr>
        <w:t>Transplantation rénale</w:t>
      </w:r>
      <w:r>
        <w:t xml:space="preserve"> : inhibiteur calcineurine de première intention dans la plupart des protocoles modernes. Posologie initiale : 0,1-0,2 mg/kg/jour en deux prises (H0 et H12), débutée 12-24 heures avant la transplantation ou en peropératoire. Trithérapie classique : tacrolimus + mycophénolate mofétil (1 g × 2/j) + prednisone (0,5 mg/kg/j en décroissance). Le tacrolimus a démontré une supériorité sur la ciclosporine en termes de survie du greffon à 5 ans et d'incidence de rejet aigu (réduction de 15-20 %).</w:t>
      </w:r>
    </w:p>
    <w:p>
      <w:pPr>
        <w:pStyle w:val="ListNumber"/>
      </w:pPr>
      <w:r/>
      <w:r>
        <w:rPr>
          <w:b/>
        </w:rPr>
        <w:t>Transplantation hépatique</w:t>
      </w:r>
      <w:r>
        <w:t xml:space="preserve"> : ICN de référence (la ciclosporine étant associée à une incidence supérieure de rejet aigu et de fibrose cholangique). Posologie initiale : 0,05-0,1 mg/kg/jour en deux prises (en raison de la clairance accrue en post-transplantation hépatique immédiate, liée à la régénération hépatique et à un débit sanguin augmenté). Surveillance stricte de la fonction hépatique (transaminases, bilirubine, INR) et neurologique (tremblements, troubles de conscience — risque majoré d'encéphalopathie en cas d'insuffisance hépatique sévère).</w:t>
      </w:r>
    </w:p>
    <w:p>
      <w:pPr>
        <w:pStyle w:val="ListNumber"/>
      </w:pPr>
      <w:r/>
      <w:r>
        <w:rPr>
          <w:b/>
        </w:rPr>
        <w:t>Transplantation cardiaque</w:t>
      </w:r>
      <w:r>
        <w:t xml:space="preserve"> : ICN de première intention. Posologie initiale : 0,1 mg/kg/jour en deux prises. Cibles C0 plus élevées (10-15 ng/mL à M0-M3) en raison du risque vital de rejet aigu cardiaque.</w:t>
      </w:r>
    </w:p>
    <w:p>
      <w:pPr>
        <w:pStyle w:val="ListNumber"/>
      </w:pPr>
      <w:r/>
      <w:r>
        <w:rPr>
          <w:b/>
        </w:rPr>
        <w:t>Transplantation pulmonaire</w:t>
      </w:r>
      <w:r>
        <w:t xml:space="preserve"> : ICN de première intention. Cibles C0 les plus élevées (12-15 ng/mL à M0-M3) en raison de la fréquence du rejet chronique (bronchiolite oblitérante).</w:t>
      </w:r>
    </w:p>
    <w:p>
      <w:pPr>
        <w:pStyle w:val="ListNumber"/>
      </w:pPr>
      <w:r/>
      <w:r>
        <w:rPr>
          <w:b/>
        </w:rPr>
        <w:t>Transplantation de cellules souches hématopoïétiques</w:t>
      </w:r>
      <w:r>
        <w:t xml:space="preserve"> : prophylaxie de la GVH aiguë en association avec le méthotrexate courte durée (protocole dit "Tac+MTX"). Posologie 0,03 mg/kg/jour en perfusion continue IV ou 0,1-0,15 mg/kg/jour per os.</w:t>
      </w:r>
    </w:p>
    <w:p>
      <w:pPr>
        <w:pStyle w:val="ListNumber"/>
      </w:pPr>
      <w:r/>
      <w:r>
        <w:rPr>
          <w:b/>
        </w:rPr>
        <w:t>Néphrologie non greffe</w:t>
      </w:r>
      <w:r>
        <w:t xml:space="preserve"> : néphropathie lupique proliférative (classe IV ISN/RPS) en protocole avec mycophénolate mofétil ; néphrose corticorésistante en deuxième intention (posologie 0,1 mg/kg/jour).</w:t>
      </w:r>
    </w:p>
    <w:p>
      <w:pPr>
        <w:pStyle w:val="ListNumber"/>
      </w:pPr>
      <w:r/>
      <w:r>
        <w:rPr>
          <w:b/>
        </w:rPr>
        <w:t>Hépatologie</w:t>
      </w:r>
      <w:r>
        <w:t xml:space="preserve"> : hépatite auto-immune corticorésistante ou corticodépendante (deuxième intention, hors AMM).</w:t>
      </w:r>
    </w:p>
    <w:p>
      <w:pPr>
        <w:pStyle w:val="ListNumber"/>
      </w:pPr>
      <w:r/>
      <w:r>
        <w:rPr>
          <w:b/>
        </w:rPr>
        <w:t>Gastro-entérologie</w:t>
      </w:r>
      <w:r>
        <w:t xml:space="preserve"> : rectocolite hémorragique sévère corticorésistante, maladie de Crohn fistulisante (deuxième intention, hors AMM).</w:t>
      </w:r>
    </w:p>
    <w:p>
      <w:pPr>
        <w:pStyle w:val="ListNumber"/>
      </w:pPr>
      <w:r/>
      <w:r>
        <w:rPr>
          <w:b/>
        </w:rPr>
        <w:t>Dermatologie</w:t>
      </w:r>
      <w:r>
        <w:t xml:space="preserve"> : protocole topique Protopic 0,03 % et 0,1 % (dermatite atopique sévère) — non disponible en Algérie.</w:t>
      </w:r>
    </w:p>
    <w:p>
      <w:pPr>
        <w:pStyle w:val="Heading4"/>
      </w:pPr>
      <w:r>
        <w:t>171.1.2.6 Posologie et mode d'administration</w:t>
      </w:r>
    </w:p>
    <w:p>
      <w:r/>
      <w:r>
        <w:rPr>
          <w:b/>
        </w:rPr>
        <w:t>Transplantation d'organe (voie orale)</w:t>
      </w:r>
      <w:r>
        <w:t xml:space="preserve"> :</w:t>
      </w:r>
    </w:p>
    <w:p>
      <w:pPr>
        <w:pStyle w:val="ListBullet"/>
      </w:pPr>
      <w:r>
        <w:t>Dose initiale : 0,1 à 0,2 mg/kg/jour en deux prises à 12 heures d'intervalle (H0 et H12), à débuter 12-24 heures avant la greffe ou en peropératoire. Adaptation selon le génotype CYP3A5 : patients CYP3A5 expressors (*1/*1) : 0,3 mg/kg/jour ; non-expressors (*3/*3) : 0,15 mg/kg/jour.</w:t>
      </w:r>
    </w:p>
    <w:p>
      <w:pPr>
        <w:pStyle w:val="ListBullet"/>
      </w:pPr>
      <w:r>
        <w:t>Adaptation posologique : guidée par les concentrations résiduelles C0 mesurées à J+3, J+7, puis 2 fois par semaine pendant le 1er mois, puis 1 fois par semaine pendant 2 mois, puis mensuelle à terme. Adaptation par paliers de 0,5 à 1 mg maximum par modification, en respectant un délai de 48-72 heures entre deux modifications.</w:t>
      </w:r>
    </w:p>
    <w:p>
      <w:pPr>
        <w:pStyle w:val="ListBullet"/>
      </w:pPr>
      <w:r>
        <w:t>Co-administration avec corticoïdes (prednisone 0,5 mg/kg/j en décroissance) et antimétabolite (MMF 1 g × 2/j, ou azathioprine 1-2 mg/kg/j).</w:t>
      </w:r>
    </w:p>
    <w:p>
      <w:r/>
      <w:r>
        <w:rPr>
          <w:b/>
        </w:rPr>
        <w:t>Transplantation d'organe (voie IV)</w:t>
      </w:r>
      <w:r>
        <w:t xml:space="preserve"> :</w:t>
      </w:r>
    </w:p>
    <w:p>
      <w:pPr>
        <w:pStyle w:val="ListBullet"/>
      </w:pPr>
      <w:r>
        <w:t>Non disponible en Algérie. Dans les centres qui en disposent (Prograf solution injectable, 5 mg/mL) : dose IV = 1/3 à 1/4 de la dose orale, en perfusion continue sur 24 heures.</w:t>
      </w:r>
    </w:p>
    <w:p>
      <w:pPr>
        <w:pStyle w:val="ListBullet"/>
      </w:pPr>
      <w:r>
        <w:t>Réservée à la période péri-opératoire immédiate.</w:t>
      </w:r>
    </w:p>
    <w:p>
      <w:pPr>
        <w:pStyle w:val="ListBullet"/>
      </w:pPr>
      <w:r>
        <w:t>Dilution obligatoire dans NaCl 0,9 % ou G5 %, à une concentration de 0,004-0,1 mg/mL, en flacon non PVC. Surveillance ECG continue.</w:t>
      </w:r>
    </w:p>
    <w:p>
      <w:r/>
      <w:r>
        <w:rPr>
          <w:b/>
        </w:rPr>
        <w:t>Transplantation de cellules souches</w:t>
      </w:r>
      <w:r>
        <w:t xml:space="preserve"> :</w:t>
      </w:r>
    </w:p>
    <w:p>
      <w:pPr>
        <w:pStyle w:val="ListBullet"/>
      </w:pPr>
      <w:r>
        <w:t>Prophylaxie GVH : 0,03 mg/kg/jour en perfusion IV continue, ou 0,1-0,15 mg/kg/jour per os en 2 prises, en association avec le méthotrexate à J+1, J+3, J+6, J+11.</w:t>
      </w:r>
    </w:p>
    <w:p>
      <w:r/>
      <w:r>
        <w:rPr>
          <w:b/>
        </w:rPr>
        <w:t>Néphropathie lupique</w:t>
      </w:r>
      <w:r>
        <w:t xml:space="preserve"> :</w:t>
      </w:r>
    </w:p>
    <w:p>
      <w:pPr>
        <w:pStyle w:val="ListBullet"/>
      </w:pPr>
      <w:r>
        <w:t>0,1 mg/kg/jour en deux prises, surveillance C0 (cible 5-10 ng/mL).</w:t>
      </w:r>
    </w:p>
    <w:p>
      <w:r/>
      <w:r>
        <w:rPr>
          <w:b/>
        </w:rPr>
        <w:t>Hépatite auto-immune</w:t>
      </w:r>
      <w:r>
        <w:t xml:space="preserve"> :</w:t>
      </w:r>
    </w:p>
    <w:p>
      <w:pPr>
        <w:pStyle w:val="ListBullet"/>
      </w:pPr>
      <w:r>
        <w:t>0,1-0,15 mg/kg/jour en deux prises (deuxième intention, après échec de l'azathioprine).</w:t>
      </w:r>
    </w:p>
    <w:p>
      <w:r/>
      <w:r>
        <w:rPr>
          <w:b/>
        </w:rPr>
        <w:t>Adaptations posologiques</w:t>
      </w:r>
      <w:r>
        <w:t xml:space="preserve"> :</w:t>
      </w:r>
    </w:p>
    <w:p>
      <w:pPr>
        <w:pStyle w:val="ListBullet"/>
      </w:pPr>
      <w:r>
        <w:t>Insuffisance hépatique : réduction de 50 % selon la sévérité (clairance CYP3A4 diminuée ; risque de surdosage neurotoxique majeur). Surveillance stricte en post-transplantation hépatique.</w:t>
      </w:r>
    </w:p>
    <w:p>
      <w:pPr>
        <w:pStyle w:val="ListBullet"/>
      </w:pPr>
      <w:r>
        <w:t>Sujet âgé : pas d'adaptation systématique mais surveillance accrue.</w:t>
      </w:r>
    </w:p>
    <w:p>
      <w:pPr>
        <w:pStyle w:val="ListBullet"/>
      </w:pPr>
      <w:r>
        <w:t>Enfant : doses par kg supérieures à l'adulte (clairance augmentée, demi-vie plus courte).</w:t>
      </w:r>
    </w:p>
    <w:p>
      <w:pPr>
        <w:pStyle w:val="ListBullet"/>
      </w:pPr>
      <w:r>
        <w:t>Insuffisance rénale : pas d'adaptation posologique (le tacrolimus est néphrotoxique mais n'est pas éliminé par le rein) ; surveillance stricte de la créatininémie.</w:t>
      </w:r>
    </w:p>
    <w:p>
      <w:pPr>
        <w:pStyle w:val="ListBullet"/>
      </w:pPr>
      <w:r>
        <w:t>Patient CYP3A5 expressor (fréquent chez les sujets d'origine africaine) : doses 1,5 à 2 fois supérieures.</w:t>
      </w:r>
    </w:p>
    <w:p>
      <w:r/>
      <w:r>
        <w:rPr>
          <w:b/>
        </w:rPr>
        <w:t>Règle d'or de prise</w:t>
      </w:r>
      <w:r>
        <w:t xml:space="preserve"> : prendre à heure fixe (H0 et H12), à distance des repas (1 heure avant ou 2 heures après) pour limiter la variabilité d'absorption, ne jamais interrompre brutalement (risque de rejet aigu). La posologie est divisée en deux prises espacées de 12 heures exactement pour maintenir une exposition constante.</w:t>
      </w:r>
    </w:p>
    <w:p>
      <w:pPr>
        <w:pStyle w:val="Heading4"/>
      </w:pPr>
      <w:r>
        <w:t>171.1.2.7 Effets indésirables et prévention</w:t>
      </w:r>
    </w:p>
    <w:p>
      <w:r/>
      <w:r>
        <w:rPr>
          <w:b/>
        </w:rPr>
        <w:t>Effets indésirables fréquents (&gt; 10 %)</w:t>
      </w:r>
      <w:r>
        <w:t xml:space="preserve"> :</w:t>
      </w:r>
    </w:p>
    <w:p>
      <w:pPr>
        <w:pStyle w:val="ListBullet"/>
      </w:pPr>
      <w:r/>
      <w:r>
        <w:rPr>
          <w:b/>
        </w:rPr>
        <w:t>Néphrotoxicité</w:t>
      </w:r>
      <w:r>
        <w:t xml:space="preserve"> : effet de classe des ICN, similaire à la ciclosporine mais souvent moins marquée à concentrations équivalentes. Mécanisme : vasoconstriction de l'artériole afférente glomérulaire ; néphropathie chronique tubulo-interstitielle avec fibrose striée. Surveillance : créatininémie hebdomadaire le 1er mois, puis mensuelle ; calcul DFG (CKD-EPI) ; ne pas dépasser une augmentation &gt; 30 % de la créatininémie initiale. Prévention : adapter les doses en fonction des C0, maintenir une hydratation adéquate, éviter les associations néphrotoxiques.</w:t>
      </w:r>
    </w:p>
    <w:p>
      <w:pPr>
        <w:pStyle w:val="ListBullet"/>
      </w:pPr>
      <w:r/>
      <w:r>
        <w:rPr>
          <w:b/>
        </w:rPr>
        <w:t>Neurotoxicité</w:t>
      </w:r>
      <w:r>
        <w:t xml:space="preserve"> : 30-60 % des patients. Mécanisme : toxicité directe sur les astrocytes, altération de la barrière hémato-encéphalique, modifications des canaux sodiques. Expression clinique : tremblements fins des extrémités (très fréquents, dose-dépendants, régressent à la baisse de dose), céphalées, insomnies, anxiété. Formes sévères : convulsions, leucoencéphalopathie postérieure réversible (PRES), syndrome cérébelleux, coma. Surveillance : examen neurologique mensuel le 1er trimestre ; IRM cérébrale en urgence si signes focaux ou troubles de conscience. Prévention : adapter la dose, éviter les surdosages.</w:t>
      </w:r>
    </w:p>
    <w:p>
      <w:pPr>
        <w:pStyle w:val="ListBullet"/>
      </w:pPr>
      <w:r/>
      <w:r>
        <w:rPr>
          <w:b/>
        </w:rPr>
        <w:t>Diabète post-transplantation (NODAT)</w:t>
      </w:r>
      <w:r>
        <w:t xml:space="preserve"> : 15-30 % des patients (incidence supérieure à la ciclosporine). Mécanisme : toxicité directe sur les cellules β pancréatiques, diminution de l'insulinosécrétion, majoration de l'insulinorésistance par les corticoïdes associés. Surveillance : glycémie à jeun 3×/semaine le 1er mois, puis mensuelle ; HbA1c trimestrielle. Prévention : régime diabétique, activité physique, optimisation de la dose minimale efficace.</w:t>
      </w:r>
    </w:p>
    <w:p>
      <w:pPr>
        <w:pStyle w:val="ListBullet"/>
      </w:pPr>
      <w:r/>
      <w:r>
        <w:rPr>
          <w:b/>
        </w:rPr>
        <w:t>Hypertension artérielle</w:t>
      </w:r>
      <w:r>
        <w:t xml:space="preserve"> : 50-80 % des patients, mais moins marquée qu'avec la ciclosporine. Prévention : inhibiteurs calciques (amlodipine) ; éviter les IEC/ARA2 si hyperkaliémie ou sténose artérielle rénale.</w:t>
      </w:r>
    </w:p>
    <w:p>
      <w:pPr>
        <w:pStyle w:val="ListBullet"/>
      </w:pPr>
      <w:r/>
      <w:r>
        <w:rPr>
          <w:b/>
        </w:rPr>
        <w:t>Hyperkaliémie</w:t>
      </w:r>
      <w:r>
        <w:t xml:space="preserve"> : 20-40 %. Mécanisme : inhibition de la sécrétion tubulaire distale de potassium. Surveillance : kaliémie mensuelle.</w:t>
      </w:r>
    </w:p>
    <w:p>
      <w:pPr>
        <w:pStyle w:val="ListBullet"/>
      </w:pPr>
      <w:r/>
      <w:r>
        <w:rPr>
          <w:b/>
        </w:rPr>
        <w:t>Hypomagnésémie</w:t>
      </w:r>
      <w:r>
        <w:t xml:space="preserve"> : 30-50 %, plus marquée qu'avec la ciclosporine. Mécanisme : fuite tubulaire rénale de magnésium. Surveillance : magnésémie mensuelle. Supplémentation : magnésium oral 300-600 mg/j.</w:t>
      </w:r>
    </w:p>
    <w:p>
      <w:pPr>
        <w:pStyle w:val="ListBullet"/>
      </w:pPr>
      <w:r/>
      <w:r>
        <w:rPr>
          <w:b/>
        </w:rPr>
        <w:t>Hyperlipidémie</w:t>
      </w:r>
      <w:r>
        <w:t xml:space="preserve"> : 20-30 % (moins marquée qu'avec la ciclosporine). Surveillance : bilan lipidique semestriel. Traitement : statines (pravastatine, fluvastatine).</w:t>
      </w:r>
    </w:p>
    <w:p>
      <w:pPr>
        <w:pStyle w:val="ListBullet"/>
      </w:pPr>
      <w:r/>
      <w:r>
        <w:rPr>
          <w:b/>
        </w:rPr>
        <w:t>Infections opportunistes</w:t>
      </w:r>
      <w:r>
        <w:t xml:space="preserve"> : CMV (prophylaxie valganciclovir 3 mois), BK virus, Pneumocystis jirovecii (prophylaxie cotrimoxazole 6 mois), candidose, aspergillose.</w:t>
      </w:r>
    </w:p>
    <w:p>
      <w:pPr>
        <w:pStyle w:val="ListBullet"/>
      </w:pPr>
      <w:r/>
      <w:r>
        <w:rPr>
          <w:b/>
        </w:rPr>
        <w:t>Effets gastro-intestinaux</w:t>
      </w:r>
      <w:r>
        <w:t xml:space="preserve"> : diarrhée (20-30 %), nausées, dyspepsie. Mécanisme : toxicité directe sur l'épithélium intestinal.</w:t>
      </w:r>
    </w:p>
    <w:p>
      <w:pPr>
        <w:pStyle w:val="ListBullet"/>
      </w:pPr>
      <w:r/>
      <w:r>
        <w:rPr>
          <w:b/>
        </w:rPr>
        <w:t>Alopécie</w:t>
      </w:r>
      <w:r>
        <w:t xml:space="preserve"> : 10-20 % des patients (effet paradoxal inverse de l'hypertrichose de la ciclosporine). Régressive à la baisse de dose.</w:t>
      </w:r>
    </w:p>
    <w:p>
      <w:pPr>
        <w:pStyle w:val="ListBullet"/>
      </w:pPr>
      <w:r/>
      <w:r>
        <w:rPr>
          <w:b/>
        </w:rPr>
        <w:t>Insomnie, anxiété</w:t>
      </w:r>
      <w:r>
        <w:t xml:space="preserve"> : 20-30 %. Mécanisme : neurotoxicité centrale.</w:t>
      </w:r>
    </w:p>
    <w:p>
      <w:r/>
      <w:r>
        <w:rPr>
          <w:b/>
        </w:rPr>
        <w:t>Effets indésirables moins fréquents (1-10 %)</w:t>
      </w:r>
      <w:r>
        <w:t xml:space="preserve"> :</w:t>
      </w:r>
    </w:p>
    <w:p>
      <w:pPr>
        <w:pStyle w:val="ListBullet"/>
      </w:pPr>
      <w:r>
        <w:t>Perturbations hépatiques (cytolyse, cholestase) — surveillance ALAT/ASAT mensuelle.</w:t>
      </w:r>
    </w:p>
    <w:p>
      <w:pPr>
        <w:pStyle w:val="ListBullet"/>
      </w:pPr>
      <w:r>
        <w:t>Anémie, leucopénie, thrombopénie.</w:t>
      </w:r>
    </w:p>
    <w:p>
      <w:pPr>
        <w:pStyle w:val="ListBullet"/>
      </w:pPr>
      <w:r>
        <w:t>Prurit, rash cutané.</w:t>
      </w:r>
    </w:p>
    <w:p>
      <w:pPr>
        <w:pStyle w:val="ListBullet"/>
      </w:pPr>
      <w:r>
        <w:t>Hypertrophie gingivale (moins fréquente qu'avec la ciclosporine, &lt; 5 %).</w:t>
      </w:r>
    </w:p>
    <w:p>
      <w:pPr>
        <w:pStyle w:val="ListBullet"/>
      </w:pPr>
      <w:r>
        <w:t>Hyperuricémie et goutte (moins fréquente qu'avec la ciclosporine).</w:t>
      </w:r>
    </w:p>
    <w:p>
      <w:r/>
      <w:r>
        <w:rPr>
          <w:b/>
        </w:rPr>
        <w:t>Effets indésirables rares (&lt; 1 %)</w:t>
      </w:r>
      <w:r>
        <w:t xml:space="preserve"> :</w:t>
      </w:r>
    </w:p>
    <w:p>
      <w:pPr>
        <w:pStyle w:val="ListBullet"/>
      </w:pPr>
      <w:r>
        <w:t>Leucoencéphalopathie postérieure réversible (PRES) : urgence neurologique. Arrêt immédiat du tacrolimus, relais par un autre immunosuppresseur.</w:t>
      </w:r>
    </w:p>
    <w:p>
      <w:pPr>
        <w:pStyle w:val="ListBullet"/>
      </w:pPr>
      <w:r>
        <w:t>Syndrome hémolytique et urémique (SHU) : microangiopathie thrombotique. Arrêt obligatoire.</w:t>
      </w:r>
    </w:p>
    <w:p>
      <w:pPr>
        <w:pStyle w:val="ListBullet"/>
      </w:pPr>
      <w:r>
        <w:t>Cardiomyopathie hypertrophique (enfant) : surveillance échographique.</w:t>
      </w:r>
    </w:p>
    <w:p>
      <w:pPr>
        <w:pStyle w:val="ListBullet"/>
      </w:pPr>
      <w:r>
        <w:t>Pancréatite aiguë.</w:t>
      </w:r>
    </w:p>
    <w:p>
      <w:pPr>
        <w:pStyle w:val="ListBullet"/>
      </w:pPr>
      <w:r>
        <w:t>Réactions d'hypersensibilité (surtout avec la forme IV contenant du polyoxyéthylèneglycol).</w:t>
      </w:r>
    </w:p>
    <w:p>
      <w:pPr>
        <w:pStyle w:val="ListBullet"/>
      </w:pPr>
      <w:r>
        <w:t>Hémolyse en cas d'association inappropriée avec l'érythromycine ou les inhibiteurs de protéase.</w:t>
      </w:r>
    </w:p>
    <w:p>
      <w:r/>
      <w:r>
        <w:rPr>
          <w:b/>
        </w:rPr>
        <w:t>Effets à long terme</w:t>
      </w:r>
      <w:r>
        <w:t xml:space="preserve"> :</w:t>
      </w:r>
    </w:p>
    <w:p>
      <w:pPr>
        <w:pStyle w:val="ListBullet"/>
      </w:pPr>
      <w:r>
        <w:t>Cancers post-transplantation : incidence multipliée par 3-5 par rapport à la population générale. Lymphomes EBV-induced PTLD, carcinomes cutanés, sarcome de Kaposi.</w:t>
      </w:r>
    </w:p>
    <w:p>
      <w:pPr>
        <w:pStyle w:val="ListBullet"/>
      </w:pPr>
      <w:r>
        <w:t>Insuffisance rénale chronique du greffon : incidence cumulée 10-15 % à 10 ans, conduisant à la dialyse ou à la retransplantation.</w:t>
      </w:r>
    </w:p>
    <w:p>
      <w:r/>
      <w:r>
        <w:rPr>
          <w:b/>
        </w:rPr>
        <w:t>Prévention générale des EI</w:t>
      </w:r>
      <w:r>
        <w:t xml:space="preserve"> :</w:t>
      </w:r>
    </w:p>
    <w:p>
      <w:pPr>
        <w:pStyle w:val="ListBullet"/>
      </w:pPr>
      <w:r>
        <w:t>Hydratation abondante (1,5-2 L/j).</w:t>
      </w:r>
    </w:p>
    <w:p>
      <w:pPr>
        <w:pStyle w:val="ListBullet"/>
      </w:pPr>
      <w:r>
        <w:t>Éviter le pamplemousse pendant toute la durée du traitement.</w:t>
      </w:r>
    </w:p>
    <w:p>
      <w:pPr>
        <w:pStyle w:val="ListBullet"/>
      </w:pPr>
      <w:r>
        <w:t>Photoprotection stricte (écran solaire SPF 50+, vêtements couvrants) pour prévenir les carcinomes cutanés.</w:t>
      </w:r>
    </w:p>
    <w:p>
      <w:pPr>
        <w:pStyle w:val="ListBullet"/>
      </w:pPr>
      <w:r>
        <w:t>Vaccinations : mise à jour avant transplantation ; contre-indication absolue aux vaccins vivants atténués en cours d'immunosuppression.</w:t>
      </w:r>
    </w:p>
    <w:p>
      <w:pPr>
        <w:pStyle w:val="ListBullet"/>
      </w:pPr>
      <w:r>
        <w:t>Surveillance de la glycémie : 3 fois par semaine le 1er mois, puis mensuelle.</w:t>
      </w:r>
    </w:p>
    <w:p>
      <w:pPr>
        <w:pStyle w:val="ListBullet"/>
      </w:pPr>
      <w:r>
        <w:t>Surveillance de la tension artérielle : autosurveillance hebdomadaire.</w:t>
      </w:r>
    </w:p>
    <w:p>
      <w:pPr>
        <w:pStyle w:val="ListBullet"/>
      </w:pPr>
      <w:r>
        <w:t>Prévention de l'ostéoporose cortisonique (calcium + vitamine D, diphosphonates si ostéodensitométrie pathologique).</w:t>
      </w:r>
    </w:p>
    <w:p>
      <w:pPr>
        <w:pStyle w:val="Heading4"/>
      </w:pPr>
      <w:r>
        <w:t>171.1.2.8 Interactions médicamenteuses</w:t>
      </w:r>
    </w:p>
    <w:p>
      <w:r>
        <w:t>Le tacrolimus partage avec la ciclosporine un spectre d'interactions médicamenteuses majeur, dominé par le métabolisme CYP3A4 et le transport P-gp. La fenêtre thérapeutique étroite impose une vigilance constante.</w:t>
      </w:r>
    </w:p>
    <w:p>
      <w:r/>
      <w:r>
        <w:rPr>
          <w:b/>
        </w:rPr>
        <w:t>Inhibiteurs du CYP3A4 (augmentation des taux → toxicité)</w:t>
      </w:r>
      <w:r>
        <w:t xml:space="preserve"> :</w:t>
      </w:r>
    </w:p>
    <w:p>
      <w:pPr>
        <w:pStyle w:val="ListBullet"/>
      </w:pPr>
      <w:r>
        <w:t>Antifongiques azolés : kétoconazole (CI), fluconazole (×2 à 4), itraconazole, voriconazole, posaconazole. Adapter la dose de tacrolimus (réduction 50-75 %).</w:t>
      </w:r>
    </w:p>
    <w:p>
      <w:pPr>
        <w:pStyle w:val="ListBullet"/>
      </w:pPr>
      <w:r>
        <w:t>Macrolides : érythromycine (×3 à 5), clarithromycine (×2 à 3). Azithromycine : peu d'interaction.</w:t>
      </w:r>
    </w:p>
    <w:p>
      <w:pPr>
        <w:pStyle w:val="ListBullet"/>
      </w:pPr>
      <w:r>
        <w:t>Antibiotiques quinolones : ciprofloxacine (×1,5 modérée).</w:t>
      </w:r>
    </w:p>
    <w:p>
      <w:pPr>
        <w:pStyle w:val="ListBullet"/>
      </w:pPr>
      <w:r>
        <w:t>Inhibiteurs de protéase du VIH : interaction majeure, parfois exploitée pour réduire la dose (booster ritonavir).</w:t>
      </w:r>
    </w:p>
    <w:p>
      <w:pPr>
        <w:pStyle w:val="ListBullet"/>
      </w:pPr>
      <w:r>
        <w:t>Antagonistes calciques : diltiazem (×2), vérapamil, nicardipine.</w:t>
      </w:r>
    </w:p>
    <w:p>
      <w:pPr>
        <w:pStyle w:val="ListBullet"/>
      </w:pPr>
      <w:r>
        <w:t>Statines : simvastatine (×3, risque de rhabdomyolyse), atorvastatine.</w:t>
      </w:r>
    </w:p>
    <w:p>
      <w:pPr>
        <w:pStyle w:val="ListBullet"/>
      </w:pPr>
      <w:r>
        <w:t>Amiodarone.</w:t>
      </w:r>
    </w:p>
    <w:p>
      <w:pPr>
        <w:pStyle w:val="ListBullet"/>
      </w:pPr>
      <w:r>
        <w:t>Danazol.</w:t>
      </w:r>
    </w:p>
    <w:p>
      <w:pPr>
        <w:pStyle w:val="ListBullet"/>
      </w:pPr>
      <w:r>
        <w:t>Pamplemousse : CI absolue.</w:t>
      </w:r>
    </w:p>
    <w:p>
      <w:pPr>
        <w:pStyle w:val="ListBullet"/>
      </w:pPr>
      <w:r>
        <w:t>Millepertuis : inducteur (voir ci-dessous).</w:t>
      </w:r>
    </w:p>
    <w:p>
      <w:pPr>
        <w:pStyle w:val="ListBullet"/>
      </w:pPr>
      <w:r>
        <w:t>Cimétidine, oméprazole (interaction faible).</w:t>
      </w:r>
    </w:p>
    <w:p>
      <w:pPr>
        <w:pStyle w:val="ListBullet"/>
      </w:pPr>
      <w:r>
        <w:t>Metoclopramide, cisapride (augmentation modérée).</w:t>
      </w:r>
    </w:p>
    <w:p>
      <w:pPr>
        <w:pStyle w:val="ListBullet"/>
      </w:pPr>
      <w:r>
        <w:t>Chloramphénicol.</w:t>
      </w:r>
    </w:p>
    <w:p>
      <w:r/>
      <w:r>
        <w:rPr>
          <w:b/>
        </w:rPr>
        <w:t>Inducteurs du CYP3A4 (diminution des taux → risque de rejet)</w:t>
      </w:r>
      <w:r>
        <w:t xml:space="preserve"> :</w:t>
      </w:r>
    </w:p>
    <w:p>
      <w:pPr>
        <w:pStyle w:val="ListBullet"/>
      </w:pPr>
      <w:r>
        <w:t>Rifampicine : induction majeure, peut nécessiter de tripler la dose de tacrolimus. Contre-indication relative ; préférer rifabutine.</w:t>
      </w:r>
    </w:p>
    <w:p>
      <w:pPr>
        <w:pStyle w:val="ListBullet"/>
      </w:pPr>
      <w:r>
        <w:t>Phénytoïne, phénobarbital, carbamazépine : induction majeure.</w:t>
      </w:r>
    </w:p>
    <w:p>
      <w:pPr>
        <w:pStyle w:val="ListBullet"/>
      </w:pPr>
      <w:r>
        <w:t>Millepertuis : induction majeure, CI absolue.</w:t>
      </w:r>
    </w:p>
    <w:p>
      <w:pPr>
        <w:pStyle w:val="ListBullet"/>
      </w:pPr>
      <w:r>
        <w:t>Éfavirenz, névirapine.</w:t>
      </w:r>
    </w:p>
    <w:p>
      <w:pPr>
        <w:pStyle w:val="ListBullet"/>
      </w:pPr>
      <w:r>
        <w:t>Oxcarbazépine.</w:t>
      </w:r>
    </w:p>
    <w:p>
      <w:pPr>
        <w:pStyle w:val="ListBullet"/>
      </w:pPr>
      <w:r>
        <w:t>Aprepitant.</w:t>
      </w:r>
    </w:p>
    <w:p>
      <w:pPr>
        <w:pStyle w:val="ListBullet"/>
      </w:pPr>
      <w:r>
        <w:t>Bosentan.</w:t>
      </w:r>
    </w:p>
    <w:p>
      <w:pPr>
        <w:pStyle w:val="ListBullet"/>
      </w:pPr>
      <w:r>
        <w:t>Néfazodone.</w:t>
      </w:r>
    </w:p>
    <w:p>
      <w:r/>
      <w:r>
        <w:rPr>
          <w:b/>
        </w:rPr>
        <w:t>Médicaments majorant la néphrotoxicité (à éviter ou surveiller)</w:t>
      </w:r>
      <w:r>
        <w:t xml:space="preserve"> :</w:t>
      </w:r>
    </w:p>
    <w:p>
      <w:pPr>
        <w:pStyle w:val="ListBullet"/>
      </w:pPr>
      <w:r>
        <w:t>AINS.</w:t>
      </w:r>
    </w:p>
    <w:p>
      <w:pPr>
        <w:pStyle w:val="ListBullet"/>
      </w:pPr>
      <w:r>
        <w:t>Aminosides.</w:t>
      </w:r>
    </w:p>
    <w:p>
      <w:pPr>
        <w:pStyle w:val="ListBullet"/>
      </w:pPr>
      <w:r>
        <w:t>Cotrimoxazole à forte dose.</w:t>
      </w:r>
    </w:p>
    <w:p>
      <w:pPr>
        <w:pStyle w:val="ListBullet"/>
      </w:pPr>
      <w:r>
        <w:t>Produits de contraste iodés.</w:t>
      </w:r>
    </w:p>
    <w:p>
      <w:pPr>
        <w:pStyle w:val="ListBullet"/>
      </w:pPr>
      <w:r>
        <w:t>Vancomycine.</w:t>
      </w:r>
    </w:p>
    <w:p>
      <w:pPr>
        <w:pStyle w:val="ListBullet"/>
      </w:pPr>
      <w:r>
        <w:t>Amphotéricine B.</w:t>
      </w:r>
    </w:p>
    <w:p>
      <w:pPr>
        <w:pStyle w:val="ListBullet"/>
      </w:pPr>
      <w:r>
        <w:t>Diurétiques de l'anse.</w:t>
      </w:r>
    </w:p>
    <w:p>
      <w:pPr>
        <w:pStyle w:val="ListBullet"/>
      </w:pPr>
      <w:r>
        <w:t>Lithium.</w:t>
      </w:r>
    </w:p>
    <w:p>
      <w:pPr>
        <w:pStyle w:val="ListBullet"/>
      </w:pPr>
      <w:r>
        <w:t>Metformine (à arrêter si baisse du DFG).</w:t>
      </w:r>
    </w:p>
    <w:p>
      <w:r/>
      <w:r>
        <w:rPr>
          <w:b/>
        </w:rPr>
        <w:t>Médicaments majorant l'hyperkaliémie</w:t>
      </w:r>
      <w:r>
        <w:t xml:space="preserve"> :</w:t>
      </w:r>
    </w:p>
    <w:p>
      <w:pPr>
        <w:pStyle w:val="ListBullet"/>
      </w:pPr>
      <w:r>
        <w:t>IEC, ARA2.</w:t>
      </w:r>
    </w:p>
    <w:p>
      <w:pPr>
        <w:pStyle w:val="ListBullet"/>
      </w:pPr>
      <w:r>
        <w:t>Diurétiques épargneurs de potassium.</w:t>
      </w:r>
    </w:p>
    <w:p>
      <w:pPr>
        <w:pStyle w:val="ListBullet"/>
      </w:pPr>
      <w:r>
        <w:t>Suppléments potassiques.</w:t>
      </w:r>
    </w:p>
    <w:p>
      <w:pPr>
        <w:pStyle w:val="ListBullet"/>
      </w:pPr>
      <w:r>
        <w:t>Héparine.</w:t>
      </w:r>
    </w:p>
    <w:p>
      <w:pPr>
        <w:pStyle w:val="ListBullet"/>
      </w:pPr>
      <w:r>
        <w:t>Triméthoprime.</w:t>
      </w:r>
    </w:p>
    <w:p>
      <w:r/>
      <w:r>
        <w:rPr>
          <w:b/>
        </w:rPr>
        <w:t>Médicaments majorant la neurotoxicité</w:t>
      </w:r>
      <w:r>
        <w:t xml:space="preserve"> :</w:t>
      </w:r>
    </w:p>
    <w:p>
      <w:pPr>
        <w:pStyle w:val="ListBullet"/>
      </w:pPr>
      <w:r>
        <w:t>Neuroleptiques.</w:t>
      </w:r>
    </w:p>
    <w:p>
      <w:pPr>
        <w:pStyle w:val="ListBullet"/>
      </w:pPr>
      <w:r>
        <w:t>Antiémétiques (métoclopramide, prochlorpérazine).</w:t>
      </w:r>
    </w:p>
    <w:p>
      <w:pPr>
        <w:pStyle w:val="ListBullet"/>
      </w:pPr>
      <w:r>
        <w:t>Lithium.</w:t>
      </w:r>
    </w:p>
    <w:p>
      <w:r/>
      <w:r>
        <w:rPr>
          <w:b/>
        </w:rPr>
        <w:t>Médicaments majorant la diabétogénicité</w:t>
      </w:r>
      <w:r>
        <w:t xml:space="preserve"> :</w:t>
      </w:r>
    </w:p>
    <w:p>
      <w:pPr>
        <w:pStyle w:val="ListBullet"/>
      </w:pPr>
      <w:r>
        <w:t>Corticoïdes (potentialisation majeure).</w:t>
      </w:r>
    </w:p>
    <w:p>
      <w:pPr>
        <w:pStyle w:val="ListBullet"/>
      </w:pPr>
      <w:r>
        <w:t>Pentamidine.</w:t>
      </w:r>
    </w:p>
    <w:p>
      <w:pPr>
        <w:pStyle w:val="ListBullet"/>
      </w:pPr>
      <w:r>
        <w:t>Diazoxide.</w:t>
      </w:r>
    </w:p>
    <w:p>
      <w:r/>
      <w:r>
        <w:rPr>
          <w:b/>
        </w:rPr>
        <w:t>Vaccins</w:t>
      </w:r>
      <w:r>
        <w:t xml:space="preserve"> :</w:t>
      </w:r>
    </w:p>
    <w:p>
      <w:pPr>
        <w:pStyle w:val="ListBullet"/>
      </w:pPr>
      <w:r>
        <w:t>Contre-indication absolue aux vaccins vivants atténués.</w:t>
      </w:r>
    </w:p>
    <w:p>
      <w:pPr>
        <w:pStyle w:val="ListBullet"/>
      </w:pPr>
      <w:r>
        <w:t>Vaccins inactivés : possible mais réponse immunitaire diminuée.</w:t>
      </w:r>
    </w:p>
    <w:p>
      <w:pPr>
        <w:pStyle w:val="Heading4"/>
      </w:pPr>
      <w:r>
        <w:t>171.1.2.9 Grossesse, allaitement et CRAT</w:t>
      </w:r>
    </w:p>
    <w:p>
      <w:r>
        <w:t xml:space="preserve">Selon les données du CRAT et le registre international NTPR (National Transplantation Pregnancy Registry), le tacrolimus est </w:t>
      </w:r>
      <w:r>
        <w:rPr>
          <w:b/>
        </w:rPr>
        <w:t>compatible avec la grossesse</w:t>
      </w:r>
      <w:r>
        <w:t xml:space="preserve"> chez la femme greffée, à condition d'une surveillance obstétricale et néphrologique renforcée. Les données accumulées depuis 1990 sur plus de 1 000 grossesses chez des femmes transplantées sous tacrolimus n'ont pas mis en évidence d'augmentation du risque malformatif.</w:t>
      </w:r>
    </w:p>
    <w:p>
      <w:r/>
      <w:r>
        <w:rPr>
          <w:b/>
        </w:rPr>
        <w:t>Tératogénicité</w:t>
      </w:r>
      <w:r>
        <w:t xml:space="preserve"> : le tacrolimus n'est pas tératogène chez l'homme aux doses thérapeutiques. Chez l'animal (rat, lapin), des doses toxiques maternelles ont induit des malformations cardiovasculaires et rénales. Le risque malformatif chez l'humain est évalué à 4-5 % (équivalent à la population générale).</w:t>
      </w:r>
    </w:p>
    <w:p>
      <w:r/>
      <w:r>
        <w:rPr>
          <w:b/>
        </w:rPr>
        <w:t>Risques maternels</w:t>
      </w:r>
      <w:r>
        <w:t xml:space="preserve"> :</w:t>
      </w:r>
    </w:p>
    <w:p>
      <w:pPr>
        <w:pStyle w:val="ListBullet"/>
      </w:pPr>
      <w:r>
        <w:t>HTA gravidique et pré-éclampsie (incidence 30-40 %) : surveillance tensionnelle bimensuelle.</w:t>
      </w:r>
    </w:p>
    <w:p>
      <w:pPr>
        <w:pStyle w:val="ListBullet"/>
      </w:pPr>
      <w:r>
        <w:t>Insuffisance rénale : adaptation posologique en fonction de la créatininémie.</w:t>
      </w:r>
    </w:p>
    <w:p>
      <w:pPr>
        <w:pStyle w:val="ListBullet"/>
      </w:pPr>
      <w:r>
        <w:t>Diabète gestationnel : incidence accrue (20-30 % vs 5-10 % sous ciclosporine). Dépistage systématique par HGPO à 24-28 SA, surveillance glycémique hebdomadaire.</w:t>
      </w:r>
    </w:p>
    <w:p>
      <w:pPr>
        <w:pStyle w:val="ListBullet"/>
      </w:pPr>
      <w:r>
        <w:t>Neurotoxicité : surveillance neurologique, recherche de tremblements et de céphalées.</w:t>
      </w:r>
    </w:p>
    <w:p>
      <w:pPr>
        <w:pStyle w:val="ListBullet"/>
      </w:pPr>
      <w:r>
        <w:t>Anémie, infections urinaires.</w:t>
      </w:r>
    </w:p>
    <w:p>
      <w:r/>
      <w:r>
        <w:rPr>
          <w:b/>
        </w:rPr>
        <w:t>Risques fœtaux</w:t>
      </w:r>
      <w:r>
        <w:t xml:space="preserve"> :</w:t>
      </w:r>
    </w:p>
    <w:p>
      <w:pPr>
        <w:pStyle w:val="ListBullet"/>
      </w:pPr>
      <w:r>
        <w:t>Prématurité (50-60 %) : lieu d'accouchement de niveau III.</w:t>
      </w:r>
    </w:p>
    <w:p>
      <w:pPr>
        <w:pStyle w:val="ListBullet"/>
      </w:pPr>
      <w:r>
        <w:t>Retard de croissance intra-utérin (RCIU) : 20-30 %.</w:t>
      </w:r>
    </w:p>
    <w:p>
      <w:pPr>
        <w:pStyle w:val="ListBullet"/>
      </w:pPr>
      <w:r>
        <w:t>Hypoglycémie néonatale transitoire (en raison du diabète maternel fréquent).</w:t>
      </w:r>
    </w:p>
    <w:p>
      <w:r/>
      <w:r>
        <w:rPr>
          <w:b/>
        </w:rPr>
        <w:t>Posologie pendant la grossesse</w:t>
      </w:r>
      <w:r>
        <w:t xml:space="preserve"> : le tacrolimus doit être poursuivi à dose efficace. Les concentrations résiduelles doivent être maintenues dans les cibles habituelles (4-8 ng/mL en transplantation rénale stable). Adaptation posologique à la hausse souvent nécessaire en fin de grossesse en raison de l'augmentation du volume de distribution et de la clairance. Surveillance des C0 toutes les 2-4 semaines au 3e trimestre.</w:t>
      </w:r>
    </w:p>
    <w:p>
      <w:r/>
      <w:r>
        <w:rPr>
          <w:b/>
        </w:rPr>
        <w:t>Allaitement</w:t>
      </w:r>
      <w:r>
        <w:t xml:space="preserve"> : le tacrolimus passe dans le lait maternel à des concentrations très faibles (rapport lait/plasma 0,05-0,5). La dose ingérée par le nourrisson est estimée à 0,1-0,5 % de la dose maternelle pondérée par kg, soit bien en dessous du seuil de toxicité. Selon le CRAT et l'Académie Américaine de Pédiatrie, l'allaitement est possible chez une femme transplantée stable sous tacrolimus, après information éclairée et surveillance pédiatrique. Toutefois, en raison de la prématurité fréquente et de l'immaturité hépatique néonatale (demi-vie du tacrolimus allongée chez le nouveau-né), l'allaitement est souvent déconseillé en période néonatale précoce.</w:t>
      </w:r>
    </w:p>
    <w:p>
      <w:r/>
      <w:r>
        <w:rPr>
          <w:b/>
        </w:rPr>
        <w:t>Contraception</w:t>
      </w:r>
      <w:r>
        <w:t xml:space="preserve"> : identique à la ciclosporine. Grossesse déconseillée pendant les 12-24 premiers mois post-transplantation. Contraception efficace requise (microprogestatifs, DIU).</w:t>
      </w:r>
    </w:p>
    <w:p>
      <w:r/>
      <w:r>
        <w:rPr>
          <w:b/>
        </w:rPr>
        <w:t>Père traité</w:t>
      </w:r>
      <w:r>
        <w:t xml:space="preserve"> : aucune donnée ne montre de toxicité du tacrolimus sur la spermatogenèse. La paternité est possible.</w:t>
      </w:r>
    </w:p>
    <w:p>
      <w:pPr>
        <w:pStyle w:val="Heading4"/>
      </w:pPr>
      <w:r>
        <w:t>171.1.2.10 Formes galéniques disponibles</w:t>
      </w:r>
    </w:p>
    <w:p>
      <w:pPr>
        <w:pStyle w:val="ListNumber"/>
      </w:pPr>
      <w:r/>
      <w:r>
        <w:rPr>
          <w:b/>
        </w:rPr>
        <w:t>Gélule — Tacrolimus Cinfa, TIM, Vingraf</w:t>
      </w:r>
      <w:r>
        <w:t xml:space="preserve"> : gélule contenant le tacrolimus en poudre, avec enrobage gastro-résistant (cellulose, lactose, croscarmellose). Dosages disponibles en Algérie : 0,5 mg, 1 mg, 5 mg. Conservation à température ambiante (&lt; 25 °C), à l'abri de l'humidité et de la lumière. La gélule doit être avalée entière, sans croquer ni écraser, avec un grand verre d'eau. Pour les patients ayant une sonde naso-gastrique (période péri-opératoire), la gélule peut être ouverte et la poudre diluée dans 10 mL d'eau, administrée par sonde puis rincée.</w:t>
      </w:r>
    </w:p>
    <w:p>
      <w:pPr>
        <w:pStyle w:val="ListNumber"/>
      </w:pPr>
      <w:r/>
      <w:r>
        <w:rPr>
          <w:b/>
        </w:rPr>
        <w:t>Forme à libération prolongée — Advagraf</w:t>
      </w:r>
      <w:r>
        <w:t xml:space="preserve"> : non disponible en Algérie. Formulation once-daily permettant une administration unique matinale (5 mg, 1 mg, 0,5 mg, 3 mg, 4 mg). Avantage : meilleure observance, moins de pics de concentration (réduction de la neurotoxicité). Inconvénient : pic plus étalé, adaptation des C0 nécessaire.</w:t>
      </w:r>
    </w:p>
    <w:p>
      <w:pPr>
        <w:pStyle w:val="ListNumber"/>
      </w:pPr>
      <w:r/>
      <w:r>
        <w:rPr>
          <w:b/>
        </w:rPr>
        <w:t>Solution injectable — Prograf solution IV</w:t>
      </w:r>
      <w:r>
        <w:t xml:space="preserve"> : non disponible en Algérie. Flacon de 1 mL contenant 5 mg/mL de tacrolimus dans de l'éthanol et du polyoxyéthylèneglycol. Dilution obligatoire dans NaCl 0,9 % ou G5 %, en flacon non PVC. Administration en perfusion continue sur 24 heures. Réservée à la période péri-opératoire immédiate.</w:t>
      </w:r>
    </w:p>
    <w:p>
      <w:pPr>
        <w:pStyle w:val="ListNumber"/>
      </w:pPr>
      <w:r/>
      <w:r>
        <w:rPr>
          <w:b/>
        </w:rPr>
        <w:t>Forme topique — Protopic pommade</w:t>
      </w:r>
      <w:r>
        <w:t xml:space="preserve"> : non disponible en Algérie. Indication : dermatite atopique sévère (0,03 % enfant, 0,1 % adulte).</w:t>
      </w:r>
    </w:p>
    <w:p>
      <w:pPr>
        <w:pStyle w:val="Heading4"/>
      </w:pPr>
      <w:r>
        <w:t>171.1.2.11 Conseils au patient</w:t>
      </w:r>
    </w:p>
    <w:p>
      <w:r/>
      <w:r>
        <w:rPr>
          <w:b/>
        </w:rPr>
        <w:t>Conseils d'observance</w:t>
      </w:r>
      <w:r>
        <w:t xml:space="preserve"> :</w:t>
      </w:r>
    </w:p>
    <w:p>
      <w:pPr>
        <w:pStyle w:val="ListBullet"/>
      </w:pPr>
      <w:r>
        <w:t>Prendre le tacrolimus à heure fixe (par exemple 8 h et 20 h), à 12 heures d'intervalle exact.</w:t>
      </w:r>
    </w:p>
    <w:p>
      <w:pPr>
        <w:pStyle w:val="ListBullet"/>
      </w:pPr>
      <w:r>
        <w:t>Ne jamais sauter une prise : si une prise est oubliée depuis moins de 4 heures, la prendre ; si le délai dépasse 4 heures, ne pas doubler la prise suivante mais contacter le centre de transplantation.</w:t>
      </w:r>
    </w:p>
    <w:p>
      <w:pPr>
        <w:pStyle w:val="ListBullet"/>
      </w:pPr>
      <w:r>
        <w:t>Ne jamais interrompre le traitement, même en cas de fièvre, de diarrhée ou d'infection — contacter le médecin transplanteur.</w:t>
      </w:r>
    </w:p>
    <w:p>
      <w:pPr>
        <w:pStyle w:val="ListBullet"/>
      </w:pPr>
      <w:r>
        <w:t>Conserver le carnet de suivi avec les doses, les taux résiduels, les prises médicamenteuses associées.</w:t>
      </w:r>
    </w:p>
    <w:p>
      <w:pPr>
        <w:pStyle w:val="ListBullet"/>
      </w:pPr>
      <w:r>
        <w:t>Apporter les boîtes à chaque consultation pharmaceutique (vérification de la marque, du dosage, de la date d'ouverture).</w:t>
      </w:r>
    </w:p>
    <w:p>
      <w:r/>
      <w:r>
        <w:rPr>
          <w:b/>
        </w:rPr>
        <w:t>Conseils diététiques</w:t>
      </w:r>
      <w:r>
        <w:t xml:space="preserve"> :</w:t>
      </w:r>
    </w:p>
    <w:p>
      <w:pPr>
        <w:pStyle w:val="ListBullet"/>
      </w:pPr>
      <w:r>
        <w:t>Éviter le pamplemousse pendant toute la durée du traitement.</w:t>
      </w:r>
    </w:p>
    <w:p>
      <w:pPr>
        <w:pStyle w:val="ListBullet"/>
      </w:pPr>
      <w:r>
        <w:t>Éviter l'alcool (potentialisation de la neurotoxicité et de l'hépatotoxicité).</w:t>
      </w:r>
    </w:p>
    <w:p>
      <w:pPr>
        <w:pStyle w:val="ListBullet"/>
      </w:pPr>
      <w:r>
        <w:t>Régime hyposodé (&lt; 6 g de sel/jour) pour limiter l'HTA.</w:t>
      </w:r>
    </w:p>
    <w:p>
      <w:pPr>
        <w:pStyle w:val="ListBullet"/>
      </w:pPr>
      <w:r>
        <w:t>Éviter les aliments riches en potassium si hyperkaliémie.</w:t>
      </w:r>
    </w:p>
    <w:p>
      <w:pPr>
        <w:pStyle w:val="ListBullet"/>
      </w:pPr>
      <w:r>
        <w:t>Régime diabétique si NODAT : limiter les sucres rapides, privilégier les glucides complexes.</w:t>
      </w:r>
    </w:p>
    <w:p>
      <w:pPr>
        <w:pStyle w:val="ListBullet"/>
      </w:pPr>
      <w:r>
        <w:t>Hydratation abondante (1,5-2 L/jour).</w:t>
      </w:r>
    </w:p>
    <w:p>
      <w:r/>
      <w:r>
        <w:rPr>
          <w:b/>
        </w:rPr>
        <w:t>Conseils d'hygiène</w:t>
      </w:r>
      <w:r>
        <w:t xml:space="preserve"> :</w:t>
      </w:r>
    </w:p>
    <w:p>
      <w:pPr>
        <w:pStyle w:val="ListBullet"/>
      </w:pPr>
      <w:r>
        <w:t>Brossage dentaire 3×/jour.</w:t>
      </w:r>
    </w:p>
    <w:p>
      <w:pPr>
        <w:pStyle w:val="ListBullet"/>
      </w:pPr>
      <w:r>
        <w:t>Photoprotection stricte (écran solaire SPF 50+, vêtements couvrants, chapeau).</w:t>
      </w:r>
    </w:p>
    <w:p>
      <w:pPr>
        <w:pStyle w:val="ListBullet"/>
      </w:pPr>
      <w:r>
        <w:t>Éviter les contacts avec des personnes malades.</w:t>
      </w:r>
    </w:p>
    <w:p>
      <w:pPr>
        <w:pStyle w:val="ListBullet"/>
      </w:pPr>
      <w:r>
        <w:t>Lavage des mains fréquent.</w:t>
      </w:r>
    </w:p>
    <w:p>
      <w:pPr>
        <w:pStyle w:val="ListBullet"/>
      </w:pPr>
      <w:r>
        <w:t>Éviter les vaccinations vivantes.</w:t>
      </w:r>
    </w:p>
    <w:p>
      <w:pPr>
        <w:pStyle w:val="ListBullet"/>
      </w:pPr>
      <w:r>
        <w:t>Éviter le contact avec les animaux à risque.</w:t>
      </w:r>
    </w:p>
    <w:p>
      <w:pPr>
        <w:pStyle w:val="ListBullet"/>
      </w:pPr>
      <w:r>
        <w:t>Cuisson complète de la viande, du poisson et des œufs.</w:t>
      </w:r>
    </w:p>
    <w:p>
      <w:pPr>
        <w:pStyle w:val="ListBullet"/>
      </w:pPr>
      <w:r>
        <w:t>Éviter les fromages au lait cru, les coquillages crus.</w:t>
      </w:r>
    </w:p>
    <w:p>
      <w:r/>
      <w:r>
        <w:rPr>
          <w:b/>
        </w:rPr>
        <w:t>Conseils de surveillance</w:t>
      </w:r>
      <w:r>
        <w:t xml:space="preserve"> :</w:t>
      </w:r>
    </w:p>
    <w:p>
      <w:pPr>
        <w:pStyle w:val="ListBullet"/>
      </w:pPr>
      <w:r>
        <w:t>Signaler immédiatement tout signe d'infection (fièvre, frissons, maux de gorge, brûlures mictionnelles).</w:t>
      </w:r>
    </w:p>
    <w:p>
      <w:pPr>
        <w:pStyle w:val="ListBullet"/>
      </w:pPr>
      <w:r>
        <w:t>Signaler tout signe neurologique (tremblements, céphalées inhabituelles, troubles visuels, convulsions, confusion) — risque de PRES.</w:t>
      </w:r>
    </w:p>
    <w:p>
      <w:pPr>
        <w:pStyle w:val="ListBullet"/>
      </w:pPr>
      <w:r>
        <w:t>Signaler toute polyuro-polydipsie, asthénie, perte de poids (recherche de diabète post-transplantation).</w:t>
      </w:r>
    </w:p>
    <w:p>
      <w:pPr>
        <w:pStyle w:val="ListBullet"/>
      </w:pPr>
      <w:r>
        <w:t>Mesurer la tension artérielle 2 fois par semaine.</w:t>
      </w:r>
    </w:p>
    <w:p>
      <w:pPr>
        <w:pStyle w:val="ListBullet"/>
      </w:pPr>
      <w:r>
        <w:t>Effectuer les prises de sang selon le calendrier prescrit.</w:t>
      </w:r>
    </w:p>
    <w:p>
      <w:r/>
      <w:r>
        <w:rPr>
          <w:b/>
        </w:rPr>
        <w:t>Conseils de stockage</w:t>
      </w:r>
      <w:r>
        <w:t xml:space="preserve"> :</w:t>
      </w:r>
    </w:p>
    <w:p>
      <w:pPr>
        <w:pStyle w:val="ListBullet"/>
      </w:pPr>
      <w:r>
        <w:t>Conserver les gélules à température ambiante (&lt; 25 °C).</w:t>
      </w:r>
    </w:p>
    <w:p>
      <w:pPr>
        <w:pStyle w:val="ListBullet"/>
      </w:pPr>
      <w:r>
        <w:t>Tenir hors de portée des enfants.</w:t>
      </w:r>
    </w:p>
    <w:p>
      <w:pPr>
        <w:pStyle w:val="ListBullet"/>
      </w:pPr>
      <w:r>
        <w:t>Ne jamais jeter à la poubelle : rapporter les boîtes non utilisées à la pharmacie.</w:t>
      </w:r>
    </w:p>
    <w:p>
      <w:pPr>
        <w:pStyle w:val="Heading4"/>
      </w:pPr>
      <w:r>
        <w:t>171.1.2.12 Pièges au comptoir — Règles d'or</w:t>
      </w:r>
    </w:p>
    <w:p>
      <w:pPr>
        <w:pStyle w:val="ListNumber"/>
      </w:pPr>
      <w:r/>
      <w:r>
        <w:rPr>
          <w:b/>
        </w:rPr>
        <w:t>Jus de pamplemousse</w:t>
      </w:r>
      <w:r>
        <w:t xml:space="preserve"> : CI absolue, interrogation systématique du patient. Un verre de pamplemousse peut augmenter l'AUC de tacrolimus de 50 à 100 %, exposant à la toxicité aiguë.</w:t>
      </w:r>
    </w:p>
    <w:p>
      <w:pPr>
        <w:pStyle w:val="ListNumber"/>
      </w:pPr>
      <w:r/>
      <w:r>
        <w:rPr>
          <w:b/>
        </w:rPr>
        <w:t>Diabète post-transplantation</w:t>
      </w:r>
      <w:r>
        <w:t xml:space="preserve"> : tout patient sous tacrolimus qui présente une polyuro-polydipsie, une asthénie, un amaigrissement, doit être orienté pour glycémie à jeun et HbA1c. La NODAT survient dans 15-30 % des cas, surtout en présence de facteurs de risque (âge &gt; 45 ans, IMC &gt; 25, ATCD familial de diabète, infection CMV, traitement corticoïde à forte dose).</w:t>
      </w:r>
    </w:p>
    <w:p>
      <w:pPr>
        <w:pStyle w:val="ListNumber"/>
      </w:pPr>
      <w:r/>
      <w:r>
        <w:rPr>
          <w:b/>
        </w:rPr>
        <w:t>Tremblements</w:t>
      </w:r>
      <w:r>
        <w:t xml:space="preserve"> : un patient sous tacrolimus qui se plaint de tremblements fins des extrémités doit être orienté pour dosage de la tacrolimémie résiduelle. Les tremblements sont dose-dépendants et régressent à la baisse de dose.</w:t>
      </w:r>
    </w:p>
    <w:p>
      <w:pPr>
        <w:pStyle w:val="ListNumber"/>
      </w:pPr>
      <w:r/>
      <w:r>
        <w:rPr>
          <w:b/>
        </w:rPr>
        <w:t>Substitution de marque</w:t>
      </w:r>
      <w:r>
        <w:t xml:space="preserve"> : comme pour la ciclosporine, le tacrolimus est à fenêtre thérapeutique étroite et la substitution n'est pas recommandée sans contrôle de la tacrolimémie après 7 jours. Si un patient revient avec une nouvelle marque (Tacrolimus Cinfa ↔ TIM ↔ Vingraf ↔ Prograf non renouvelable), prévenir le médecin transplanteur pour contrôle C0.</w:t>
      </w:r>
    </w:p>
    <w:p>
      <w:pPr>
        <w:pStyle w:val="ListNumber"/>
      </w:pPr>
      <w:r/>
      <w:r>
        <w:rPr>
          <w:b/>
        </w:rPr>
        <w:t>Forme IV non disponible</w:t>
      </w:r>
      <w:r>
        <w:t xml:space="preserve"> : en cas d'hospitalisation pour transplantation ou de ré-intervention chirurgicale, prévenir le chirurgien et l'anesthésiste que la forme IV de tacrolimus n'est pas disponible en Algérie. Le relais par voie naso-gastrique de gélules écrasées peut être proposé en attendant la reprise du transit.</w:t>
      </w:r>
    </w:p>
    <w:p>
      <w:pPr>
        <w:pStyle w:val="ListNumber"/>
      </w:pPr>
      <w:r/>
      <w:r>
        <w:rPr>
          <w:b/>
        </w:rPr>
        <w:t>Patient transplanté hépatique</w:t>
      </w:r>
      <w:r>
        <w:t xml:space="preserve"> : surveillance accrue de la fonction hépatique (transaminases, bilirubine, INR) et neurologique. Le tacrolimus peut s'accumuler en cas d'insuffisance hépatique sévère, exposant à la neurotoxicité.</w:t>
      </w:r>
    </w:p>
    <w:p>
      <w:pPr>
        <w:pStyle w:val="ListNumber"/>
      </w:pPr>
      <w:r/>
      <w:r>
        <w:rPr>
          <w:b/>
        </w:rPr>
        <w:t>Femme enceinte sous tacrolimus</w:t>
      </w:r>
      <w:r>
        <w:t xml:space="preserve"> : le tacrolimus n'est pas tératogène chez l'humain. Une femme greffée peut être enceinte sous tacrolimus, mais doit être suivie en maternité de niveau III. Ne jamais arrêter le tacrolimus chez une femme greffée enceinte — le risque de rejet est majeur.</w:t>
      </w:r>
    </w:p>
    <w:p>
      <w:pPr>
        <w:pStyle w:val="ListNumber"/>
      </w:pPr>
      <w:r/>
      <w:r>
        <w:rPr>
          <w:b/>
        </w:rPr>
        <w:t>Vaccins vivants</w:t>
      </w:r>
      <w:r>
        <w:t xml:space="preserve"> : contre-indication absolue (BCG, ROR, fièvre jaune, varicelle, zona, rotavirus).</w:t>
      </w:r>
    </w:p>
    <w:p>
      <w:pPr>
        <w:pStyle w:val="ListNumber"/>
      </w:pPr>
      <w:r/>
      <w:r>
        <w:rPr>
          <w:b/>
        </w:rPr>
        <w:t>Patient prenant du millepertuis</w:t>
      </w:r>
      <w:r>
        <w:t xml:space="preserve"> : interaction majeure (induction du CYP3A4, baisse drastique des taux de tacrolimus, risque de rejet). Interroger systématiquement sur les phytothérapies et compléments alimentaires.</w:t>
      </w:r>
    </w:p>
    <w:p>
      <w:pPr>
        <w:pStyle w:val="ListNumber"/>
      </w:pPr>
      <w:r/>
      <w:r>
        <w:rPr>
          <w:b/>
        </w:rPr>
        <w:t>Signes neurologiques d'urgence</w:t>
      </w:r>
      <w:r>
        <w:t xml:space="preserve"> : tout patient sous tacrolimus qui présente des céphalées brutales, des troubles visuels, des convulsions ou une confusion doit être adressé en urgences pour IRM cérébrale (recherche de PRES).</w:t>
      </w:r>
    </w:p>
    <w:p>
      <w:pPr>
        <w:pStyle w:val="ListNumber"/>
      </w:pPr>
      <w:r/>
      <w:r>
        <w:rPr>
          <w:b/>
        </w:rPr>
        <w:t>Conversion Prograf ↔ Tacrolimus Cinfa ↔ TIM</w:t>
      </w:r>
      <w:r>
        <w:t xml:space="preserve"> : toute conversion doit s'accompagner d'un dosage de la tacrolimémie à J+7 et à J+30. Documenter la marque et le dosage dans le dossier pharmaceutique.</w:t>
      </w:r>
    </w:p>
    <w:p>
      <w:pPr>
        <w:pStyle w:val="ListNumber"/>
      </w:pPr>
      <w:r/>
      <w:r>
        <w:rPr>
          <w:b/>
        </w:rPr>
        <w:t>Patient âgé</w:t>
      </w:r>
      <w:r>
        <w:t xml:space="preserve"> : surveiller la fonction rénale (créatininémie, DFG) toutes les 2-4 semaines chez le sujet âgé (&gt; 65 ans), en raison de la fréquence accrue de néphrotoxicité, des polypathologies et des interactions médicamenteuses multiples.</w:t>
      </w:r>
    </w:p>
    <w:p>
      <w:pPr>
        <w:pStyle w:val="ListNumber"/>
      </w:pPr>
      <w:r/>
      <w:r>
        <w:rPr>
          <w:b/>
        </w:rPr>
        <w:t>Patient d'origine subsaharienne</w:t>
      </w:r>
      <w:r>
        <w:t xml:space="preserve"> : les sujets d'origine africaine sont souvent CYP3A5 expressors et nécessitent des doses 1,5 à 2 fois supérieures pour atteindre les concentrations cibles. Prévenir le médecin transplanteur si les doses semblent inadaptées.</w:t>
      </w:r>
    </w:p>
    <w:p>
      <w:pPr>
        <w:pStyle w:val="Heading2"/>
      </w:pPr>
      <w:r>
        <w:t>171.2 Sous-classe : Inhibiteurs de mTOR</w:t>
      </w:r>
    </w:p>
    <w:p>
      <w:r>
        <w:t>Les inhibiteurs de mTOR (mammalian Target Of Rapamycin) constituent la deuxième grande classe d'immunosuppresseurs de transplantation, représentée par deux molécules : le sirolimus (rapamycine, RAPAMUNE) et l'everolimus (AFINITOR, EVEROLIMUS-SAIDAL, EVERBLISS, EVROLIPHAL). Le mTOR est une sérine/thréonine kinase de 289 kDa appartenant à la famille des phosphoinositide 3-kinase-related kinases (PIKK), qui joue un rôle central dans l'intégration des signaux nutritionnels, énergétiques et hormonaux pour réguler la croissance, la prolifération et la survie cellulaire. mTOR forme deux complexes fonctionnellement distincts : mTORC1 (mTOR + Raptor + mLST8 + PRAS40 + DEPTOR) et mTORC2 (mTOR + Rictor + mLST8 + mSIN1 + PROTOR). Les immunosuppresseurs de cette classe ciblent spécifiquement mTORC1, en bloquant la signalisation proliférative downstream du récepteur de l'IL-2.</w:t>
      </w:r>
    </w:p>
    <w:p>
      <w:r>
        <w:t>Le mécanisme d'action repose, comme pour les ICN, sur la liaison à une immunophiline — la FKBP12 — mais avec une cible finale différente. Le complexe sirolimus-FKBP12 (ou everolimus-FKBP12) ne se fixe pas à la calcineurine mais se lie au domaine FRB (FKBP12-rapamycin binding) de mTORC1, l'inhibant de manière allostérique. La conséquence est un blocage de la phosphorylation downstream de p70S6K (S6K1) et de 4E-BP1, deux effecteurs essentiels de la traduction des ARNm en protéines ribosomales et de la progression du cycle cellulaire (transition G1/S). Contrairement aux ICN qui bloquent la production d'IL-2, les inhibiteurs de mTOR bloquent la réponse à l'IL-2 (et à d'autres cytokines proliferatives comme l'IL-4, l'IL-7, l'IL-15). Les lymphocytes T activés sont donc bloqués au stade G1 du cycle cellulaire et ne peuvent pas proliférer en réponse à l'IL-2.</w:t>
      </w:r>
    </w:p>
    <w:p>
      <w:r>
        <w:t>Cette sous-classe présente plusieurs particularités pharmacologiques qui la distinguent des ICN. Sur le plan de la toxicité rénale, les inhibiteurs de mTOR ne sont pas néphrotoxiques intrinsèquement — ils n'induisent pas de vasoconstriction de l'artériole afférente glomérulaire, ni de néphropathie tubulo-interstitielle chronique. Cette propriété explique leur utilisation croissante en relais des ICN en cas de néphrotoxicité avérée, en particulier en transplantation cardiaque (prévention de la vasculopathie du greffon) et rénale (relais à 6-12 mois en cas d'insuffisance rénale chronique du greffon). Toutefois, les inhibiteurs de mTOR ont un profil d'effets indésirables propre : hyperlipidémie (40-70 % des patients), thrombopénie (20-30 %), retard de cicatrisation (en raison de l'inhibition de la prolifération des fibroblastes et des cellules endothéliales), stomatite (10-30 %), pneumopathie interstitielle (rare mais grave), œdèmes périphériques, hypogammaglobulinémie. Une autre particularité est l'effet antiprolifératif qui s'étend aux cellules malignes : les inhibiteurs de mTOR réduisent l'incidence de certains cancers post-transplantation (carcinomes cutanés, lymphomes), et sont parfois utilisés en oncologie (cancer du rein métastatique, tumeurs neuroendocrines, cancer du sein HER2+ en association).</w:t>
      </w:r>
    </w:p>
    <w:p>
      <w:r>
        <w:t>Sur le plan pharmacocinétique, les deux molécules sont administrées per os, avec une biodisponibilité faible (sirolimus 15-20 %, everolimus 15-30 %), un métabolisme hépatique CYP3A4 et une élimination principalement biliaire. La demi-vie du sirolimus est longue (60-70 heures), permettant une administration une fois par jour. La demi-vie de l'everolimus est plus courte (30 heures), imposant une administration biquotidienne. Le STP est obligatoire, avec des cibles résiduelles variables selon le contexte (5-15 ng/mL en monothérapie, 4-8 ng/mL en association avec un ICN à dose réduite).</w:t>
      </w:r>
    </w:p>
    <w:p>
      <w:r>
        <w:t>Les interactions médicamenteuses sont similaires à celles des ICN (CYP3A4 et P-gp), imposant la même vigilance vis-à-vis du pamplemousse, des azolés, des macrolides et de la rifampicine. Une attention particulière est portée à l'association avec les ICN : le sirolimus majore la néphrotoxicité de la ciclosporine (interaction pharmacodynamique), imposant un espacement de 4 heures entre la prise de ciclosporine et la prise de sirolimus. L'everolimus, en raison de sa demi-vie plus courte, peut être administré simultanément avec un ICN à dose réduite.</w:t>
      </w:r>
    </w:p>
    <w:p>
      <w:r>
        <w:t>En Algérie, les inhibiteurs de mTOR disponibles sont le sirolimus (Rapamune 1 mg et 2 mg, Pfizer) et l'everolimus (Afinitor 5 et 10 mg Novartis princeps, Everolimus-Saidal 5 et 10 mg, Everbliss 5 et 10 mg Alfacare, Evroliphal 5 et 10 mg Sophal). L'everolimus est plus largement disponible grâce à la production locale de plusieurs génériques algériens (Saidal, Sophal) et à l'importation du princeps (Novartis) et d'un générique (Alfacare).</w:t>
      </w:r>
    </w:p>
    <w:p>
      <w:pPr>
        <w:pStyle w:val="Heading3"/>
      </w:pPr>
      <w:r>
        <w:t>171.2.1 Sirolimus (usage transplantation)</w:t>
      </w:r>
    </w:p>
    <w:p>
      <w:pPr>
        <w:pStyle w:val="Heading4"/>
      </w:pPr>
      <w:r>
        <w:t>171.2.1.1 Catégories pharmaco-thérapeutiques et indications</w:t>
      </w:r>
    </w:p>
    <w:p>
      <w:r>
        <w:t>Le sirolimus (DCI : sirolimus, rapamycine) est classé selon les rubriques suivantes :</w:t>
      </w:r>
    </w:p>
    <w:p>
      <w:pPr>
        <w:pStyle w:val="ListBullet"/>
      </w:pPr>
      <w:r/>
      <w:r>
        <w:rPr>
          <w:b/>
        </w:rPr>
        <w:t>Code ATC</w:t>
      </w:r>
      <w:r>
        <w:t xml:space="preserve"> : L04AA10 (immunosuppresseurs — agents immunosuppresseurs sélectifs).</w:t>
      </w:r>
    </w:p>
    <w:p>
      <w:pPr>
        <w:pStyle w:val="ListBullet"/>
      </w:pPr>
      <w:r/>
      <w:r>
        <w:rPr>
          <w:b/>
        </w:rPr>
        <w:t>Classification thérapeutique</w:t>
      </w:r>
      <w:r>
        <w:t xml:space="preserve"> : immunosuppresseur antiprolifératif, inhibiteur de mTORC1.</w:t>
      </w:r>
    </w:p>
    <w:p>
      <w:pPr>
        <w:pStyle w:val="ListBullet"/>
      </w:pPr>
      <w:r/>
      <w:r>
        <w:rPr>
          <w:b/>
        </w:rPr>
        <w:t>Classe chimique</w:t>
      </w:r>
      <w:r>
        <w:t xml:space="preserve"> : macrolide lactamique (macrolide tricyclique), lipophile, d'origine bactérienne (*Streptomyces hygroscopicus*, isolé de l'île de Pâques — Rapa Nui, d'où le nom rapamycine).</w:t>
      </w:r>
    </w:p>
    <w:p>
      <w:pPr>
        <w:pStyle w:val="ListBullet"/>
      </w:pPr>
      <w:r/>
      <w:r>
        <w:rPr>
          <w:b/>
        </w:rPr>
        <w:t>Statut réglementaire Algérie</w:t>
      </w:r>
      <w:r>
        <w:t xml:space="preserve"> : Liste I, prescription réservée aux spécialistes en transplantation.</w:t>
      </w:r>
    </w:p>
    <w:p>
      <w:pPr>
        <w:pStyle w:val="ListBullet"/>
      </w:pPr>
      <w:r/>
      <w:r>
        <w:rPr>
          <w:b/>
        </w:rPr>
        <w:t>Grossesse</w:t>
      </w:r>
      <w:r>
        <w:t xml:space="preserve"> : contre-indiquée en dehors de situations vitales (données CRAT : tératogénicité suspectée, contraception rigoureuse indispensable).</w:t>
      </w:r>
    </w:p>
    <w:p>
      <w:r>
        <w:t>Indications principales :</w:t>
      </w:r>
    </w:p>
    <w:p>
      <w:pPr>
        <w:pStyle w:val="ListNumber"/>
      </w:pPr>
      <w:r/>
      <w:r>
        <w:rPr>
          <w:b/>
        </w:rPr>
        <w:t>Transplantation rénale</w:t>
      </w:r>
      <w:r>
        <w:t xml:space="preserve"> : prévention du rejet de greffe, en association avec la ciclosporine (à dose réduite) et les corticoïdes. Le sirolimus peut être utilisé d'emblée ou en relais d'un ICN en cas de néphrotoxicité. Indication historique de la molécule.</w:t>
      </w:r>
    </w:p>
    <w:p>
      <w:pPr>
        <w:pStyle w:val="ListNumber"/>
      </w:pPr>
      <w:r/>
      <w:r>
        <w:rPr>
          <w:b/>
        </w:rPr>
        <w:t>Transplantation hépatique</w:t>
      </w:r>
      <w:r>
        <w:t xml:space="preserve"> : utilisation plus limitée en raison d'un surcroît de complications artérielles (thrombose de l'artère hépatique) observées en transplantation hépatique sous sirolimus. La FDA a émis une alerte contre l'utilisation précoce du sirolimus en transplantation hépatique. Indication restreinte aux patients stables à distance de la transplantation (&gt; 3-6 mois).</w:t>
      </w:r>
    </w:p>
    <w:p>
      <w:pPr>
        <w:pStyle w:val="ListNumber"/>
      </w:pPr>
      <w:r/>
      <w:r>
        <w:rPr>
          <w:b/>
        </w:rPr>
        <w:t>Transplantation cardiaque</w:t>
      </w:r>
      <w:r>
        <w:t xml:space="preserve"> : prévention de la vasculopathie du greffon (allograft vasculopathy), en relais des ICN. Spécifique de cette indication.</w:t>
      </w:r>
    </w:p>
    <w:p>
      <w:pPr>
        <w:pStyle w:val="ListNumber"/>
      </w:pPr>
      <w:r/>
      <w:r>
        <w:rPr>
          <w:b/>
        </w:rPr>
        <w:t>Transplantation pulmonaire</w:t>
      </w:r>
      <w:r>
        <w:t xml:space="preserve"> : utilisation en protocole de prévention de la bronchiolite oblitérante, en cours d'évaluation.</w:t>
      </w:r>
    </w:p>
    <w:p>
      <w:pPr>
        <w:pStyle w:val="ListNumber"/>
      </w:pPr>
      <w:r/>
      <w:r>
        <w:rPr>
          <w:b/>
        </w:rPr>
        <w:t>Oncologie</w:t>
      </w:r>
      <w:r>
        <w:t xml:space="preserve"> : cancer du rein métastatique en deuxième ligne (effet antitumoral démontré) ; tumeurs neuroendocrines avancées (pancréatiques, pulmonaires, digestives). Indication distincte de l'immunosuppression de transplantation.</w:t>
      </w:r>
    </w:p>
    <w:p>
      <w:pPr>
        <w:pStyle w:val="ListNumber"/>
      </w:pPr>
      <w:r/>
      <w:r>
        <w:rPr>
          <w:b/>
        </w:rPr>
        <w:t>Maladie rare</w:t>
      </w:r>
      <w:r>
        <w:t xml:space="preserve"> : lymphangioléiomyomatose (LAM), maladie rare pulmonaire de la femme en âge de procréer (effet antiprolifératif sur les cellules musculaires lisses atypiques).</w:t>
      </w:r>
    </w:p>
    <w:p>
      <w:r>
        <w:t>Le sirolimus est aujourd'hui principalement utilisé en relais d'un ICN en cas de néphrotoxicité ou de cancer post-transplantation, plutôt qu'en protocole d'induction.</w:t>
      </w:r>
    </w:p>
    <w:p>
      <w:pPr>
        <w:pStyle w:val="Heading4"/>
      </w:pPr>
      <w:r>
        <w:t>171.2.1.2 Médicaments disponibles en Algérie</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RAPAMUNE</w:t>
            </w:r>
          </w:p>
        </w:tc>
        <w:tc>
          <w:tcPr>
            <w:tcW w:type="dxa" w:w="1559"/>
          </w:tcPr>
          <w:p>
            <w:r>
              <w:rPr>
                <w:sz w:val="20"/>
              </w:rPr>
              <w:t>PFIZER LIMITED</w:t>
            </w:r>
          </w:p>
        </w:tc>
        <w:tc>
          <w:tcPr>
            <w:tcW w:type="dxa" w:w="1559"/>
          </w:tcPr>
          <w:p>
            <w:r>
              <w:rPr>
                <w:sz w:val="20"/>
              </w:rPr>
              <w:t>Comprimé 1 mg</w:t>
            </w:r>
          </w:p>
        </w:tc>
        <w:tc>
          <w:tcPr>
            <w:tcW w:type="dxa" w:w="1559"/>
          </w:tcPr>
          <w:p>
            <w:r>
              <w:rPr>
                <w:sz w:val="20"/>
              </w:rPr>
              <w:t>B/30</w:t>
            </w:r>
          </w:p>
        </w:tc>
        <w:tc>
          <w:tcPr>
            <w:tcW w:type="dxa" w:w="1559"/>
          </w:tcPr>
          <w:p>
            <w:r>
              <w:rPr>
                <w:sz w:val="20"/>
              </w:rPr>
              <w:t>Liste I</w:t>
            </w:r>
          </w:p>
        </w:tc>
        <w:tc>
          <w:tcPr>
            <w:tcW w:type="dxa" w:w="1559"/>
          </w:tcPr>
          <w:p>
            <w:r>
              <w:rPr>
                <w:sz w:val="20"/>
              </w:rPr>
              <w:t>Actif</w:t>
            </w:r>
          </w:p>
        </w:tc>
      </w:tr>
      <w:tr>
        <w:tc>
          <w:tcPr>
            <w:tcW w:type="dxa" w:w="1559"/>
          </w:tcPr>
          <w:p>
            <w:r>
              <w:rPr>
                <w:sz w:val="20"/>
              </w:rPr>
              <w:t>RAPAMUNE</w:t>
            </w:r>
          </w:p>
        </w:tc>
        <w:tc>
          <w:tcPr>
            <w:tcW w:type="dxa" w:w="1559"/>
          </w:tcPr>
          <w:p>
            <w:r>
              <w:rPr>
                <w:sz w:val="20"/>
              </w:rPr>
              <w:t>PFIZER LIMITED</w:t>
            </w:r>
          </w:p>
        </w:tc>
        <w:tc>
          <w:tcPr>
            <w:tcW w:type="dxa" w:w="1559"/>
          </w:tcPr>
          <w:p>
            <w:r>
              <w:rPr>
                <w:sz w:val="20"/>
              </w:rPr>
              <w:t>Comprimé 2 mg</w:t>
            </w:r>
          </w:p>
        </w:tc>
        <w:tc>
          <w:tcPr>
            <w:tcW w:type="dxa" w:w="1559"/>
          </w:tcPr>
          <w:p>
            <w:r>
              <w:rPr>
                <w:sz w:val="20"/>
              </w:rPr>
              <w:t>B/30</w:t>
            </w:r>
          </w:p>
        </w:tc>
        <w:tc>
          <w:tcPr>
            <w:tcW w:type="dxa" w:w="1559"/>
          </w:tcPr>
          <w:p>
            <w:r>
              <w:rPr>
                <w:sz w:val="20"/>
              </w:rPr>
              <w:t>Liste I</w:t>
            </w:r>
          </w:p>
        </w:tc>
        <w:tc>
          <w:tcPr>
            <w:tcW w:type="dxa" w:w="1559"/>
          </w:tcPr>
          <w:p>
            <w:r>
              <w:rPr>
                <w:sz w:val="20"/>
              </w:rPr>
              <w:t>Actif</w:t>
            </w:r>
          </w:p>
        </w:tc>
      </w:tr>
    </w:tbl>
    <w:p/>
    <w:p>
      <w:r>
        <w:t>Le marché algérien du sirolimus est exclusivement représenté par le princeps Rapamune (Pfizer), disponible en comprimés de 1 mg et 2 mg (conditionnement B/30). Aucun générique algérien ou étranger n'est disponible, ce qui peut poser un problème d'accessibilité financière pour les patients. Aucune forme IV ou solution buvable n'est disponible en Algérie (la solution buvable 1 mg/mL existe dans d'autres pays mais n'est pas importée). Les patients pédiatriques nécessitent une adaptation posologique par écrasement des comprimés, ce qui est déconseillé en raison de la modification de la biodisponibilité.</w:t>
      </w:r>
    </w:p>
    <w:p>
      <w:pPr>
        <w:pStyle w:val="Heading4"/>
      </w:pPr>
      <w:r>
        <w:t>171.2.1.3 Mécanisme d'action moléculaire, cellulaire et physiologique</w:t>
      </w:r>
    </w:p>
    <w:p>
      <w:r>
        <w:t>Le sirolimus partage avec le tacrolimus la propriété de se lier à la FKBP12, mais s'en distingue par sa cible finale : au lieu d'inhiber la calcineurine, il inhibe mTORC1.</w:t>
      </w:r>
    </w:p>
    <w:p>
      <w:r/>
      <w:r>
        <w:rPr>
          <w:b/>
        </w:rPr>
        <w:t>Niveau moléculaire — liaison à la FKBP12</w:t>
      </w:r>
      <w:r>
        <w:t xml:space="preserve"> : le sirolimus est un macrolide tricyclique lipophile (MW 914 Da) qui diffuse passivement à travers la membrane plasmique des lymphocytes T. Dans le cytosol, il se lie avec une haute affinité (Ki 0,2 nM, supérieure à celle du tacrolimus) à la FKBP12. Comme pour le tacrolimus, le complexe sirolimus-FKBP12 ne bloque pas l'activité PPIase de la FKBP12 mais crée une nouvelle surface d'interaction.</w:t>
      </w:r>
    </w:p>
    <w:p>
      <w:r/>
      <w:r>
        <w:rPr>
          <w:b/>
        </w:rPr>
        <w:t>Niveau enzymatique — inhibition de mTORC1</w:t>
      </w:r>
      <w:r>
        <w:t xml:space="preserve"> : le complexe sirolimus-FKBP12 se fixe au domaine FRB (FKBP12-rapamycin binding) de la sous-unité mTOR du complexe mTORC1 (mTOR + Raptor + mLST8 + PRAS40 + DEPTOR). Cette liaison induit un changement conformationnel allostérique qui désactive mTORC1. À noter que mTORC2 (mTOR + Rictor + mLST8 + mSIN1 + PROTOR) est initialement résistant à l'inhibition directe par le sirolimus, mais est inhibé en cas d'exposition prolongée (&gt; 24 heures), expliquant les effets pléiotropiques observés.</w:t>
      </w:r>
    </w:p>
    <w:p>
      <w:r/>
      <w:r>
        <w:rPr>
          <w:b/>
        </w:rPr>
        <w:t>Niveau transcriptionnel — blocage de la traduction</w:t>
      </w:r>
      <w:r>
        <w:t xml:space="preserve"> : mTORC1 phosphoryle normalement deux effecteurs essentiels : (i) p70S6K1 (S6 kinase 1), qui phosphoryle la protéine ribosomale S6, activant la traduction des ARNm contenant un tract 5'-oligopyrimidine (5'-TOP) — ces ARNm codent essentiellement pour des protéines ribosomales et des facteurs de traduction ; (ii) 4E-BP1 (eukaryotic initiation factor 4E-binding protein 1), dont la phosphorylation libère le facteur d'initiation eIF4E, permettant la formation du complexe d'initiation eIF4F et la traduction des ARNm coiffés. L'inhibition de mTORC1 par le sirolimus bloque donc spécifiquement la traduction de protéines nécessaires à la progression du cycle cellulaire.</w:t>
      </w:r>
    </w:p>
    <w:p>
      <w:r/>
      <w:r>
        <w:rPr>
          <w:b/>
        </w:rPr>
        <w:t>Niveau cellulaire — blocage de la transition G1/S</w:t>
      </w:r>
      <w:r>
        <w:t xml:space="preserve"> : la conséquence directe est un arrêt du cycle cellulaire des lymphocytes T activés en phase G1, avant la transition G1/S. Les lymphocytes T activés par l'antigène et l'IL-2 ne peuvent donc pas cloner. Le blocage s'étend aux lymphocytes B (réponse thymo-indépendante et dépendante), aux cellules NK, et aux cellules dendritiques. Le sirolimus n'affecte pas l'activation initiale du TCR (production d'IL-2), mais bloque la réponse à l'IL-2 — il agit donc en synergie avec les ICN (qui réduisent la production d'IL-2).</w:t>
      </w:r>
    </w:p>
    <w:p>
      <w:r/>
      <w:r>
        <w:rPr>
          <w:b/>
        </w:rPr>
        <w:t>Niveau physiologique — immunosuppression non néphrotoxique</w:t>
      </w:r>
      <w:r>
        <w:t xml:space="preserve"> : le sirolimus n'altère pas l'hématopoïèse à doses thérapeutiques (à la différence des antimétabolites), ne bloque pas la calcineurine (à la différence des ICN), et n'induit pas de vasoconstriction de l'artériole afférente glomérulaire — c'est-à-dire pas de néphrotoxicité intrinsèque. Toutefois, il potentialise la néphrotoxicité de la ciclosporine si les deux molécules sont administrées simultanément (interaction pharmacodynamique au niveau tubulaire). Effet antiprolifératif étendu aux fibroblastes (retard de cicatrisation) et aux cellules musculaires lisses vasculaires (prévention de la vasculopathie du greffon).</w:t>
      </w:r>
    </w:p>
    <w:p>
      <w:r/>
      <w:r>
        <w:rPr>
          <w:b/>
        </w:rPr>
        <w:t>Niveau pharmacodynamique supplémentaire</w:t>
      </w:r>
      <w:r>
        <w:t xml:space="preserve"> : effet antitumoral direct, exploité en oncologie (cancer du rein, tumeurs neuroendocrines). Le sirolimus inhibe la prolifération tumorale par inhibition de l'angiogenèse (réduction de la production de VEGF) et par induction de l'autophagie. Effet antifibrotique (réduction de la production de TGF-β et de collagène), exploité dans la lymphangioléiomyomatose.</w:t>
      </w:r>
    </w:p>
    <w:p>
      <w:r>
        <w:t>Le délai d'action est plus lent que celui des ICN (effet maximal après 5-7 jours d'imprégnation tissulaire), en raison de la longue demi-vie du sirolimus (60-70 heures) et du mécanisme antiprolifératif (blocage du cycle cellulaire, pas de l'activation).</w:t>
      </w:r>
    </w:p>
    <w:p>
      <w:pPr>
        <w:pStyle w:val="Heading4"/>
      </w:pPr>
      <w:r>
        <w:t>171.2.1.4 Pharmacocinétique (profil PK)</w:t>
      </w:r>
    </w:p>
    <w:p>
      <w:r/>
      <w:r>
        <w:rPr>
          <w:b/>
        </w:rPr>
        <w:t>Absorption</w:t>
      </w:r>
      <w:r>
        <w:t xml:space="preserve"> : le sirolimus est administré par voie orale (comprimé). L'absorption orale est incomplète et variable : biodisponibilité absolue de 14 à 20 % (moyenne 16 %), en raison de (i) un métabolisme présystémique intestinal par le CYP3A4 entérocytaire, (ii) un efflux actif par la P-glycoprotéine (P-gp, ABCB1) intestinale. Le pic plasmatique (Cmax) est atteint en 1 à 2 heures. La prise avec un repas riche en graisses diminue l'AUC d'environ 20-35 % (recommandation : prise à jeun ou au cours d'un repas léger). Le jus de pamplemousse augmente l'AUC de 100-300 % (CI absolue).</w:t>
      </w:r>
    </w:p>
    <w:p>
      <w:r/>
      <w:r>
        <w:rPr>
          <w:b/>
        </w:rPr>
        <w:t>Distribution</w:t>
      </w:r>
      <w:r>
        <w:t xml:space="preserve"> : volume de distribution à l'équilibre très élevé (12 à 17 L/kg), en raison d'une fixation tissulaire importante (érythrocytes 95 %, foie, rein, tissu adipeux). Liaison aux protéines plasmatiques de 92 % (principalement α1-glycoprotéine acide, albumine, lipoprotéines). Le sirolimus traverse le placenta (rapport fœto-maternel 0,3-0,4) et passe dans le lait maternel (concentration équivalente à la concentration plasmatique — contre-indication à l'allaitement).</w:t>
      </w:r>
    </w:p>
    <w:p>
      <w:r/>
      <w:r>
        <w:rPr>
          <w:b/>
        </w:rPr>
        <w:t>Métabolisme</w:t>
      </w:r>
      <w:r>
        <w:t xml:space="preserve"> : le sirolimus est métabolisé à 99 % par le CYP3A4/5 hépatique et intestinal (mais aussi par le CYP2C8 accessoirement). Les voies principales sont l'hydroxylation, la déméthylation et la formation d'un métabolite lactone. Sept métabolites principaux sont identifiés, tous moins actifs que la molécule mère. La demi-vie d'élimination est longue (60-70 heures), permettant une administration une fois par jour.</w:t>
      </w:r>
    </w:p>
    <w:p>
      <w:r/>
      <w:r>
        <w:rPr>
          <w:b/>
        </w:rPr>
        <w:t>Élimination</w:t>
      </w:r>
      <w:r>
        <w:t xml:space="preserve"> : principalement biliaire (91 %) et fécale. Seulement 2 % sont éliminés dans les urines. La clairance totale est de 0,2 à 0,4 L/h/kg. Aucune adaptation posologique n'est nécessaire en cas d'insuffisance rénale, mais une surveillance accrue est recommandée.</w:t>
      </w:r>
    </w:p>
    <w:p>
      <w:r/>
      <w:r>
        <w:rPr>
          <w:b/>
        </w:rPr>
        <w:t>Linéarité</w:t>
      </w:r>
      <w:r>
        <w:t xml:space="preserve"> : la pharmacocinétique est non linéaire, et les concentrations augmentent de manière plus que proportionnelle à la dose.</w:t>
      </w:r>
    </w:p>
    <w:p>
      <w:r/>
      <w:r>
        <w:rPr>
          <w:b/>
        </w:rPr>
        <w:t>Suivi thérapeutique pharmacologique (STP)</w:t>
      </w:r>
      <w:r>
        <w:t xml:space="preserve"> : obligatoire en transplantation. Les concentrations résiduelles (C0) sont mesurées par LC-MS/MS (méthode de référence) ou par méthode immunologique. Les cibles C0 varient selon le protocole :</w:t>
      </w:r>
    </w:p>
    <w:p>
      <w:pPr>
        <w:pStyle w:val="ListBullet"/>
      </w:pPr>
      <w:r>
        <w:t>Transplantation rénale, en association avec ciclosporine (dose réduite) : 4-8 ng/mL à M0-M3, puis 8-12 ng/mL à M3-M12, puis 5-10 ng/mL au-delà (lors du sevrage progressif en ciclosporine).</w:t>
      </w:r>
    </w:p>
    <w:p>
      <w:pPr>
        <w:pStyle w:val="ListBullet"/>
      </w:pPr>
      <w:r>
        <w:t>Transplantation rénale, en monothérapie d'entretien : 12-20 ng/mL.</w:t>
      </w:r>
    </w:p>
    <w:p>
      <w:pPr>
        <w:pStyle w:val="ListBullet"/>
      </w:pPr>
      <w:r>
        <w:t>Transplantation cardiaque, prévention vasculopathie du greffon : 8-12 ng/mL.</w:t>
      </w:r>
    </w:p>
    <w:p>
      <w:r>
        <w:t>L'adaptation posologique se fait par paliers de 1 mg par modification, en respectant un délai de 5-7 jours entre deux modifications (en raison de la longue demi-vie).</w:t>
      </w:r>
    </w:p>
    <w:p>
      <w:pPr>
        <w:pStyle w:val="Heading4"/>
      </w:pPr>
      <w:r>
        <w:t>171.2.1.5 Indications thérapeutiques</w:t>
      </w:r>
    </w:p>
    <w:p>
      <w:pPr>
        <w:pStyle w:val="ListNumber"/>
      </w:pPr>
      <w:r/>
      <w:r>
        <w:rPr>
          <w:b/>
        </w:rPr>
        <w:t>Transplantation rénale</w:t>
      </w:r>
      <w:r>
        <w:t xml:space="preserve"> : prévention du rejet de greffe en association avec la ciclosporine (à dose réduite) et les corticoïdes, en protocole d'entretien. Posologie initiale : 6 mg en dose de charge à J1, puis 2 mg/jour en une prise. Le sirolimus peut être utilisé d'emblée ou en relais d'un ICN en cas de néphrotoxicité.</w:t>
      </w:r>
    </w:p>
    <w:p>
      <w:pPr>
        <w:pStyle w:val="ListNumber"/>
      </w:pPr>
      <w:r/>
      <w:r>
        <w:rPr>
          <w:b/>
        </w:rPr>
        <w:t>Relais d'un ICN en cas de néphrotoxicité</w:t>
      </w:r>
      <w:r>
        <w:t xml:space="preserve"> : conversion tacrolimus/ciclosporine → sirolimus, en protocole progressif sur 4-8 semaines, en transplantation rénale, cardiaque, hépatique (à distance de la transplantation). Surveillance stricte de la protéinurie (le sirolimus peut induire ou aggraver une protéinurie).</w:t>
      </w:r>
    </w:p>
    <w:p>
      <w:pPr>
        <w:pStyle w:val="ListNumber"/>
      </w:pPr>
      <w:r/>
      <w:r>
        <w:rPr>
          <w:b/>
        </w:rPr>
        <w:t>Transplantation cardiaque</w:t>
      </w:r>
      <w:r>
        <w:t xml:space="preserve"> : prévention de la vasculopathie du greffon. Conversion ICN → sirolimus à 6-12 mois, en raison de l'effet antiprolifératif sur les cellules musculaires lisses vasculaires.</w:t>
      </w:r>
    </w:p>
    <w:p>
      <w:pPr>
        <w:pStyle w:val="ListNumber"/>
      </w:pPr>
      <w:r/>
      <w:r>
        <w:rPr>
          <w:b/>
        </w:rPr>
        <w:t>Cancer post-transplantation</w:t>
      </w:r>
      <w:r>
        <w:t xml:space="preserve"> : patients transplantés ayant développé un cancer sous ICN (carcinomes cutanés multiples, sarcome de Kaposi, lymphome), relais par sirolimus pour bénéficier de l'effet antitumoral.</w:t>
      </w:r>
    </w:p>
    <w:p>
      <w:pPr>
        <w:pStyle w:val="ListNumber"/>
      </w:pPr>
      <w:r/>
      <w:r>
        <w:rPr>
          <w:b/>
        </w:rPr>
        <w:t>Lymphangioléiomyomatose (LAM)</w:t>
      </w:r>
      <w:r>
        <w:t xml:space="preserve"> : maladie rare pulmonaire de la femme en âge de procréer, caractérisée par une prolifération de cellules musculaires lisses atypiques dans les poumons. Posologie : 2 mg/jour, surveillance C0 (cible 5-15 ng/mL).</w:t>
      </w:r>
    </w:p>
    <w:p>
      <w:pPr>
        <w:pStyle w:val="ListNumber"/>
      </w:pPr>
      <w:r/>
      <w:r>
        <w:rPr>
          <w:b/>
        </w:rPr>
        <w:t>Oncologie</w:t>
      </w:r>
      <w:r>
        <w:t xml:space="preserve"> : cancer du rein métastatique en deuxième ligne (effet anti-angiogénique et antiprolifératif), tumeurs neuroendocrines avancées (en cours d'évaluation).</w:t>
      </w:r>
    </w:p>
    <w:p>
      <w:pPr>
        <w:pStyle w:val="ListNumber"/>
      </w:pPr>
      <w:r/>
      <w:r>
        <w:rPr>
          <w:b/>
        </w:rPr>
        <w:t>Syndrome hémolytique et urémique atypique</w:t>
      </w:r>
      <w:r>
        <w:t xml:space="preserve"> : traitement de certaines formes génétiques (mutation mTOR), en protocole spécialisé.</w:t>
      </w:r>
    </w:p>
    <w:p>
      <w:pPr>
        <w:pStyle w:val="Heading4"/>
      </w:pPr>
      <w:r>
        <w:t>171.2.1.6 Posologie et mode d'administration</w:t>
      </w:r>
    </w:p>
    <w:p>
      <w:r/>
      <w:r>
        <w:rPr>
          <w:b/>
        </w:rPr>
        <w:t>Transplantation rénale (voie orale)</w:t>
      </w:r>
      <w:r>
        <w:t xml:space="preserve"> :</w:t>
      </w:r>
    </w:p>
    <w:p>
      <w:pPr>
        <w:pStyle w:val="ListBullet"/>
      </w:pPr>
      <w:r>
        <w:t>Dose de charge à J1 : 6 mg (≈ 3 × la dose d'entretien).</w:t>
      </w:r>
    </w:p>
    <w:p>
      <w:pPr>
        <w:pStyle w:val="ListBullet"/>
      </w:pPr>
      <w:r>
        <w:t>Dose d'entretien à partir de J2 : 2 mg/jour en une prise unique, à heure fixe (par exemple le matin à 8 h).</w:t>
      </w:r>
    </w:p>
    <w:p>
      <w:pPr>
        <w:pStyle w:val="ListBullet"/>
      </w:pPr>
      <w:r>
        <w:t>Adaptation posologique : guidée par les concentrations résiduelles C0 mesurées à J+5, J+10, J+15, puis 1 fois par semaine pendant le 1er mois, puis mensuelle à terme. Adaptation par paliers de 0,5-1 mg par modification, en respectant un délai de 5-7 jours entre deux modifications (en raison de la longue demi-vie).</w:t>
      </w:r>
    </w:p>
    <w:p>
      <w:pPr>
        <w:pStyle w:val="ListBullet"/>
      </w:pPr>
      <w:r>
        <w:t>En association avec la ciclosporine (forme microémulsion) : espacer la prise de ciclosporine et la prise de sirolimus d'au moins 4 heures (ciclosporine à 8 h, sirolimus à 12 h ou 16 h). En pratique, prendre la ciclosporine le matin à 8 h et le sirolimus le midi à 12 h ou le soir à 20 h.</w:t>
      </w:r>
    </w:p>
    <w:p>
      <w:r/>
      <w:r>
        <w:rPr>
          <w:b/>
        </w:rPr>
        <w:t>Relais d'un ICN par le sirolimus</w:t>
      </w:r>
      <w:r>
        <w:t xml:space="preserve"> :</w:t>
      </w:r>
    </w:p>
    <w:p>
      <w:pPr>
        <w:pStyle w:val="ListBullet"/>
      </w:pPr>
      <w:r>
        <w:t>Protocole de conversion progressive : introduction du sirolimus à faible dose (1-2 mg/jour), maintien de l'ICN à dose inchangée pendant 2-4 semaines, puis décroissance progressive de l'ICN sur 4-8 semaines, augmentation parallèle du sirolimus pour atteindre la cible C0 (8-12 ng/mL).</w:t>
      </w:r>
    </w:p>
    <w:p>
      <w:pPr>
        <w:pStyle w:val="ListBullet"/>
      </w:pPr>
      <w:r>
        <w:t>Surveillance stricte de la protéinurie : dosage de la protéinurie/24h avant conversion, à 1 mois, 3 mois, puis tous les 6 mois. Si protéinurie &gt; 800 mg/24h, contre-indication à la conversion.</w:t>
      </w:r>
    </w:p>
    <w:p>
      <w:r/>
      <w:r>
        <w:rPr>
          <w:b/>
        </w:rPr>
        <w:t>Lymphangioléiomyomatose</w:t>
      </w:r>
      <w:r>
        <w:t xml:space="preserve"> :</w:t>
      </w:r>
    </w:p>
    <w:p>
      <w:pPr>
        <w:pStyle w:val="ListBullet"/>
      </w:pPr>
      <w:r>
        <w:t>Posologie : 2 mg/jour en une prise, adaptée aux concentrations résiduelles (cible 5-15 ng/mL).</w:t>
      </w:r>
    </w:p>
    <w:p>
      <w:r/>
      <w:r>
        <w:rPr>
          <w:b/>
        </w:rPr>
        <w:t>Adaptations posologiques</w:t>
      </w:r>
      <w:r>
        <w:t xml:space="preserve"> :</w:t>
      </w:r>
    </w:p>
    <w:p>
      <w:pPr>
        <w:pStyle w:val="ListBullet"/>
      </w:pPr>
      <w:r>
        <w:t>Insuffisance hépatique : réduction de 50 % selon la sévérité (clairance CYP3A4 diminuée).</w:t>
      </w:r>
    </w:p>
    <w:p>
      <w:pPr>
        <w:pStyle w:val="ListBullet"/>
      </w:pPr>
      <w:r>
        <w:t>Sujet âgé : pas d'adaptation systématique mais surveillance accrue.</w:t>
      </w:r>
    </w:p>
    <w:p>
      <w:pPr>
        <w:pStyle w:val="ListBullet"/>
      </w:pPr>
      <w:r>
        <w:t>Enfant &gt; 13 ans : 3 mg/m²/jour (dose de charge), puis 1 mg/m²/jour (dose d'entretien), sans dépasser la dose adulte.</w:t>
      </w:r>
    </w:p>
    <w:p>
      <w:pPr>
        <w:pStyle w:val="ListBullet"/>
      </w:pPr>
      <w:r>
        <w:t>Enfant &lt; 13 ans : utilisation déconseillée en l'absence de formulation adaptée (solution buvable non disponible en Algérie).</w:t>
      </w:r>
    </w:p>
    <w:p>
      <w:pPr>
        <w:pStyle w:val="ListBullet"/>
      </w:pPr>
      <w:r>
        <w:t>Insuffisance rénale : pas d'adaptation posologique.</w:t>
      </w:r>
    </w:p>
    <w:p>
      <w:r/>
      <w:r>
        <w:rPr>
          <w:b/>
        </w:rPr>
        <w:t>Règle d'or de prise</w:t>
      </w:r>
      <w:r>
        <w:t xml:space="preserve"> : prendre à heure fixe une fois par jour, à jeun ou au cours d'un repas léger (prise à distance d'un repas riche en graisses), toujours à la même heure par rapport aux repas. Ne jamais interrompre brutalement. Espacer d'au moins 4 heures la prise de ciclosporine.</w:t>
      </w:r>
    </w:p>
    <w:p>
      <w:pPr>
        <w:pStyle w:val="Heading4"/>
      </w:pPr>
      <w:r>
        <w:t>171.2.1.7 Effets indésirables et prévention</w:t>
      </w:r>
    </w:p>
    <w:p>
      <w:r/>
      <w:r>
        <w:rPr>
          <w:b/>
        </w:rPr>
        <w:t>Effets indésirables fréquents (&gt; 10 %)</w:t>
      </w:r>
      <w:r>
        <w:t xml:space="preserve"> :</w:t>
      </w:r>
    </w:p>
    <w:p>
      <w:pPr>
        <w:pStyle w:val="ListBullet"/>
      </w:pPr>
      <w:r/>
      <w:r>
        <w:rPr>
          <w:b/>
        </w:rPr>
        <w:t>Hyperlipidémie</w:t>
      </w:r>
      <w:r>
        <w:t xml:space="preserve"> : 40-70 % des patients. Mécanisme : inhibition de mTORC1 entraînant une baisse de la dégradation des lipoprotéines (LDL, VLDL), augmentation de la synthèse hépatique de VLDL. Surveillance : bilan lipidique mensuel le 1er trimestre, puis trimestriel. Traitement : statines (pravastatine, fluvastatine — peu métabolisées par CYP3A4), fibrates (fénofibrate). Adapter le régime.</w:t>
      </w:r>
    </w:p>
    <w:p>
      <w:pPr>
        <w:pStyle w:val="ListBullet"/>
      </w:pPr>
      <w:r/>
      <w:r>
        <w:rPr>
          <w:b/>
        </w:rPr>
        <w:t>Thrombopénie</w:t>
      </w:r>
      <w:r>
        <w:t xml:space="preserve"> : 20-30 %. Mécanisme : inhibition de la prolifération des précurseurs mégacaryocytaires. Surveillance : NFS plaquettaire hebdomadaire le 1er mois, puis mensuelle. Prévention : adapter la dose, éviter les associations thrombopéniantes.</w:t>
      </w:r>
    </w:p>
    <w:p>
      <w:pPr>
        <w:pStyle w:val="ListBullet"/>
      </w:pPr>
      <w:r/>
      <w:r>
        <w:rPr>
          <w:b/>
        </w:rPr>
        <w:t>Leucopénie, anémie</w:t>
      </w:r>
      <w:r>
        <w:t xml:space="preserve"> : 15-25 %. Surveillance : NFS mensuelle.</w:t>
      </w:r>
    </w:p>
    <w:p>
      <w:pPr>
        <w:pStyle w:val="ListBullet"/>
      </w:pPr>
      <w:r/>
      <w:r>
        <w:rPr>
          <w:b/>
        </w:rPr>
        <w:t>Hypertension artérielle</w:t>
      </w:r>
      <w:r>
        <w:t xml:space="preserve"> : 30-50 %.</w:t>
      </w:r>
    </w:p>
    <w:p>
      <w:pPr>
        <w:pStyle w:val="ListBullet"/>
      </w:pPr>
      <w:r/>
      <w:r>
        <w:rPr>
          <w:b/>
        </w:rPr>
        <w:t>Diarrhée, douleurs abdominales</w:t>
      </w:r>
      <w:r>
        <w:t xml:space="preserve"> : 15-30 %.</w:t>
      </w:r>
    </w:p>
    <w:p>
      <w:pPr>
        <w:pStyle w:val="ListBullet"/>
      </w:pPr>
      <w:r/>
      <w:r>
        <w:rPr>
          <w:b/>
        </w:rPr>
        <w:t>Stomatite, mucite</w:t>
      </w:r>
      <w:r>
        <w:t xml:space="preserve"> : 10-30 %. Mécanisme : toxicité directe sur l'épithélium buccal (similaire au mécanisme des inhibiteurs mTOR en oncologie). Prévention : hygiène bucco-dentaire rigoureuse, bains de bouche (sans alcool), éviter les aliments épicés.</w:t>
      </w:r>
    </w:p>
    <w:p>
      <w:pPr>
        <w:pStyle w:val="ListBullet"/>
      </w:pPr>
      <w:r/>
      <w:r>
        <w:rPr>
          <w:b/>
        </w:rPr>
        <w:t>Œdèmes des membres inférieurs</w:t>
      </w:r>
      <w:r>
        <w:t xml:space="preserve"> : 15-30 %. Mécanisme : augmentation de la perméabilité vasculaire.</w:t>
      </w:r>
    </w:p>
    <w:p>
      <w:pPr>
        <w:pStyle w:val="ListBullet"/>
      </w:pPr>
      <w:r/>
      <w:r>
        <w:rPr>
          <w:b/>
        </w:rPr>
        <w:t>Acné, rash cutané</w:t>
      </w:r>
      <w:r>
        <w:t xml:space="preserve"> : 10-20 %.</w:t>
      </w:r>
    </w:p>
    <w:p>
      <w:pPr>
        <w:pStyle w:val="ListBullet"/>
      </w:pPr>
      <w:r/>
      <w:r>
        <w:rPr>
          <w:b/>
        </w:rPr>
        <w:t>Retard de cicatrisation</w:t>
      </w:r>
      <w:r>
        <w:t xml:space="preserve"> : 10-30 %. Mécanisme : inhibition de la prolifération des fibroblastes. Prévention : informer le chirurgien avant toute intervention, éviter si possible les actes chirurgicaux sous sirolimus (le relais transitoire par un ICN peut être discuté).</w:t>
      </w:r>
    </w:p>
    <w:p>
      <w:pPr>
        <w:pStyle w:val="ListBullet"/>
      </w:pPr>
      <w:r/>
      <w:r>
        <w:rPr>
          <w:b/>
        </w:rPr>
        <w:t>Arthralgies, myalgies</w:t>
      </w:r>
      <w:r>
        <w:t xml:space="preserve"> : 10-20 %.</w:t>
      </w:r>
    </w:p>
    <w:p>
      <w:pPr>
        <w:pStyle w:val="ListBullet"/>
      </w:pPr>
      <w:r/>
      <w:r>
        <w:rPr>
          <w:b/>
        </w:rPr>
        <w:t>Céphalées, insomnies</w:t>
      </w:r>
      <w:r>
        <w:t xml:space="preserve"> : 10-20 %.</w:t>
      </w:r>
    </w:p>
    <w:p>
      <w:r/>
      <w:r>
        <w:rPr>
          <w:b/>
        </w:rPr>
        <w:t>Effets indésirables moins fréquents (1-10 %)</w:t>
      </w:r>
      <w:r>
        <w:t xml:space="preserve"> :</w:t>
      </w:r>
    </w:p>
    <w:p>
      <w:pPr>
        <w:pStyle w:val="ListBullet"/>
      </w:pPr>
      <w:r/>
      <w:r>
        <w:rPr>
          <w:b/>
        </w:rPr>
        <w:t>Pneumopathie interstitielle</w:t>
      </w:r>
      <w:r>
        <w:t xml:space="preserve"> : effet rare mais grave. Mécanisme : pneumopathie d'hypersensibilité, fibrose interstitielle. Expression clinique : toux sèche, dyspnée, fièvre, hypoxie. Diagnostic : scanner thoracique haute résolution (verre dépoli, réticulations). Conduite à tenir : arrêt immédiat du sirolimus, avis pneumologique.</w:t>
      </w:r>
    </w:p>
    <w:p>
      <w:pPr>
        <w:pStyle w:val="ListBullet"/>
      </w:pPr>
      <w:r/>
      <w:r>
        <w:rPr>
          <w:b/>
        </w:rPr>
        <w:t>Protéinurie</w:t>
      </w:r>
      <w:r>
        <w:t xml:space="preserve"> : 5-15 % (parfois sévère, syndrome néphrotique). Mécanisme : toxicité directe sur les podocytes. Surveillance : protéinurie/24h mensuelle. Si protéinurie &gt; 800 mg/24h : discussion d'un relais.</w:t>
      </w:r>
    </w:p>
    <w:p>
      <w:pPr>
        <w:pStyle w:val="ListBullet"/>
      </w:pPr>
      <w:r/>
      <w:r>
        <w:rPr>
          <w:b/>
        </w:rPr>
        <w:t>Hypokaliémie, hypomagnésémie</w:t>
      </w:r>
      <w:r>
        <w:t xml:space="preserve"> : 5-15 %.</w:t>
      </w:r>
    </w:p>
    <w:p>
      <w:pPr>
        <w:pStyle w:val="ListBullet"/>
      </w:pPr>
      <w:r/>
      <w:r>
        <w:rPr>
          <w:b/>
        </w:rPr>
        <w:t>Péricardite</w:t>
      </w:r>
      <w:r>
        <w:t xml:space="preserve"> : 1-5 %.</w:t>
      </w:r>
    </w:p>
    <w:p>
      <w:pPr>
        <w:pStyle w:val="ListBullet"/>
      </w:pPr>
      <w:r/>
      <w:r>
        <w:rPr>
          <w:b/>
        </w:rPr>
        <w:t>Hypogammaglobulinémie</w:t>
      </w:r>
      <w:r>
        <w:t xml:space="preserve"> : 5-15 %, risque accru d'infections à germe encapsulé (pneumocoque, méningocoque, Haemophilus influenzae).</w:t>
      </w:r>
    </w:p>
    <w:p>
      <w:pPr>
        <w:pStyle w:val="ListBullet"/>
      </w:pPr>
      <w:r/>
      <w:r>
        <w:rPr>
          <w:b/>
        </w:rPr>
        <w:t>Hémolyse</w:t>
      </w:r>
      <w:r>
        <w:t xml:space="preserve"> : rare.</w:t>
      </w:r>
    </w:p>
    <w:p>
      <w:pPr>
        <w:pStyle w:val="ListBullet"/>
      </w:pPr>
      <w:r/>
      <w:r>
        <w:rPr>
          <w:b/>
        </w:rPr>
        <w:t>Augmentation des transaminases</w:t>
      </w:r>
      <w:r>
        <w:t xml:space="preserve"> : 5-15 %.</w:t>
      </w:r>
    </w:p>
    <w:p>
      <w:r/>
      <w:r>
        <w:rPr>
          <w:b/>
        </w:rPr>
        <w:t>Effets indésirables rares (&lt; 1 %)</w:t>
      </w:r>
      <w:r>
        <w:t xml:space="preserve"> :</w:t>
      </w:r>
    </w:p>
    <w:p>
      <w:pPr>
        <w:pStyle w:val="ListBullet"/>
      </w:pPr>
      <w:r>
        <w:t>Thrombose de l'artère hépatique (en transplantation hépatique précoce — CI relative à la phase initiale).</w:t>
      </w:r>
    </w:p>
    <w:p>
      <w:pPr>
        <w:pStyle w:val="ListBullet"/>
      </w:pPr>
      <w:r>
        <w:t>Réaction d'hypersensibilité.</w:t>
      </w:r>
    </w:p>
    <w:p>
      <w:pPr>
        <w:pStyle w:val="ListBullet"/>
      </w:pPr>
      <w:r>
        <w:t>Lymphocèle post-transplantation rénale (augmentation de l'incidence).</w:t>
      </w:r>
    </w:p>
    <w:p>
      <w:pPr>
        <w:pStyle w:val="ListBullet"/>
      </w:pPr>
      <w:r>
        <w:t>Hémorragie alvéolaire.</w:t>
      </w:r>
    </w:p>
    <w:p>
      <w:pPr>
        <w:pStyle w:val="ListBullet"/>
      </w:pPr>
      <w:r>
        <w:t>Allongement de l'intervalle QT.</w:t>
      </w:r>
    </w:p>
    <w:p>
      <w:r/>
      <w:r>
        <w:rPr>
          <w:b/>
        </w:rPr>
        <w:t>Effets à long terme</w:t>
      </w:r>
      <w:r>
        <w:t xml:space="preserve"> :</w:t>
      </w:r>
    </w:p>
    <w:p>
      <w:pPr>
        <w:pStyle w:val="ListBullet"/>
      </w:pPr>
      <w:r>
        <w:t>Cancers post-transplantation : incidence réduite par rapport aux ICN (effet antiprolifératif sur les cellules tumorales). Réduction notable de l'incidence des carcinomes cutanés et des sarcomes de Kaposi.</w:t>
      </w:r>
    </w:p>
    <w:p>
      <w:pPr>
        <w:pStyle w:val="ListBullet"/>
      </w:pPr>
      <w:r>
        <w:t>Insuffisance rénale chronique du greffon : incidence réduite par rapport aux ICN, en raison de l'absence de néphrotoxicité intrinsèque.</w:t>
      </w:r>
    </w:p>
    <w:p>
      <w:pPr>
        <w:pStyle w:val="ListBullet"/>
      </w:pPr>
      <w:r>
        <w:t>Effet antifibrotique : réduction de la fibrose interstitielle et de la vasculopathie du greffon.</w:t>
      </w:r>
    </w:p>
    <w:p>
      <w:r/>
      <w:r>
        <w:rPr>
          <w:b/>
        </w:rPr>
        <w:t>Prévention générale des EI</w:t>
      </w:r>
      <w:r>
        <w:t xml:space="preserve"> :</w:t>
      </w:r>
    </w:p>
    <w:p>
      <w:pPr>
        <w:pStyle w:val="ListBullet"/>
      </w:pPr>
      <w:r>
        <w:t>Hydratation abondante (1,5-2 L/j).</w:t>
      </w:r>
    </w:p>
    <w:p>
      <w:pPr>
        <w:pStyle w:val="ListBullet"/>
      </w:pPr>
      <w:r>
        <w:t>Éviter le pamplemousse pendant toute la durée du traitement.</w:t>
      </w:r>
    </w:p>
    <w:p>
      <w:pPr>
        <w:pStyle w:val="ListBullet"/>
      </w:pPr>
      <w:r>
        <w:t>Photoprotection stricte.</w:t>
      </w:r>
    </w:p>
    <w:p>
      <w:pPr>
        <w:pStyle w:val="ListBullet"/>
      </w:pPr>
      <w:r>
        <w:t>Vaccinations : mise à jour avant transplantation ; contre-indication absolue aux vaccins vivants atténués.</w:t>
      </w:r>
    </w:p>
    <w:p>
      <w:pPr>
        <w:pStyle w:val="ListBullet"/>
      </w:pPr>
      <w:r>
        <w:t>Surveillance de la NFS, du bilan lipidique, de la protéinurie, de la fonction hépatique, du scanner thoracique en cas de symptômes respiratoires.</w:t>
      </w:r>
    </w:p>
    <w:p>
      <w:pPr>
        <w:pStyle w:val="ListBullet"/>
      </w:pPr>
      <w:r>
        <w:t>Vaccination antipneumococcique (Pneumo 23, Prevenar 13) et antiméningococcique (Menveo, Nimenrix) recommandées avant transplantation (en raison du risque d'hypogammaglobulinémie).</w:t>
      </w:r>
    </w:p>
    <w:p>
      <w:pPr>
        <w:pStyle w:val="Heading4"/>
      </w:pPr>
      <w:r>
        <w:t>171.2.1.8 Interactions médicamenteuses</w:t>
      </w:r>
    </w:p>
    <w:p>
      <w:r>
        <w:t>Le sirolimus partage le même profil d'interactions CYP3A4/P-gp que la ciclosporine et le tacrolimus.</w:t>
      </w:r>
    </w:p>
    <w:p>
      <w:r/>
      <w:r>
        <w:rPr>
          <w:b/>
        </w:rPr>
        <w:t>Inhibiteurs du CYP3A4 (augmentation des taux → toxicité)</w:t>
      </w:r>
      <w:r>
        <w:t xml:space="preserve"> :</w:t>
      </w:r>
    </w:p>
    <w:p>
      <w:pPr>
        <w:pStyle w:val="ListBullet"/>
      </w:pPr>
      <w:r>
        <w:t>Antifongiques azolés : kétoconazole (CI), fluconazole (×2 à 3), itraconazole, voriconazole, posaconazole.</w:t>
      </w:r>
    </w:p>
    <w:p>
      <w:pPr>
        <w:pStyle w:val="ListBullet"/>
      </w:pPr>
      <w:r>
        <w:t>Macrolides : érythromycine (×3 à 5), clarithromycine (×2 à 3). Azithromycine : peu d'interaction.</w:t>
      </w:r>
    </w:p>
    <w:p>
      <w:pPr>
        <w:pStyle w:val="ListBullet"/>
      </w:pPr>
      <w:r>
        <w:t>Inhibiteurs de protéase du VIH.</w:t>
      </w:r>
    </w:p>
    <w:p>
      <w:pPr>
        <w:pStyle w:val="ListBullet"/>
      </w:pPr>
      <w:r>
        <w:t>Antagonistes calciques : diltiazem (×2), vérapamil, nicardipine.</w:t>
      </w:r>
    </w:p>
    <w:p>
      <w:pPr>
        <w:pStyle w:val="ListBullet"/>
      </w:pPr>
      <w:r>
        <w:t>Statines : simvastatine, atorvastatine.</w:t>
      </w:r>
    </w:p>
    <w:p>
      <w:pPr>
        <w:pStyle w:val="ListBullet"/>
      </w:pPr>
      <w:r>
        <w:t>Amiodarone.</w:t>
      </w:r>
    </w:p>
    <w:p>
      <w:pPr>
        <w:pStyle w:val="ListBullet"/>
      </w:pPr>
      <w:r>
        <w:t>Pamplemousse : CI absolue.</w:t>
      </w:r>
    </w:p>
    <w:p>
      <w:pPr>
        <w:pStyle w:val="ListBullet"/>
      </w:pPr>
      <w:r>
        <w:t>Millepertuis : inducteur (voir ci-dessous).</w:t>
      </w:r>
    </w:p>
    <w:p>
      <w:r/>
      <w:r>
        <w:rPr>
          <w:b/>
        </w:rPr>
        <w:t>Inducteurs du CYP3A4 (diminution des taux → risque de rejet)</w:t>
      </w:r>
      <w:r>
        <w:t xml:space="preserve"> :</w:t>
      </w:r>
    </w:p>
    <w:p>
      <w:pPr>
        <w:pStyle w:val="ListBullet"/>
      </w:pPr>
      <w:r>
        <w:t>Rifampicine : induction majeure (peut nécessiter de tripler la dose de sirolimus).</w:t>
      </w:r>
    </w:p>
    <w:p>
      <w:pPr>
        <w:pStyle w:val="ListBullet"/>
      </w:pPr>
      <w:r>
        <w:t>Phénytoïne, phénobarbital, carbamazépine.</w:t>
      </w:r>
    </w:p>
    <w:p>
      <w:pPr>
        <w:pStyle w:val="ListBullet"/>
      </w:pPr>
      <w:r>
        <w:t>Millepertuis : CI absolue.</w:t>
      </w:r>
    </w:p>
    <w:p>
      <w:pPr>
        <w:pStyle w:val="ListBullet"/>
      </w:pPr>
      <w:r>
        <w:t>Éfavirenz, névirapine.</w:t>
      </w:r>
    </w:p>
    <w:p>
      <w:pPr>
        <w:pStyle w:val="ListBullet"/>
      </w:pPr>
      <w:r>
        <w:t>Oxcarbazépine.</w:t>
      </w:r>
    </w:p>
    <w:p>
      <w:pPr>
        <w:pStyle w:val="ListBullet"/>
      </w:pPr>
      <w:r>
        <w:t>Aprepitant.</w:t>
      </w:r>
    </w:p>
    <w:p>
      <w:pPr>
        <w:pStyle w:val="ListBullet"/>
      </w:pPr>
      <w:r>
        <w:t>Bosentan.</w:t>
      </w:r>
    </w:p>
    <w:p>
      <w:r/>
      <w:r>
        <w:rPr>
          <w:b/>
        </w:rPr>
        <w:t>Interaction pharmacodynamique avec la ciclosporine</w:t>
      </w:r>
      <w:r>
        <w:t xml:space="preserve"> :</w:t>
      </w:r>
    </w:p>
    <w:p>
      <w:pPr>
        <w:pStyle w:val="ListBullet"/>
      </w:pPr>
      <w:r>
        <w:t>Le sirolimus major la néphrotoxicité de la ciclosporine (potentialisation au niveau tubulaire).</w:t>
      </w:r>
    </w:p>
    <w:p>
      <w:pPr>
        <w:pStyle w:val="ListBullet"/>
      </w:pPr>
      <w:r>
        <w:t>Espacement obligatoire de 4 heures entre la prise de ciclosporine et la prise de sirolimus.</w:t>
      </w:r>
    </w:p>
    <w:p>
      <w:pPr>
        <w:pStyle w:val="ListBullet"/>
      </w:pPr>
      <w:r>
        <w:t>Réduction de la dose de ciclosporine de 30-50 % en association.</w:t>
      </w:r>
    </w:p>
    <w:p>
      <w:pPr>
        <w:pStyle w:val="ListBullet"/>
      </w:pPr>
      <w:r>
        <w:t>Surveillance accrue de la créatininémie.</w:t>
      </w:r>
    </w:p>
    <w:p>
      <w:r/>
      <w:r>
        <w:rPr>
          <w:b/>
        </w:rPr>
        <w:t>Médicaments majorant la toxicité hématologique</w:t>
      </w:r>
      <w:r>
        <w:t xml:space="preserve"> :</w:t>
      </w:r>
    </w:p>
    <w:p>
      <w:pPr>
        <w:pStyle w:val="ListBullet"/>
      </w:pPr>
      <w:r>
        <w:t>Antiviraux (valganciclovir) : potentialisation de la leucopénie/thrombopénie.</w:t>
      </w:r>
    </w:p>
    <w:p>
      <w:pPr>
        <w:pStyle w:val="ListBullet"/>
      </w:pPr>
      <w:r>
        <w:t>Cotrimoxazole à forte dose.</w:t>
      </w:r>
    </w:p>
    <w:p>
      <w:pPr>
        <w:pStyle w:val="ListBullet"/>
      </w:pPr>
      <w:r>
        <w:t>Mycophénolate mofétil.</w:t>
      </w:r>
    </w:p>
    <w:p>
      <w:pPr>
        <w:pStyle w:val="ListBullet"/>
      </w:pPr>
      <w:r>
        <w:t>Azathioprine.</w:t>
      </w:r>
    </w:p>
    <w:p>
      <w:r/>
      <w:r>
        <w:rPr>
          <w:b/>
        </w:rPr>
        <w:t>Médicaments majorant la toxicité métabolique</w:t>
      </w:r>
      <w:r>
        <w:t xml:space="preserve"> :</w:t>
      </w:r>
    </w:p>
    <w:p>
      <w:pPr>
        <w:pStyle w:val="ListBullet"/>
      </w:pPr>
      <w:r>
        <w:t>Statines (simvastatine, atorvastatine) : potentialisation de la dyslipidémie et du risque de rhabdomyolyse.</w:t>
      </w:r>
    </w:p>
    <w:p>
      <w:pPr>
        <w:pStyle w:val="ListBullet"/>
      </w:pPr>
      <w:r>
        <w:t>Fibrates : surveillance de la fonction rénale et musculaire.</w:t>
      </w:r>
    </w:p>
    <w:p>
      <w:r/>
      <w:r>
        <w:rPr>
          <w:b/>
        </w:rPr>
        <w:t>Vaccins</w:t>
      </w:r>
      <w:r>
        <w:t xml:space="preserve"> :</w:t>
      </w:r>
    </w:p>
    <w:p>
      <w:pPr>
        <w:pStyle w:val="ListBullet"/>
      </w:pPr>
      <w:r>
        <w:t>Contre-indication absolue aux vaccins vivants atténués.</w:t>
      </w:r>
    </w:p>
    <w:p>
      <w:pPr>
        <w:pStyle w:val="Heading4"/>
      </w:pPr>
      <w:r>
        <w:t>171.2.1.9 Grossesse, allaitement et CRAT</w:t>
      </w:r>
    </w:p>
    <w:p>
      <w:r>
        <w:t xml:space="preserve">Selon les données du CRAT, le sirolimus est </w:t>
      </w:r>
      <w:r>
        <w:rPr>
          <w:b/>
        </w:rPr>
        <w:t>contre-indiqué pendant la grossesse</w:t>
      </w:r>
      <w:r>
        <w:t xml:space="preserve"> en dehors de situations vitales, en raison de données animales évocatrices d'une tératogénicité (embryotoxicité, mortalité fœtale, malformations squelettiques chez le rat et le lapin à doses thérapeutiques).</w:t>
      </w:r>
    </w:p>
    <w:p>
      <w:r/>
      <w:r>
        <w:rPr>
          <w:b/>
        </w:rPr>
        <w:t>Tératogénicité</w:t>
      </w:r>
      <w:r>
        <w:t xml:space="preserve"> : le sirolimus traverse le placenta (rapport fœto-maternel 0,3-0,4). Chez l'animal (rat, lapin), des doses thérapeutiques (0,5 mg/kg) induisent une augmentation de la mortalité embryo-fœtale, des malformations squelettiques (sternèbre, vertèbres), et une baisse du poids fœtal. Les données humaines sont limitées (peu de grossesses exposées en raison de la contraception stricte recommandée), mais ne montrent pas d'excès de malformations.</w:t>
      </w:r>
    </w:p>
    <w:p>
      <w:r/>
      <w:r>
        <w:rPr>
          <w:b/>
        </w:rPr>
        <w:t>Contraception</w:t>
      </w:r>
      <w:r>
        <w:t xml:space="preserve"> : obligatoire et efficace chez toute femme en âge de procréer sous sirolimus. Double contraception (estroprogestatif + préservatif, ou dispositif intra-utérin + préservatif) recommandée pendant le traitement et pendant 12 semaines après l'arrêt. Chez l'homme, aucune donnée ne montre de toxicité du sirolimus sur la spermatogenèse, mais une contraception masculine est parfois conseillée par prudence.</w:t>
      </w:r>
    </w:p>
    <w:p>
      <w:r/>
      <w:r>
        <w:rPr>
          <w:b/>
        </w:rPr>
        <w:t>Grossesse accidentelle</w:t>
      </w:r>
      <w:r>
        <w:t xml:space="preserve"> : en cas de grossesse sous sirolimus, arrêt immédiat de la molécule, relais par un ICN (tacrolimus) ou par l'azathioprine (qui sont compatibles avec la grossesse). Surveillance échographique renforcée. Le sirolimus n'impose pas une interruption thérapeutique de grossesse si la patiente le désire, mais le risque fœtal doit être expliqué.</w:t>
      </w:r>
    </w:p>
    <w:p>
      <w:r/>
      <w:r>
        <w:rPr>
          <w:b/>
        </w:rPr>
        <w:t>Allaitement</w:t>
      </w:r>
      <w:r>
        <w:t xml:space="preserve"> : contre-indication absolue (le sirolimus passe dans le lait maternel à des concentrations équivalentes à la concentration plasmatique maternelle, et la demi-vie longue expose à une accumulation chez le nourrisson). Utilisation de substituts lactés.</w:t>
      </w:r>
    </w:p>
    <w:p>
      <w:pPr>
        <w:pStyle w:val="Heading4"/>
      </w:pPr>
      <w:r>
        <w:t>171.2.1.10 Formes galéniques disponibles</w:t>
      </w:r>
    </w:p>
    <w:p>
      <w:pPr>
        <w:pStyle w:val="ListNumber"/>
      </w:pPr>
      <w:r/>
      <w:r>
        <w:rPr>
          <w:b/>
        </w:rPr>
        <w:t>Comprimé — Rapamune</w:t>
      </w:r>
      <w:r>
        <w:t xml:space="preserve"> : comprimé pelliculé, contenant le sirolimus en formulation à libération immédiate. Dosages disponibles en Algérie : 1 mg, 2 mg. Conservation à température ambiante (&lt; 25 °C), à l'abri de l'humidité et de la lumière. Le comprimé doit être avalé entier, sans croquer ni écraser, avec un grand verre d'eau. Pour les patients pédiatriques ou ayant des difficultés à avaler, la solution buvable (1 mg/mL) n'est pas disponible en Algérie — les comprimés peuvent être écrasés et suspendus dans 10 mL d'eau, mais la biodisponibilité est alors modifiée et la dose doit être adaptée.</w:t>
      </w:r>
    </w:p>
    <w:p>
      <w:pPr>
        <w:pStyle w:val="ListNumber"/>
      </w:pPr>
      <w:r/>
      <w:r>
        <w:rPr>
          <w:b/>
        </w:rPr>
        <w:t>Forme IV</w:t>
      </w:r>
      <w:r>
        <w:t xml:space="preserve"> : non disponible en Algérie.</w:t>
      </w:r>
    </w:p>
    <w:p>
      <w:pPr>
        <w:pStyle w:val="ListNumber"/>
      </w:pPr>
      <w:r/>
      <w:r>
        <w:rPr>
          <w:b/>
        </w:rPr>
        <w:t>Solution buvable</w:t>
      </w:r>
      <w:r>
        <w:t xml:space="preserve"> : non disponible en Algérie (existe dans d'autres pays, flacon de 60 mL avec seringue graduée 1 mg/mL).</w:t>
      </w:r>
    </w:p>
    <w:p>
      <w:pPr>
        <w:pStyle w:val="Heading4"/>
      </w:pPr>
      <w:r>
        <w:t>171.2.1.11 Conseils au patient</w:t>
      </w:r>
    </w:p>
    <w:p>
      <w:r/>
      <w:r>
        <w:rPr>
          <w:b/>
        </w:rPr>
        <w:t>Conseils d'observance</w:t>
      </w:r>
      <w:r>
        <w:t xml:space="preserve"> :</w:t>
      </w:r>
    </w:p>
    <w:p>
      <w:pPr>
        <w:pStyle w:val="ListBullet"/>
      </w:pPr>
      <w:r>
        <w:t>Prendre le sirolimus une fois par jour à heure fixe (par exemple le matin à 8 h ou le midi à 12 h), toujours à la même heure par rapport aux repas (à jeun ou au cours d'un repas léger).</w:t>
      </w:r>
    </w:p>
    <w:p>
      <w:pPr>
        <w:pStyle w:val="ListBullet"/>
      </w:pPr>
      <w:r>
        <w:t>Ne jamais sauter une prise : si une prise est oubliée depuis moins de 12 heures, la prendre ; si le délai dépasse 12 heures, ne pas doubler la prise suivante mais contacter le centre de transplantation.</w:t>
      </w:r>
    </w:p>
    <w:p>
      <w:pPr>
        <w:pStyle w:val="ListBullet"/>
      </w:pPr>
      <w:r>
        <w:t>Espacer d'au moins 4 heures la prise de ciclosporine (en cas d'association).</w:t>
      </w:r>
    </w:p>
    <w:p>
      <w:pPr>
        <w:pStyle w:val="ListBullet"/>
      </w:pPr>
      <w:r>
        <w:t>Ne jamais interrompre le traitement sans avis médical.</w:t>
      </w:r>
    </w:p>
    <w:p>
      <w:pPr>
        <w:pStyle w:val="ListBullet"/>
      </w:pPr>
      <w:r>
        <w:t>Conserver le carnet de suivi avec les doses, les taux résiduels, les prises médicamenteuses associées.</w:t>
      </w:r>
    </w:p>
    <w:p>
      <w:r/>
      <w:r>
        <w:rPr>
          <w:b/>
        </w:rPr>
        <w:t>Conseils diététiques</w:t>
      </w:r>
      <w:r>
        <w:t xml:space="preserve"> :</w:t>
      </w:r>
    </w:p>
    <w:p>
      <w:pPr>
        <w:pStyle w:val="ListBullet"/>
      </w:pPr>
      <w:r>
        <w:t>Éviter le pamplemousse pendant toute la durée du traitement.</w:t>
      </w:r>
    </w:p>
    <w:p>
      <w:pPr>
        <w:pStyle w:val="ListBullet"/>
      </w:pPr>
      <w:r>
        <w:t>Éviter l'alcool.</w:t>
      </w:r>
    </w:p>
    <w:p>
      <w:pPr>
        <w:pStyle w:val="ListBullet"/>
      </w:pPr>
      <w:r>
        <w:t>Régime hyposodé-hypolipidique (en raison de la dyslipidémie fréquente).</w:t>
      </w:r>
    </w:p>
    <w:p>
      <w:pPr>
        <w:pStyle w:val="ListBullet"/>
      </w:pPr>
      <w:r>
        <w:t>Limiter les graisses saturées et le cholestérol.</w:t>
      </w:r>
    </w:p>
    <w:p>
      <w:pPr>
        <w:pStyle w:val="ListBullet"/>
      </w:pPr>
      <w:r>
        <w:t>Hydratation abondante (1,5-2 L/jour).</w:t>
      </w:r>
    </w:p>
    <w:p>
      <w:r/>
      <w:r>
        <w:rPr>
          <w:b/>
        </w:rPr>
        <w:t>Conseils d'hygiène</w:t>
      </w:r>
      <w:r>
        <w:t xml:space="preserve"> :</w:t>
      </w:r>
    </w:p>
    <w:p>
      <w:pPr>
        <w:pStyle w:val="ListBullet"/>
      </w:pPr>
      <w:r>
        <w:t>Brossage dentaire 3×/jour, bains de bouche sans alcool (prévention de la stomatite).</w:t>
      </w:r>
    </w:p>
    <w:p>
      <w:pPr>
        <w:pStyle w:val="ListBullet"/>
      </w:pPr>
      <w:r>
        <w:t>Photoprotection stricte (écran solaire SPF 50+, vêtements couvrants).</w:t>
      </w:r>
    </w:p>
    <w:p>
      <w:pPr>
        <w:pStyle w:val="ListBullet"/>
      </w:pPr>
      <w:r>
        <w:t>Éviter les contacts avec des personnes malades.</w:t>
      </w:r>
    </w:p>
    <w:p>
      <w:pPr>
        <w:pStyle w:val="ListBullet"/>
      </w:pPr>
      <w:r>
        <w:t>Lavage des mains fréquent.</w:t>
      </w:r>
    </w:p>
    <w:p>
      <w:pPr>
        <w:pStyle w:val="ListBullet"/>
      </w:pPr>
      <w:r>
        <w:t>Éviter les vaccinations vivantes.</w:t>
      </w:r>
    </w:p>
    <w:p>
      <w:pPr>
        <w:pStyle w:val="ListBullet"/>
      </w:pPr>
      <w:r>
        <w:t>Cuisson complète de la viande, du poisson et des œufs.</w:t>
      </w:r>
    </w:p>
    <w:p>
      <w:pPr>
        <w:pStyle w:val="ListBullet"/>
      </w:pPr>
      <w:r>
        <w:t>Éviter les fromages au lait cru, les coquillages crus.</w:t>
      </w:r>
    </w:p>
    <w:p>
      <w:pPr>
        <w:pStyle w:val="ListBullet"/>
      </w:pPr>
      <w:r>
        <w:t>Informer le chirurgien et le dentiste du traitement avant toute intervention (retard de cicatrisation).</w:t>
      </w:r>
    </w:p>
    <w:p>
      <w:r/>
      <w:r>
        <w:rPr>
          <w:b/>
        </w:rPr>
        <w:t>Conseils de surveillance</w:t>
      </w:r>
      <w:r>
        <w:t xml:space="preserve"> :</w:t>
      </w:r>
    </w:p>
    <w:p>
      <w:pPr>
        <w:pStyle w:val="ListBullet"/>
      </w:pPr>
      <w:r>
        <w:t>Signaler immédiatement tout signe d'infection (fièvre, frissons, maux de gorge, brûlures mictionnelles).</w:t>
      </w:r>
    </w:p>
    <w:p>
      <w:pPr>
        <w:pStyle w:val="ListBullet"/>
      </w:pPr>
      <w:r>
        <w:t>Signaler toute toux sèche, dyspnée, fièvre (recherche de pneumopathie interstitielle — arrêt immédiat du sirolimus et avis pneumologique).</w:t>
      </w:r>
    </w:p>
    <w:p>
      <w:pPr>
        <w:pStyle w:val="ListBullet"/>
      </w:pPr>
      <w:r>
        <w:t>Signaler tout saignement gingival, ecchymose, pétéchies (recherche de thrombopénie).</w:t>
      </w:r>
    </w:p>
    <w:p>
      <w:pPr>
        <w:pStyle w:val="ListBullet"/>
      </w:pPr>
      <w:r>
        <w:t>Signaler tout œdème des membres inférieurs, prise de poids rapide.</w:t>
      </w:r>
    </w:p>
    <w:p>
      <w:pPr>
        <w:pStyle w:val="ListBullet"/>
      </w:pPr>
      <w:r>
        <w:t>Effectuer les prises de sang selon le calendrier prescrit (NFS, bilan lipidique, protéinurie/24h, transaminases, sirolimémie résiduelle).</w:t>
      </w:r>
    </w:p>
    <w:p>
      <w:r/>
      <w:r>
        <w:rPr>
          <w:b/>
        </w:rPr>
        <w:t>Conseils de stockage</w:t>
      </w:r>
      <w:r>
        <w:t xml:space="preserve"> :</w:t>
      </w:r>
    </w:p>
    <w:p>
      <w:pPr>
        <w:pStyle w:val="ListBullet"/>
      </w:pPr>
      <w:r>
        <w:t>Conserver les comprimés à température ambiante (&lt; 25 °C).</w:t>
      </w:r>
    </w:p>
    <w:p>
      <w:pPr>
        <w:pStyle w:val="ListBullet"/>
      </w:pPr>
      <w:r>
        <w:t>Tenir hors de portée des enfants.</w:t>
      </w:r>
    </w:p>
    <w:p>
      <w:pPr>
        <w:pStyle w:val="Heading4"/>
      </w:pPr>
      <w:r>
        <w:t>171.2.1.12 Pièges au comptoir — Règles d'or</w:t>
      </w:r>
    </w:p>
    <w:p>
      <w:pPr>
        <w:pStyle w:val="ListNumber"/>
      </w:pPr>
      <w:r/>
      <w:r>
        <w:rPr>
          <w:b/>
        </w:rPr>
        <w:t>Jus de pamplemousse</w:t>
      </w:r>
      <w:r>
        <w:t xml:space="preserve"> : CI absolue, interrogation systématique du patient.</w:t>
      </w:r>
    </w:p>
    <w:p>
      <w:pPr>
        <w:pStyle w:val="ListNumber"/>
      </w:pPr>
      <w:r/>
      <w:r>
        <w:rPr>
          <w:b/>
        </w:rPr>
        <w:t>Chirurgie programmée</w:t>
      </w:r>
      <w:r>
        <w:t xml:space="preserve"> : tout patient sous sirolimus doit informer son chirurgien avant toute intervention (programmée ou non) en raison du retard de cicatrisation. Un relais transitoire par un ICN peut être discuté en préopératoire (4-6 semaines avant).</w:t>
      </w:r>
    </w:p>
    <w:p>
      <w:pPr>
        <w:pStyle w:val="ListNumber"/>
      </w:pPr>
      <w:r/>
      <w:r>
        <w:rPr>
          <w:b/>
        </w:rPr>
        <w:t>Toux sèche et dyspnée</w:t>
      </w:r>
      <w:r>
        <w:t xml:space="preserve"> : tout patient sous sirolimus qui présente une toux sèche, une dyspnée, une fièvre doit être orienté en urgence pour scanner thoracique (recherche de pneumopathie interstitielle — effet rare mais grave nécessitant l'arrêt immédiat du sirolimus).</w:t>
      </w:r>
    </w:p>
    <w:p>
      <w:pPr>
        <w:pStyle w:val="ListNumber"/>
      </w:pPr>
      <w:r/>
      <w:r>
        <w:rPr>
          <w:b/>
        </w:rPr>
        <w:t>Protéinurie</w:t>
      </w:r>
      <w:r>
        <w:t xml:space="preserve"> : tout patient sous sirolimus doit avoir une protéinurie/24h avant instauration, à 1 mois, 3 mois, puis tous les 6 mois. Si protéinurie &gt; 800 mg/24h, discussion d'un relais.</w:t>
      </w:r>
    </w:p>
    <w:p>
      <w:pPr>
        <w:pStyle w:val="ListNumber"/>
      </w:pPr>
      <w:r/>
      <w:r>
        <w:rPr>
          <w:b/>
        </w:rPr>
        <w:t>Dyslipidémie</w:t>
      </w:r>
      <w:r>
        <w:t xml:space="preserve"> : tout patient sous sirolimus doit avoir un bilan lipidique mensuel le 1er trimestre, puis trimestriel. Traitement par statine (pravastatine, fluvastatine) en cas de LDL-cholestérol &gt; 1,6 g/L. Régime hyposodé-hypolipidique.</w:t>
      </w:r>
    </w:p>
    <w:p>
      <w:pPr>
        <w:pStyle w:val="ListNumber"/>
      </w:pPr>
      <w:r/>
      <w:r>
        <w:rPr>
          <w:b/>
        </w:rPr>
        <w:t>Femme en âge de procréer</w:t>
      </w:r>
      <w:r>
        <w:t xml:space="preserve"> : double contraception obligatoire pendant le traitement et 12 semaines après l'arrêt. En cas de désir de grossesse, relais préalable par un ICN ou par l'azathioprine (compatibles avec la grossesse). Test de grossesse avant instauration, tous les mois pendant le traitement.</w:t>
      </w:r>
    </w:p>
    <w:p>
      <w:pPr>
        <w:pStyle w:val="ListNumber"/>
      </w:pPr>
      <w:r/>
      <w:r>
        <w:rPr>
          <w:b/>
        </w:rPr>
        <w:t>Espacement avec la ciclosporine</w:t>
      </w:r>
      <w:r>
        <w:t xml:space="preserve"> : en cas d'association, espacer les prises d'au moins 4 heures (ciclosporine à 8 h, sirolimus à 12 h ou 20 h). Si l'espacement n'est pas respecté, majoration de la néphrotoxicité.</w:t>
      </w:r>
    </w:p>
    <w:p>
      <w:pPr>
        <w:pStyle w:val="ListNumber"/>
      </w:pPr>
      <w:r/>
      <w:r>
        <w:rPr>
          <w:b/>
        </w:rPr>
        <w:t>Vaccins vivants</w:t>
      </w:r>
      <w:r>
        <w:t xml:space="preserve"> : contre-indication absolue.</w:t>
      </w:r>
    </w:p>
    <w:p>
      <w:pPr>
        <w:pStyle w:val="ListNumber"/>
      </w:pPr>
      <w:r/>
      <w:r>
        <w:rPr>
          <w:b/>
        </w:rPr>
        <w:t>Substitution de marque</w:t>
      </w:r>
      <w:r>
        <w:t xml:space="preserve"> : un seul princeps disponible (Rapamune), pas de substitution possible en Algérie. En cas de rupture de stock, recours à l'everolimus (avec adaptation posologique — voir section everolimus).</w:t>
      </w:r>
    </w:p>
    <w:p>
      <w:pPr>
        <w:pStyle w:val="ListNumber"/>
      </w:pPr>
      <w:r/>
      <w:r>
        <w:rPr>
          <w:b/>
        </w:rPr>
        <w:t>NFS plaquettaire</w:t>
      </w:r>
      <w:r>
        <w:t xml:space="preserve"> : surveiller la NFS plaquettaire hebdomadaire le 1er mois (recherche de thrombopénie), puis mensuelle.</w:t>
      </w:r>
    </w:p>
    <w:p>
      <w:pPr>
        <w:pStyle w:val="ListNumber"/>
      </w:pPr>
      <w:r/>
      <w:r>
        <w:rPr>
          <w:b/>
        </w:rPr>
        <w:t>Patient transplanté hépatique</w:t>
      </w:r>
      <w:r>
        <w:t xml:space="preserve"> : éviter le sirolimus dans les 3 premiers mois post-transplantation (risque accru de thrombose de l'artère hépatique). Utilisation retardée (&gt; 3-6 mois) possible en cas de néphrotoxicité ou de cancer.</w:t>
      </w:r>
    </w:p>
    <w:p>
      <w:pPr>
        <w:pStyle w:val="ListNumber"/>
      </w:pPr>
      <w:r/>
      <w:r>
        <w:rPr>
          <w:b/>
        </w:rPr>
        <w:t>Patient âgé</w:t>
      </w:r>
      <w:r>
        <w:t xml:space="preserve"> : surveillance accrue de la fonction rénale et respiratoire, en raison de la fréquence accrue des comorbidités.</w:t>
      </w:r>
    </w:p>
    <w:p>
      <w:pPr>
        <w:pStyle w:val="Heading3"/>
      </w:pPr>
      <w:r>
        <w:t>171.2.2 Everolimus (usage transplantation)</w:t>
      </w:r>
    </w:p>
    <w:p>
      <w:pPr>
        <w:pStyle w:val="Heading4"/>
      </w:pPr>
      <w:r>
        <w:t>171.2.2.1 Catégories pharmaco-thérapeutiques et indications</w:t>
      </w:r>
    </w:p>
    <w:p>
      <w:r>
        <w:t>L'everolimus (DCI : everolimus, RAD001, SDZ-RAD) est classé selon les rubriques suivantes :</w:t>
      </w:r>
    </w:p>
    <w:p>
      <w:pPr>
        <w:pStyle w:val="ListBullet"/>
      </w:pPr>
      <w:r/>
      <w:r>
        <w:rPr>
          <w:b/>
        </w:rPr>
        <w:t>Code ATC</w:t>
      </w:r>
      <w:r>
        <w:t xml:space="preserve"> : L04AA18 (immunosuppresseurs — agents immunosuppresseurs sélectifs).</w:t>
      </w:r>
    </w:p>
    <w:p>
      <w:pPr>
        <w:pStyle w:val="ListBullet"/>
      </w:pPr>
      <w:r/>
      <w:r>
        <w:rPr>
          <w:b/>
        </w:rPr>
        <w:t>Classification thérapeutique</w:t>
      </w:r>
      <w:r>
        <w:t xml:space="preserve"> : immunosuppresseur antiprolifératif, inhibiteur de mTORC1 (dérivé du sirolimus).</w:t>
      </w:r>
    </w:p>
    <w:p>
      <w:pPr>
        <w:pStyle w:val="ListBullet"/>
      </w:pPr>
      <w:r/>
      <w:r>
        <w:rPr>
          <w:b/>
        </w:rPr>
        <w:t>Classe chimique</w:t>
      </w:r>
      <w:r>
        <w:t xml:space="preserve"> : dérivé 40-O-(2-hydroxyéthyl) du sirolimus (macrolide tricyclique lipophile), d'origine hémisynthétique.</w:t>
      </w:r>
    </w:p>
    <w:p>
      <w:pPr>
        <w:pStyle w:val="ListBullet"/>
      </w:pPr>
      <w:r/>
      <w:r>
        <w:rPr>
          <w:b/>
        </w:rPr>
        <w:t>Statut réglementaire Algérie</w:t>
      </w:r>
      <w:r>
        <w:t xml:space="preserve"> : Liste I, prescription réservée aux spécialistes en transplantation et en oncologie.</w:t>
      </w:r>
    </w:p>
    <w:p>
      <w:pPr>
        <w:pStyle w:val="ListBullet"/>
      </w:pPr>
      <w:r/>
      <w:r>
        <w:rPr>
          <w:b/>
        </w:rPr>
        <w:t>Grossesse</w:t>
      </w:r>
      <w:r>
        <w:t xml:space="preserve"> : contre-indiquée (données CRAT : tératogénicité suspectée, contraception rigoureuse indispensable).</w:t>
      </w:r>
    </w:p>
    <w:p>
      <w:r>
        <w:t>Indications principales :</w:t>
      </w:r>
    </w:p>
    <w:p>
      <w:pPr>
        <w:pStyle w:val="ListNumber"/>
      </w:pPr>
      <w:r/>
      <w:r>
        <w:rPr>
          <w:b/>
        </w:rPr>
        <w:t>Transplantation rénale</w:t>
      </w:r>
      <w:r>
        <w:t xml:space="preserve"> : prévention du rejet de greffe en association avec la ciclosporine à dose réduite et les corticoïdes. Posologie initiale 1 mg × 2/jour, en relais d'un ICN ou en protocole d'induction.</w:t>
      </w:r>
    </w:p>
    <w:p>
      <w:pPr>
        <w:pStyle w:val="ListNumber"/>
      </w:pPr>
      <w:r/>
      <w:r>
        <w:rPr>
          <w:b/>
        </w:rPr>
        <w:t>Transplantation hépatique</w:t>
      </w:r>
      <w:r>
        <w:t xml:space="preserve"> : prévention du rejet de greffe, en alternative au sirolimus (meilleure tolérance hépatique). Posologie initiale 1 mg × 2/jour (à distance de la transplantation — à éviter dans les 4 premières semaines en raison du risque de thrombose de l'artère hépatique).</w:t>
      </w:r>
    </w:p>
    <w:p>
      <w:pPr>
        <w:pStyle w:val="ListNumber"/>
      </w:pPr>
      <w:r/>
      <w:r>
        <w:rPr>
          <w:b/>
        </w:rPr>
        <w:t>Transplantation cardiaque</w:t>
      </w:r>
      <w:r>
        <w:t xml:space="preserve"> : prévention de la vasculopathie du greffon.</w:t>
      </w:r>
    </w:p>
    <w:p>
      <w:pPr>
        <w:pStyle w:val="ListNumber"/>
      </w:pPr>
      <w:r/>
      <w:r>
        <w:rPr>
          <w:b/>
        </w:rPr>
        <w:t>Oncologie</w:t>
      </w:r>
      <w:r>
        <w:t xml:space="preserve"> :</w:t>
      </w:r>
    </w:p>
    <w:p>
      <w:pPr>
        <w:pStyle w:val="ListBullet"/>
      </w:pPr>
      <w:r>
        <w:t>Cancer du rein métastatique en deuxième ligne (après échec du sunitinib ou du sorafénib), indication historique.</w:t>
      </w:r>
    </w:p>
    <w:p>
      <w:pPr>
        <w:pStyle w:val="ListBullet"/>
      </w:pPr>
      <w:r>
        <w:t>Tumeurs neuroendocrines avancées (pancréatiques, pulmonaires, digestives) non résécables ou métastatiques.</w:t>
      </w:r>
    </w:p>
    <w:p>
      <w:pPr>
        <w:pStyle w:val="ListBullet"/>
      </w:pPr>
      <w:r>
        <w:t>Cancer du sein HER2-positif avancé (en association avec l'exémestane, après échec d'un anti-estrogène).</w:t>
      </w:r>
    </w:p>
    <w:p>
      <w:pPr>
        <w:pStyle w:val="ListBullet"/>
      </w:pPr>
      <w:r>
        <w:t>Astrocytome sous-épendymaire géant cellulaire (SEGA) associé à la sclérose tubéreuse de Bourneville.</w:t>
      </w:r>
    </w:p>
    <w:p>
      <w:pPr>
        <w:pStyle w:val="ListNumber"/>
      </w:pPr>
      <w:r/>
      <w:r>
        <w:rPr>
          <w:b/>
        </w:rPr>
        <w:t>Angiomyolipome rénal</w:t>
      </w:r>
      <w:r>
        <w:t xml:space="preserve"> : associé à la sclérose tubéreuse de Bourneville (indication pédiatrique).</w:t>
      </w:r>
    </w:p>
    <w:p>
      <w:r>
        <w:t>L'everolimus a été développé par Novartis dans les années 1990 comme dérivé du sirolimus, avec pour objectif d'améliorer la biodisponibilité et de réduire la demi-vie, permettant une administration biquotidienne. Il a obtenu l'AMM européenne en transplantation rénale en 2003 (Certican), et les indications oncologiques ont suivi (Afinitor 2009 pour le cancer du rein, 2011 pour les tumeurs neuroendocrines, 2012 pour le cancer du sein).</w:t>
      </w:r>
    </w:p>
    <w:p>
      <w:pPr>
        <w:pStyle w:val="Heading4"/>
      </w:pPr>
      <w:r>
        <w:t>171.2.2.2 Médicaments disponibles en Algérie</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AFINITOR</w:t>
            </w:r>
          </w:p>
        </w:tc>
        <w:tc>
          <w:tcPr>
            <w:tcW w:type="dxa" w:w="1559"/>
          </w:tcPr>
          <w:p>
            <w:r>
              <w:rPr>
                <w:sz w:val="20"/>
              </w:rPr>
              <w:t>NOVARTIS PHARMA SCHWEIZ AG</w:t>
            </w:r>
          </w:p>
        </w:tc>
        <w:tc>
          <w:tcPr>
            <w:tcW w:type="dxa" w:w="1559"/>
          </w:tcPr>
          <w:p>
            <w:r>
              <w:rPr>
                <w:sz w:val="20"/>
              </w:rPr>
              <w:t>Comprimé 5 mg</w:t>
            </w:r>
          </w:p>
        </w:tc>
        <w:tc>
          <w:tcPr>
            <w:tcW w:type="dxa" w:w="1559"/>
          </w:tcPr>
          <w:p>
            <w:r>
              <w:rPr>
                <w:sz w:val="20"/>
              </w:rPr>
              <w:t>B/30</w:t>
            </w:r>
          </w:p>
        </w:tc>
        <w:tc>
          <w:tcPr>
            <w:tcW w:type="dxa" w:w="1559"/>
          </w:tcPr>
          <w:p>
            <w:r>
              <w:rPr>
                <w:sz w:val="20"/>
              </w:rPr>
              <w:t>Liste I</w:t>
            </w:r>
          </w:p>
        </w:tc>
        <w:tc>
          <w:tcPr>
            <w:tcW w:type="dxa" w:w="1559"/>
          </w:tcPr>
          <w:p>
            <w:r>
              <w:rPr>
                <w:sz w:val="20"/>
              </w:rPr>
              <w:t>Actif</w:t>
            </w:r>
          </w:p>
        </w:tc>
      </w:tr>
      <w:tr>
        <w:tc>
          <w:tcPr>
            <w:tcW w:type="dxa" w:w="1559"/>
          </w:tcPr>
          <w:p>
            <w:r>
              <w:rPr>
                <w:sz w:val="20"/>
              </w:rPr>
              <w:t>AFINITOR</w:t>
            </w:r>
          </w:p>
        </w:tc>
        <w:tc>
          <w:tcPr>
            <w:tcW w:type="dxa" w:w="1559"/>
          </w:tcPr>
          <w:p>
            <w:r>
              <w:rPr>
                <w:sz w:val="20"/>
              </w:rPr>
              <w:t>NOVARTIS PHARMA SCHWEIZ AG</w:t>
            </w:r>
          </w:p>
        </w:tc>
        <w:tc>
          <w:tcPr>
            <w:tcW w:type="dxa" w:w="1559"/>
          </w:tcPr>
          <w:p>
            <w:r>
              <w:rPr>
                <w:sz w:val="20"/>
              </w:rPr>
              <w:t>Comprimé 10 mg</w:t>
            </w:r>
          </w:p>
        </w:tc>
        <w:tc>
          <w:tcPr>
            <w:tcW w:type="dxa" w:w="1559"/>
          </w:tcPr>
          <w:p>
            <w:r>
              <w:rPr>
                <w:sz w:val="20"/>
              </w:rPr>
              <w:t>B/30</w:t>
            </w:r>
          </w:p>
        </w:tc>
        <w:tc>
          <w:tcPr>
            <w:tcW w:type="dxa" w:w="1559"/>
          </w:tcPr>
          <w:p>
            <w:r>
              <w:rPr>
                <w:sz w:val="20"/>
              </w:rPr>
              <w:t>Liste I</w:t>
            </w:r>
          </w:p>
        </w:tc>
        <w:tc>
          <w:tcPr>
            <w:tcW w:type="dxa" w:w="1559"/>
          </w:tcPr>
          <w:p>
            <w:r>
              <w:rPr>
                <w:sz w:val="20"/>
              </w:rPr>
              <w:t>Actif</w:t>
            </w:r>
          </w:p>
        </w:tc>
      </w:tr>
      <w:tr>
        <w:tc>
          <w:tcPr>
            <w:tcW w:type="dxa" w:w="1559"/>
          </w:tcPr>
          <w:p>
            <w:r>
              <w:rPr>
                <w:sz w:val="20"/>
              </w:rPr>
              <w:t>EVEROLIMUS-SAIDAL</w:t>
            </w:r>
          </w:p>
        </w:tc>
        <w:tc>
          <w:tcPr>
            <w:tcW w:type="dxa" w:w="1559"/>
          </w:tcPr>
          <w:p>
            <w:r>
              <w:rPr>
                <w:sz w:val="20"/>
              </w:rPr>
              <w:t>GROUPE SAIDAL</w:t>
            </w:r>
          </w:p>
        </w:tc>
        <w:tc>
          <w:tcPr>
            <w:tcW w:type="dxa" w:w="1559"/>
          </w:tcPr>
          <w:p>
            <w:r>
              <w:rPr>
                <w:sz w:val="20"/>
              </w:rPr>
              <w:t>Comprimé 5 mg</w:t>
            </w:r>
          </w:p>
        </w:tc>
        <w:tc>
          <w:tcPr>
            <w:tcW w:type="dxa" w:w="1559"/>
          </w:tcPr>
          <w:p>
            <w:r>
              <w:rPr>
                <w:sz w:val="20"/>
              </w:rPr>
              <w:t>B/10</w:t>
            </w:r>
          </w:p>
        </w:tc>
        <w:tc>
          <w:tcPr>
            <w:tcW w:type="dxa" w:w="1559"/>
          </w:tcPr>
          <w:p>
            <w:r>
              <w:rPr>
                <w:sz w:val="20"/>
              </w:rPr>
              <w:t>Liste I</w:t>
            </w:r>
          </w:p>
        </w:tc>
        <w:tc>
          <w:tcPr>
            <w:tcW w:type="dxa" w:w="1559"/>
          </w:tcPr>
          <w:p>
            <w:r>
              <w:rPr>
                <w:sz w:val="20"/>
              </w:rPr>
              <w:t>Actif</w:t>
            </w:r>
          </w:p>
        </w:tc>
      </w:tr>
      <w:tr>
        <w:tc>
          <w:tcPr>
            <w:tcW w:type="dxa" w:w="1559"/>
          </w:tcPr>
          <w:p>
            <w:r>
              <w:rPr>
                <w:sz w:val="20"/>
              </w:rPr>
              <w:t>EVEROLIMUS-SAIDAL</w:t>
            </w:r>
          </w:p>
        </w:tc>
        <w:tc>
          <w:tcPr>
            <w:tcW w:type="dxa" w:w="1559"/>
          </w:tcPr>
          <w:p>
            <w:r>
              <w:rPr>
                <w:sz w:val="20"/>
              </w:rPr>
              <w:t>GROUPE SAIDAL</w:t>
            </w:r>
          </w:p>
        </w:tc>
        <w:tc>
          <w:tcPr>
            <w:tcW w:type="dxa" w:w="1559"/>
          </w:tcPr>
          <w:p>
            <w:r>
              <w:rPr>
                <w:sz w:val="20"/>
              </w:rPr>
              <w:t>Comprimé 10 mg</w:t>
            </w:r>
          </w:p>
        </w:tc>
        <w:tc>
          <w:tcPr>
            <w:tcW w:type="dxa" w:w="1559"/>
          </w:tcPr>
          <w:p>
            <w:r>
              <w:rPr>
                <w:sz w:val="20"/>
              </w:rPr>
              <w:t>B/30</w:t>
            </w:r>
          </w:p>
        </w:tc>
        <w:tc>
          <w:tcPr>
            <w:tcW w:type="dxa" w:w="1559"/>
          </w:tcPr>
          <w:p>
            <w:r>
              <w:rPr>
                <w:sz w:val="20"/>
              </w:rPr>
              <w:t>Liste I</w:t>
            </w:r>
          </w:p>
        </w:tc>
        <w:tc>
          <w:tcPr>
            <w:tcW w:type="dxa" w:w="1559"/>
          </w:tcPr>
          <w:p>
            <w:r>
              <w:rPr>
                <w:sz w:val="20"/>
              </w:rPr>
              <w:t>Actif</w:t>
            </w:r>
          </w:p>
        </w:tc>
      </w:tr>
      <w:tr>
        <w:tc>
          <w:tcPr>
            <w:tcW w:type="dxa" w:w="1559"/>
          </w:tcPr>
          <w:p>
            <w:r>
              <w:rPr>
                <w:sz w:val="20"/>
              </w:rPr>
              <w:t>EVERBLISS</w:t>
            </w:r>
          </w:p>
        </w:tc>
        <w:tc>
          <w:tcPr>
            <w:tcW w:type="dxa" w:w="1559"/>
          </w:tcPr>
          <w:p>
            <w:r>
              <w:rPr>
                <w:sz w:val="20"/>
              </w:rPr>
              <w:t>ALFACARE</w:t>
            </w:r>
          </w:p>
        </w:tc>
        <w:tc>
          <w:tcPr>
            <w:tcW w:type="dxa" w:w="1559"/>
          </w:tcPr>
          <w:p>
            <w:r>
              <w:rPr>
                <w:sz w:val="20"/>
              </w:rPr>
              <w:t>Comprimé 5 mg</w:t>
            </w:r>
          </w:p>
        </w:tc>
        <w:tc>
          <w:tcPr>
            <w:tcW w:type="dxa" w:w="1559"/>
          </w:tcPr>
          <w:p>
            <w:r>
              <w:rPr>
                <w:sz w:val="20"/>
              </w:rPr>
              <w:t>B/10</w:t>
            </w:r>
          </w:p>
        </w:tc>
        <w:tc>
          <w:tcPr>
            <w:tcW w:type="dxa" w:w="1559"/>
          </w:tcPr>
          <w:p>
            <w:r>
              <w:rPr>
                <w:sz w:val="20"/>
              </w:rPr>
              <w:t>Liste I</w:t>
            </w:r>
          </w:p>
        </w:tc>
        <w:tc>
          <w:tcPr>
            <w:tcW w:type="dxa" w:w="1559"/>
          </w:tcPr>
          <w:p>
            <w:r>
              <w:rPr>
                <w:sz w:val="20"/>
              </w:rPr>
              <w:t>Actif</w:t>
            </w:r>
          </w:p>
        </w:tc>
      </w:tr>
      <w:tr>
        <w:tc>
          <w:tcPr>
            <w:tcW w:type="dxa" w:w="1559"/>
          </w:tcPr>
          <w:p>
            <w:r>
              <w:rPr>
                <w:sz w:val="20"/>
              </w:rPr>
              <w:t>EVERBLISS</w:t>
            </w:r>
          </w:p>
        </w:tc>
        <w:tc>
          <w:tcPr>
            <w:tcW w:type="dxa" w:w="1559"/>
          </w:tcPr>
          <w:p>
            <w:r>
              <w:rPr>
                <w:sz w:val="20"/>
              </w:rPr>
              <w:t>ALFACARE</w:t>
            </w:r>
          </w:p>
        </w:tc>
        <w:tc>
          <w:tcPr>
            <w:tcW w:type="dxa" w:w="1559"/>
          </w:tcPr>
          <w:p>
            <w:r>
              <w:rPr>
                <w:sz w:val="20"/>
              </w:rPr>
              <w:t>Comprimé 10 mg</w:t>
            </w:r>
          </w:p>
        </w:tc>
        <w:tc>
          <w:tcPr>
            <w:tcW w:type="dxa" w:w="1559"/>
          </w:tcPr>
          <w:p>
            <w:r>
              <w:rPr>
                <w:sz w:val="20"/>
              </w:rPr>
              <w:t>B/10</w:t>
            </w:r>
          </w:p>
        </w:tc>
        <w:tc>
          <w:tcPr>
            <w:tcW w:type="dxa" w:w="1559"/>
          </w:tcPr>
          <w:p>
            <w:r>
              <w:rPr>
                <w:sz w:val="20"/>
              </w:rPr>
              <w:t>Liste I</w:t>
            </w:r>
          </w:p>
        </w:tc>
        <w:tc>
          <w:tcPr>
            <w:tcW w:type="dxa" w:w="1559"/>
          </w:tcPr>
          <w:p>
            <w:r>
              <w:rPr>
                <w:sz w:val="20"/>
              </w:rPr>
              <w:t>Actif</w:t>
            </w:r>
          </w:p>
        </w:tc>
      </w:tr>
      <w:tr>
        <w:tc>
          <w:tcPr>
            <w:tcW w:type="dxa" w:w="1559"/>
          </w:tcPr>
          <w:p>
            <w:r>
              <w:rPr>
                <w:sz w:val="20"/>
              </w:rPr>
              <w:t>EVROLIPHAL</w:t>
            </w:r>
          </w:p>
        </w:tc>
        <w:tc>
          <w:tcPr>
            <w:tcW w:type="dxa" w:w="1559"/>
          </w:tcPr>
          <w:p>
            <w:r>
              <w:rPr>
                <w:sz w:val="20"/>
              </w:rPr>
              <w:t>SOCIETE PHARMACEUTIQUE ALGERIENNE SOPHAL</w:t>
            </w:r>
          </w:p>
        </w:tc>
        <w:tc>
          <w:tcPr>
            <w:tcW w:type="dxa" w:w="1559"/>
          </w:tcPr>
          <w:p>
            <w:r>
              <w:rPr>
                <w:sz w:val="20"/>
              </w:rPr>
              <w:t>Comprimé 5 mg</w:t>
            </w:r>
          </w:p>
        </w:tc>
        <w:tc>
          <w:tcPr>
            <w:tcW w:type="dxa" w:w="1559"/>
          </w:tcPr>
          <w:p>
            <w:r>
              <w:rPr>
                <w:sz w:val="20"/>
              </w:rPr>
              <w:t>B/28</w:t>
            </w:r>
          </w:p>
        </w:tc>
        <w:tc>
          <w:tcPr>
            <w:tcW w:type="dxa" w:w="1559"/>
          </w:tcPr>
          <w:p>
            <w:r>
              <w:rPr>
                <w:sz w:val="20"/>
              </w:rPr>
              <w:t>Liste I</w:t>
            </w:r>
          </w:p>
        </w:tc>
        <w:tc>
          <w:tcPr>
            <w:tcW w:type="dxa" w:w="1559"/>
          </w:tcPr>
          <w:p>
            <w:r>
              <w:rPr>
                <w:sz w:val="20"/>
              </w:rPr>
              <w:t>Actif</w:t>
            </w:r>
          </w:p>
        </w:tc>
      </w:tr>
      <w:tr>
        <w:tc>
          <w:tcPr>
            <w:tcW w:type="dxa" w:w="1559"/>
          </w:tcPr>
          <w:p>
            <w:r>
              <w:rPr>
                <w:sz w:val="20"/>
              </w:rPr>
              <w:t>EVROLIPHAL</w:t>
            </w:r>
          </w:p>
        </w:tc>
        <w:tc>
          <w:tcPr>
            <w:tcW w:type="dxa" w:w="1559"/>
          </w:tcPr>
          <w:p>
            <w:r>
              <w:rPr>
                <w:sz w:val="20"/>
              </w:rPr>
              <w:t>SOCIETE PHARMACEUTIQUE ALGERIENNE SOPHAL</w:t>
            </w:r>
          </w:p>
        </w:tc>
        <w:tc>
          <w:tcPr>
            <w:tcW w:type="dxa" w:w="1559"/>
          </w:tcPr>
          <w:p>
            <w:r>
              <w:rPr>
                <w:sz w:val="20"/>
              </w:rPr>
              <w:t>Comprimé 10 mg</w:t>
            </w:r>
          </w:p>
        </w:tc>
        <w:tc>
          <w:tcPr>
            <w:tcW w:type="dxa" w:w="1559"/>
          </w:tcPr>
          <w:p>
            <w:r>
              <w:rPr>
                <w:sz w:val="20"/>
              </w:rPr>
              <w:t>B/28</w:t>
            </w:r>
          </w:p>
        </w:tc>
        <w:tc>
          <w:tcPr>
            <w:tcW w:type="dxa" w:w="1559"/>
          </w:tcPr>
          <w:p>
            <w:r>
              <w:rPr>
                <w:sz w:val="20"/>
              </w:rPr>
              <w:t>Liste I</w:t>
            </w:r>
          </w:p>
        </w:tc>
        <w:tc>
          <w:tcPr>
            <w:tcW w:type="dxa" w:w="1559"/>
          </w:tcPr>
          <w:p>
            <w:r>
              <w:rPr>
                <w:sz w:val="20"/>
              </w:rPr>
              <w:t>Actif</w:t>
            </w:r>
          </w:p>
        </w:tc>
      </w:tr>
    </w:tbl>
    <w:p/>
    <w:p>
      <w:r>
        <w:t>Le marché algérien de l'everolimus est particulièrement bien pourvu, avec quatre spécialités disponibles (le princeps Afinitor Novartis + trois génériques algériens : Everolimus-Saidal, Everbliss, Evroliphal). Toutes sont disponibles en comprimés 5 mg et 10 mg, avec des conditionnements variables (B/10, B/28, B/30). Notons que le dosage 0,25 mg, 0,5 mg, 0,75 mg (spécifique de la transplantation avec ciclosporine associée) n'est pas disponible en Algérie, ce qui peut compliquer l'adaptation posologique fine en transplantation. En oncologie, les dosages 5 mg et 10 mg sont adaptés (posologie standard : 10 mg/jour en oncologie, 0,75-1 mg × 2/jour en transplantation). Aucune forme IV ou solution buvable n'est disponible.</w:t>
      </w:r>
    </w:p>
    <w:p>
      <w:pPr>
        <w:pStyle w:val="Heading4"/>
      </w:pPr>
      <w:r>
        <w:t>171.2.2.3 Mécanisme d'action moléculaire, cellulaire et physiologique</w:t>
      </w:r>
    </w:p>
    <w:p>
      <w:r>
        <w:t>L'everolimus est un dérivé hémisynthétique du sirolimus, obtenu par ajout d'un groupe 2-hydroxyéthyle en position 40-O. Cette modification chimique ne modifie pas la cible moléculaire mais améliore la biodisponibilité orale (de 14-20 % à 15-30 %) et réduit la demi-vie (de 60-70 heures à 30 heures), permettant une administration biquotidienne.</w:t>
      </w:r>
    </w:p>
    <w:p>
      <w:r>
        <w:t>Le mécanisme d'action est identique à celui du sirolimus : liaison à la FKBP12 → complexe everolimus-FKBP12 → inhibition allostérique de mTORC1 → blocage de la phosphorylation de p70S6K1 et 4E-BP1 → inhibition de la traduction des ARNm 5'-TOP → arrêt du cycle cellulaire en phase G1 des lymphocytes T et B activés.</w:t>
      </w:r>
    </w:p>
    <w:p>
      <w:r/>
      <w:r>
        <w:rPr>
          <w:b/>
        </w:rPr>
        <w:t>Niveau moléculaire</w:t>
      </w:r>
      <w:r>
        <w:t xml:space="preserve"> : identique au sirolimus (liaison FKBP12, inhibition mTORC1). L'affinité pour la FKBP12 est légèrement inférieure (Ki 0,4 nM vs 0,2 nM pour le sirolimus), mais la biodisponibilité supérieure compense cette différence.</w:t>
      </w:r>
    </w:p>
    <w:p>
      <w:r/>
      <w:r>
        <w:rPr>
          <w:b/>
        </w:rPr>
        <w:t>Niveau enzymatique</w:t>
      </w:r>
      <w:r>
        <w:t xml:space="preserve"> : inhibition allostérique de mTORC1, identique au sirolimus.</w:t>
      </w:r>
    </w:p>
    <w:p>
      <w:r/>
      <w:r>
        <w:rPr>
          <w:b/>
        </w:rPr>
        <w:t>Niveau transcriptionnel</w:t>
      </w:r>
      <w:r>
        <w:t xml:space="preserve"> : blocage de la traduction des ARNm 5'-TOP (protéines ribosomales, facteurs de traduction), identique au sirolimus.</w:t>
      </w:r>
    </w:p>
    <w:p>
      <w:r/>
      <w:r>
        <w:rPr>
          <w:b/>
        </w:rPr>
        <w:t>Niveau cellulaire</w:t>
      </w:r>
      <w:r>
        <w:t xml:space="preserve"> : arrêt du cycle cellulaire G1/S des lymphocytes T activés, des lymphocytes B, des cellules NK, des cellules dendritiques. Effet antiprolifératif sur les fibroblastes (retard de cicatrisation) et les cellules musculaires lisses vasculaires (prévention de la vasculopathie du greffon).</w:t>
      </w:r>
    </w:p>
    <w:p>
      <w:r/>
      <w:r>
        <w:rPr>
          <w:b/>
        </w:rPr>
        <w:t>Niveau physiologique</w:t>
      </w:r>
      <w:r>
        <w:t xml:space="preserve"> : immunosuppression non néphrotoxique, effet antitumoral direct (angiogenèse réduite, autophagie induite), effet antifibrotique. Particularité par rapport au sirolimus : la demi-vie plus courte permet une adaptation posologique plus rapide (3-4 jours pour atteindre le nouvel état d'équilibre, vs 5-7 jours pour le sirolimus).</w:t>
      </w:r>
    </w:p>
    <w:p>
      <w:r/>
      <w:r>
        <w:rPr>
          <w:b/>
        </w:rPr>
        <w:t>Niveau pharmacodynamique supplémentaire</w:t>
      </w:r>
      <w:r>
        <w:t xml:space="preserve"> : effet antitumoral exploité en oncologie (cancer du rein métastatique, tumeurs neuroendocrines, cancer du sein HER2+). L'everolimus a été le premier inhibiteur de mTOR à obtenir une AMM en oncologie, et reste une référence dans le cancer du rein métastatique.</w:t>
      </w:r>
    </w:p>
    <w:p>
      <w:r>
        <w:t>Le délai d'action est plus rapide que le sirolimus (3-4 jours pour atteindre l'état d'équilibre, vs 5-7 jours pour le sirolimus), grâce à la demi-vie plus courte. L'effet immunosuppresseur maximal est atteint en 5-7 jours.</w:t>
      </w:r>
    </w:p>
    <w:p>
      <w:pPr>
        <w:pStyle w:val="Heading4"/>
      </w:pPr>
      <w:r>
        <w:t>171.2.2.4 Pharmacocinétique (profil PK)</w:t>
      </w:r>
    </w:p>
    <w:p>
      <w:r/>
      <w:r>
        <w:rPr>
          <w:b/>
        </w:rPr>
        <w:t>Absorption</w:t>
      </w:r>
      <w:r>
        <w:t xml:space="preserve"> : l'everolimus est administré par voie orale (comprimé). L'absorption orale est incomplète et variable : biodisponibilité absolue de 15 à 30 % (moyenne 20 %). Le pic plasmatique (Cmax) est atteint en 1 à 2 heures. La prise avec un repas riche en graisses diminue l'AUC de 20-30 % (recommandation : prise à jeun ou au cours d'un repas léger). Le jus de pamplemousse augmente l'AUC de 100-300 % (CI absolue).</w:t>
      </w:r>
    </w:p>
    <w:p>
      <w:r/>
      <w:r>
        <w:rPr>
          <w:b/>
        </w:rPr>
        <w:t>Distribution</w:t>
      </w:r>
      <w:r>
        <w:t xml:space="preserve"> : volume de distribution à l'équilibre élevé (12 à 17 L/kg), en raison d'une fixation tissulaire importante (érythrocytes 75 %, foie, rein, tissu adipeux). Liaison aux protéines plasmatiques de 74 % (principalement α1-glycoprotéine acide, albumine, lipoprotéines).</w:t>
      </w:r>
    </w:p>
    <w:p>
      <w:r/>
      <w:r>
        <w:rPr>
          <w:b/>
        </w:rPr>
        <w:t>Métabolisme</w:t>
      </w:r>
      <w:r>
        <w:t xml:space="preserve"> : l'everolimus est métabolisé à 99 % par le CYP3A4/5 hépatique et intestinal, accessoirement par le CYP2C8. Plusieurs métabolites sont identifiés (mono-hydroxy, di-hydroxy everolimus, déméthyl-everolimus), tous moins actifs que la molécule mère. La demi-vie d'élimination est de 30 heures (vs 60-70 heures pour le sirolimus), permettant une administration biquotidienne.</w:t>
      </w:r>
    </w:p>
    <w:p>
      <w:r/>
      <w:r>
        <w:rPr>
          <w:b/>
        </w:rPr>
        <w:t>Élimination</w:t>
      </w:r>
      <w:r>
        <w:t xml:space="preserve"> : principalement biliaire (&gt; 95 %) et fécale. Seulement 2 % sont éliminés dans les urines. La clairance totale est de 0,5 à 1,5 L/h/kg.</w:t>
      </w:r>
    </w:p>
    <w:p>
      <w:r/>
      <w:r>
        <w:rPr>
          <w:b/>
        </w:rPr>
        <w:t>Linéarité</w:t>
      </w:r>
      <w:r>
        <w:t xml:space="preserve"> : la pharmacocinétique est proportionnelle à la dose dans la fourchette thérapeutique (0,5-10 mg/jour).</w:t>
      </w:r>
    </w:p>
    <w:p>
      <w:r/>
      <w:r>
        <w:rPr>
          <w:b/>
        </w:rPr>
        <w:t>Suivi thérapeutique pharmacologique (STP)</w:t>
      </w:r>
      <w:r>
        <w:t xml:space="preserve"> : obligatoire en transplantation. Les concentrations résiduelles (C0) sont mesurées par LC-MS/MS (méthode de référence). Les cibles C0 varient selon le protocole :</w:t>
      </w:r>
    </w:p>
    <w:p>
      <w:pPr>
        <w:pStyle w:val="ListBullet"/>
      </w:pPr>
      <w:r>
        <w:t>Transplantation rénale, en association avec ciclosporine (dose réduite) : 3-8 ng/mL à M0-M3, puis 3-6 ng/mL au-delà.</w:t>
      </w:r>
    </w:p>
    <w:p>
      <w:pPr>
        <w:pStyle w:val="ListBullet"/>
      </w:pPr>
      <w:r>
        <w:t>Transplantation rénale, en monothérapie d'entretien : 6-10 ng/mL.</w:t>
      </w:r>
    </w:p>
    <w:p>
      <w:pPr>
        <w:pStyle w:val="ListBullet"/>
      </w:pPr>
      <w:r>
        <w:t>Transplantation hépatique : 3-8 ng/mL.</w:t>
      </w:r>
    </w:p>
    <w:p>
      <w:pPr>
        <w:pStyle w:val="ListBullet"/>
      </w:pPr>
      <w:r>
        <w:t>Transplantation cardiaque : 3-8 ng/mL.</w:t>
      </w:r>
    </w:p>
    <w:p>
      <w:r>
        <w:t>L'adaptation posologique se fait par paliers de 0,25-0,5 mg par modification, en respectant un délai de 4-5 jours entre deux modifications (en raison de la demi-vie de 30 heures).</w:t>
      </w:r>
    </w:p>
    <w:p>
      <w:r/>
      <w:r>
        <w:rPr>
          <w:b/>
        </w:rPr>
        <w:t>En oncologie</w:t>
      </w:r>
      <w:r>
        <w:t xml:space="preserve"> : pas de STP systématique (la dose standard de 10 mg/jour est utilisée, sans adaptation aux concentrations). Surveillance clinique et biologique (NFS, bilan lipidique, glycémie, fonction rénale).</w:t>
      </w:r>
    </w:p>
    <w:p>
      <w:pPr>
        <w:pStyle w:val="Heading4"/>
      </w:pPr>
      <w:r>
        <w:t>171.2.2.5 Indications thérapeutiques</w:t>
      </w:r>
    </w:p>
    <w:p>
      <w:pPr>
        <w:pStyle w:val="ListNumber"/>
      </w:pPr>
      <w:r/>
      <w:r>
        <w:rPr>
          <w:b/>
        </w:rPr>
        <w:t>Transplantation rénale</w:t>
      </w:r>
      <w:r>
        <w:t xml:space="preserve"> : prévention du rejet de greffe en association avec la ciclosporine à dose réduite et les corticoïdes. Posologie initiale 1 mg × 2/jour (à J1, ajustée selon les concentrations résiduelles). Peut être utilisé en protocole d'induction ou en relais d'un ICN en cas de néphrotoxicité.</w:t>
      </w:r>
    </w:p>
    <w:p>
      <w:pPr>
        <w:pStyle w:val="ListNumber"/>
      </w:pPr>
      <w:r/>
      <w:r>
        <w:rPr>
          <w:b/>
        </w:rPr>
        <w:t>Transplantation hépatique</w:t>
      </w:r>
      <w:r>
        <w:t xml:space="preserve"> : prévention du rejet de greffe, en alternative au sirolimus (meilleure tolérance hépatique). Posologie initiale 0,75-1 mg × 2/jour, à distance de la transplantation (à éviter dans les 4 premières semaines en raison du risque de thrombose de l'artère hépatique).</w:t>
      </w:r>
    </w:p>
    <w:p>
      <w:pPr>
        <w:pStyle w:val="ListNumber"/>
      </w:pPr>
      <w:r/>
      <w:r>
        <w:rPr>
          <w:b/>
        </w:rPr>
        <w:t>Transplantation cardiaque</w:t>
      </w:r>
      <w:r>
        <w:t xml:space="preserve"> : prévention de la vasculopathie du greffon. Posologie 0,75-1 mg × 2/jour.</w:t>
      </w:r>
    </w:p>
    <w:p>
      <w:pPr>
        <w:pStyle w:val="ListNumber"/>
      </w:pPr>
      <w:r/>
      <w:r>
        <w:rPr>
          <w:b/>
        </w:rPr>
        <w:t>Cancer du rein métastatique</w:t>
      </w:r>
      <w:r>
        <w:t xml:space="preserve"> : en deuxième ligne, après échec du sunitinib ou du sorafénib. Posologie 10 mg/jour en une prise, sans STP.</w:t>
      </w:r>
    </w:p>
    <w:p>
      <w:pPr>
        <w:pStyle w:val="ListNumber"/>
      </w:pPr>
      <w:r/>
      <w:r>
        <w:rPr>
          <w:b/>
        </w:rPr>
        <w:t>Tumeurs neuroendocrines avancées</w:t>
      </w:r>
      <w:r>
        <w:t xml:space="preserve"> : pancréatiques, pulmonaires, digestives, non résécables ou métastatiques. Posologie 10 mg/jour en une prise.</w:t>
      </w:r>
    </w:p>
    <w:p>
      <w:pPr>
        <w:pStyle w:val="ListNumber"/>
      </w:pPr>
      <w:r/>
      <w:r>
        <w:rPr>
          <w:b/>
        </w:rPr>
        <w:t>Cancer du sein HER2+ avancé</w:t>
      </w:r>
      <w:r>
        <w:t xml:space="preserve"> : en association avec l'exémestane, après échec d'un anti-estrogène. Posologie 10 mg/jour en une prise.</w:t>
      </w:r>
    </w:p>
    <w:p>
      <w:pPr>
        <w:pStyle w:val="ListNumber"/>
      </w:pPr>
      <w:r/>
      <w:r>
        <w:rPr>
          <w:b/>
        </w:rPr>
        <w:t>Astrocytome sous-épendymaire géant cellulaire (SEGA)</w:t>
      </w:r>
      <w:r>
        <w:t xml:space="preserve"> : associé à la sclérose tubéreuse de Bourneville. Posologie 4,5 mg/m²/jour (enfant et adulte).</w:t>
      </w:r>
    </w:p>
    <w:p>
      <w:pPr>
        <w:pStyle w:val="ListNumber"/>
      </w:pPr>
      <w:r/>
      <w:r>
        <w:rPr>
          <w:b/>
        </w:rPr>
        <w:t>Angiomyolipome rénal</w:t>
      </w:r>
      <w:r>
        <w:t xml:space="preserve"> : associé à la sclérose tubéreuse de Bourneville.</w:t>
      </w:r>
    </w:p>
    <w:p>
      <w:pPr>
        <w:pStyle w:val="Heading4"/>
      </w:pPr>
      <w:r>
        <w:t>171.2.2.6 Posologie et mode d'administration</w:t>
      </w:r>
    </w:p>
    <w:p>
      <w:r/>
      <w:r>
        <w:rPr>
          <w:b/>
        </w:rPr>
        <w:t>Transplantation (voie orale)</w:t>
      </w:r>
      <w:r>
        <w:t xml:space="preserve"> :</w:t>
      </w:r>
    </w:p>
    <w:p>
      <w:pPr>
        <w:pStyle w:val="ListBullet"/>
      </w:pPr>
      <w:r>
        <w:t>Dose initiale : 1 mg × 2/jour (soit 2 mg/jour), à débuter à J1 post-transplantation (ou après relais).</w:t>
      </w:r>
    </w:p>
    <w:p>
      <w:pPr>
        <w:pStyle w:val="ListBullet"/>
      </w:pPr>
      <w:r>
        <w:t>Adaptation posologique : guidée par les concentrations résiduelles C0 mesurées à J+5, J+10, J+15, puis 1 fois par semaine pendant le 1er mois, puis mensuelle à terme. Adaptation par paliers de 0,25-0,5 mg par modification, en respectant un délai de 4-5 jours entre deux modifications.</w:t>
      </w:r>
    </w:p>
    <w:p>
      <w:pPr>
        <w:pStyle w:val="ListBullet"/>
      </w:pPr>
      <w:r>
        <w:t>En association avec la ciclosporine : prise simultanée possible (contrairement au sirolimus), mais surveillance accrue de la créatininémie (potentielisation de la néphrotoxicité de la ciclosporine).</w:t>
      </w:r>
    </w:p>
    <w:p>
      <w:r/>
      <w:r>
        <w:rPr>
          <w:b/>
        </w:rPr>
        <w:t>Oncologie (voie orale)</w:t>
      </w:r>
      <w:r>
        <w:t xml:space="preserve"> :</w:t>
      </w:r>
    </w:p>
    <w:p>
      <w:pPr>
        <w:pStyle w:val="ListBullet"/>
      </w:pPr>
      <w:r>
        <w:t>Cancer du rein, tumeurs neuroendocrines, cancer du sein : 10 mg/jour en une prise unique, à heure fixe, à jeun ou au cours d'un repas léger.</w:t>
      </w:r>
    </w:p>
    <w:p>
      <w:pPr>
        <w:pStyle w:val="ListBullet"/>
      </w:pPr>
      <w:r>
        <w:t>SEGA, angiomyolipome : 4,5 mg/m²/jour (enfant et adulte).</w:t>
      </w:r>
    </w:p>
    <w:p>
      <w:r/>
      <w:r>
        <w:rPr>
          <w:b/>
        </w:rPr>
        <w:t>Adaptations posologiques</w:t>
      </w:r>
      <w:r>
        <w:t xml:space="preserve"> :</w:t>
      </w:r>
    </w:p>
    <w:p>
      <w:pPr>
        <w:pStyle w:val="ListBullet"/>
      </w:pPr>
      <w:r>
        <w:t>Insuffisance hépatique modérée (Child-Pugh A) : réduction de 50 % (5 mg/jour en oncologie, 0,5 mg × 2/jour en transplantation).</w:t>
      </w:r>
    </w:p>
    <w:p>
      <w:pPr>
        <w:pStyle w:val="ListBullet"/>
      </w:pPr>
      <w:r>
        <w:t>Insuffisance hépatique sévère (Child-Pugh C) : réduction de 75 % (2,5 mg/jour en oncologie, 0,25 mg × 2/jour en transplantation).</w:t>
      </w:r>
    </w:p>
    <w:p>
      <w:pPr>
        <w:pStyle w:val="ListBullet"/>
      </w:pPr>
      <w:r>
        <w:t>Sujet âgé : pas d'adaptation systématique.</w:t>
      </w:r>
    </w:p>
    <w:p>
      <w:pPr>
        <w:pStyle w:val="ListBullet"/>
      </w:pPr>
      <w:r>
        <w:t>Enfant : adaptation selon la surface corporelle (SEGA, angiomyolipome).</w:t>
      </w:r>
    </w:p>
    <w:p>
      <w:pPr>
        <w:pStyle w:val="ListBullet"/>
      </w:pPr>
      <w:r>
        <w:t>Insuffisance rénale : pas d'adaptation posologique.</w:t>
      </w:r>
    </w:p>
    <w:p>
      <w:r/>
      <w:r>
        <w:rPr>
          <w:b/>
        </w:rPr>
        <w:t>Règle d'or de prise</w:t>
      </w:r>
      <w:r>
        <w:t xml:space="preserve"> : prendre à heure fixe (par exemple 8 h et 20 h), à 12 heures d'intervalle exact, à jeun ou au cours d'un repas léger. En oncologie, prise unique quotidienne (par exemple le matin à 8 h). Ne jamais interrompre brutalement.</w:t>
      </w:r>
    </w:p>
    <w:p>
      <w:pPr>
        <w:pStyle w:val="Heading4"/>
      </w:pPr>
      <w:r>
        <w:t>171.2.2.7 Effets indésirables et prévention</w:t>
      </w:r>
    </w:p>
    <w:p>
      <w:r/>
      <w:r>
        <w:rPr>
          <w:b/>
        </w:rPr>
        <w:t>Effets indésirables fréquents (&gt; 10 %)</w:t>
      </w:r>
      <w:r>
        <w:t xml:space="preserve"> :</w:t>
      </w:r>
    </w:p>
    <w:p>
      <w:pPr>
        <w:pStyle w:val="ListBullet"/>
      </w:pPr>
      <w:r/>
      <w:r>
        <w:rPr>
          <w:b/>
        </w:rPr>
        <w:t>Stomatite, mucite</w:t>
      </w:r>
      <w:r>
        <w:t xml:space="preserve"> : 30-50 % des patients (incidence supérieure au sirolimus). Mécanisme : toxicité directe sur l'épithélium buccal. Expression clinique : aphtes, ulcérations, douleurs buccales. Prévention : hygiène bucco-dentaire rigoureuse, bains de bouche (sans alcool), éviter les aliments épiés et acides. Traitement : bains de bouche à la dexaméthasone, sucralfate en suspension buvable. Dans les formes sévères, arrêt transitoire de l'everolimus.</w:t>
      </w:r>
    </w:p>
    <w:p>
      <w:pPr>
        <w:pStyle w:val="ListBullet"/>
      </w:pPr>
      <w:r/>
      <w:r>
        <w:rPr>
          <w:b/>
        </w:rPr>
        <w:t>Hyperlipidémie</w:t>
      </w:r>
      <w:r>
        <w:t xml:space="preserve"> : 40-70 %. Mécanisme : identique au sirolimus. Surveillance : bilan lipidique mensuel le 1er trimestre, puis trimestriel. Traitement : statines (pravastatine, fluvastatine), fibrates (fénofibrate).</w:t>
      </w:r>
    </w:p>
    <w:p>
      <w:pPr>
        <w:pStyle w:val="ListBullet"/>
      </w:pPr>
      <w:r/>
      <w:r>
        <w:rPr>
          <w:b/>
        </w:rPr>
        <w:t>Thrombopénie, leucopénie, anémie</w:t>
      </w:r>
      <w:r>
        <w:t xml:space="preserve"> : 20-30 %. Surveillance : NFS mensuelle.</w:t>
      </w:r>
    </w:p>
    <w:p>
      <w:pPr>
        <w:pStyle w:val="ListBullet"/>
      </w:pPr>
      <w:r/>
      <w:r>
        <w:rPr>
          <w:b/>
        </w:rPr>
        <w:t>Diarrhée, nausées</w:t>
      </w:r>
      <w:r>
        <w:t xml:space="preserve"> : 20-30 %.</w:t>
      </w:r>
    </w:p>
    <w:p>
      <w:pPr>
        <w:pStyle w:val="ListBullet"/>
      </w:pPr>
      <w:r/>
      <w:r>
        <w:rPr>
          <w:b/>
        </w:rPr>
        <w:t>Infections</w:t>
      </w:r>
      <w:r>
        <w:t xml:space="preserve"> : 30-50 % (infections respiratoires hautes, urinaires, herpès).</w:t>
      </w:r>
    </w:p>
    <w:p>
      <w:pPr>
        <w:pStyle w:val="ListBullet"/>
      </w:pPr>
      <w:r/>
      <w:r>
        <w:rPr>
          <w:b/>
        </w:rPr>
        <w:t>Rash cutané, acné</w:t>
      </w:r>
      <w:r>
        <w:t xml:space="preserve"> : 15-30 %.</w:t>
      </w:r>
    </w:p>
    <w:p>
      <w:pPr>
        <w:pStyle w:val="ListBullet"/>
      </w:pPr>
      <w:r/>
      <w:r>
        <w:rPr>
          <w:b/>
        </w:rPr>
        <w:t>Fatigue, asthénie</w:t>
      </w:r>
      <w:r>
        <w:t xml:space="preserve"> : 15-30 %.</w:t>
      </w:r>
    </w:p>
    <w:p>
      <w:pPr>
        <w:pStyle w:val="ListBullet"/>
      </w:pPr>
      <w:r/>
      <w:r>
        <w:rPr>
          <w:b/>
        </w:rPr>
        <w:t>Toux, dyspnée</w:t>
      </w:r>
      <w:r>
        <w:t xml:space="preserve"> : 15-25 %.</w:t>
      </w:r>
    </w:p>
    <w:p>
      <w:pPr>
        <w:pStyle w:val="ListBullet"/>
      </w:pPr>
      <w:r/>
      <w:r>
        <w:rPr>
          <w:b/>
        </w:rPr>
        <w:t>Céphalées</w:t>
      </w:r>
      <w:r>
        <w:t xml:space="preserve"> : 15-25 %.</w:t>
      </w:r>
    </w:p>
    <w:p>
      <w:pPr>
        <w:pStyle w:val="ListBullet"/>
      </w:pPr>
      <w:r/>
      <w:r>
        <w:rPr>
          <w:b/>
        </w:rPr>
        <w:t>Insomnies</w:t>
      </w:r>
      <w:r>
        <w:t xml:space="preserve"> : 10-20 %.</w:t>
      </w:r>
    </w:p>
    <w:p>
      <w:pPr>
        <w:pStyle w:val="ListBullet"/>
      </w:pPr>
      <w:r/>
      <w:r>
        <w:rPr>
          <w:b/>
        </w:rPr>
        <w:t>Hypertension artérielle</w:t>
      </w:r>
      <w:r>
        <w:t xml:space="preserve"> : 15-25 %.</w:t>
      </w:r>
    </w:p>
    <w:p>
      <w:pPr>
        <w:pStyle w:val="ListBullet"/>
      </w:pPr>
      <w:r/>
      <w:r>
        <w:rPr>
          <w:b/>
        </w:rPr>
        <w:t>Hémorragie</w:t>
      </w:r>
      <w:r>
        <w:t xml:space="preserve"> : 10-20 % (en oncologie, particulièrement en cas de tumeur hémorragique).</w:t>
      </w:r>
    </w:p>
    <w:p>
      <w:pPr>
        <w:pStyle w:val="ListBullet"/>
      </w:pPr>
      <w:r/>
      <w:r>
        <w:rPr>
          <w:b/>
        </w:rPr>
        <w:t>Pneumopathie interstitielle</w:t>
      </w:r>
      <w:r>
        <w:t xml:space="preserve"> : 10-20 % (incidence supérieure au sirolimus, particulièrement en oncologie). Mécanisme : pneumopathie d'hypersensibilité. Expression clinique : toux sèche, dyspnée, fièvre, hypoxie. Diagnostic : scanner thoracique haute résolution (verre dépoli, réticulations). Conduite à tenir : arrêt immédiat de l'everolimus, avis pneumologique, corticothérapie dans les formes sévères.</w:t>
      </w:r>
    </w:p>
    <w:p>
      <w:pPr>
        <w:pStyle w:val="ListBullet"/>
      </w:pPr>
      <w:r/>
      <w:r>
        <w:rPr>
          <w:b/>
        </w:rPr>
        <w:t>Œdèmes des membres inférieurs</w:t>
      </w:r>
      <w:r>
        <w:t xml:space="preserve"> : 10-20 %.</w:t>
      </w:r>
    </w:p>
    <w:p>
      <w:pPr>
        <w:pStyle w:val="ListBullet"/>
      </w:pPr>
      <w:r/>
      <w:r>
        <w:rPr>
          <w:b/>
        </w:rPr>
        <w:t>Allongement du QT</w:t>
      </w:r>
      <w:r>
        <w:t xml:space="preserve"> : surveillance ECG chez les patients à risque.</w:t>
      </w:r>
    </w:p>
    <w:p>
      <w:pPr>
        <w:pStyle w:val="ListBullet"/>
      </w:pPr>
      <w:r/>
      <w:r>
        <w:rPr>
          <w:b/>
        </w:rPr>
        <w:t>Hyperglycémie, diabète</w:t>
      </w:r>
      <w:r>
        <w:t xml:space="preserve"> : 15-25 %.</w:t>
      </w:r>
    </w:p>
    <w:p>
      <w:pPr>
        <w:pStyle w:val="ListBullet"/>
      </w:pPr>
      <w:r/>
      <w:r>
        <w:rPr>
          <w:b/>
        </w:rPr>
        <w:t>Élévation des transaminases</w:t>
      </w:r>
      <w:r>
        <w:t xml:space="preserve"> : 10-20 %.</w:t>
      </w:r>
    </w:p>
    <w:p>
      <w:pPr>
        <w:pStyle w:val="ListBullet"/>
      </w:pPr>
      <w:r/>
      <w:r>
        <w:rPr>
          <w:b/>
        </w:rPr>
        <w:t>Hypophosphatémie</w:t>
      </w:r>
      <w:r>
        <w:t xml:space="preserve"> : 10-20 %.</w:t>
      </w:r>
    </w:p>
    <w:p>
      <w:pPr>
        <w:pStyle w:val="ListBullet"/>
      </w:pPr>
      <w:r/>
      <w:r>
        <w:rPr>
          <w:b/>
        </w:rPr>
        <w:t>Protéinurie</w:t>
      </w:r>
      <w:r>
        <w:t xml:space="preserve"> : 10-15 %.</w:t>
      </w:r>
    </w:p>
    <w:p>
      <w:pPr>
        <w:pStyle w:val="ListBullet"/>
      </w:pPr>
      <w:r/>
      <w:r>
        <w:rPr>
          <w:b/>
        </w:rPr>
        <w:t>Retard de cicatrisation</w:t>
      </w:r>
      <w:r>
        <w:t xml:space="preserve"> : 10-20 %.</w:t>
      </w:r>
    </w:p>
    <w:p>
      <w:r/>
      <w:r>
        <w:rPr>
          <w:b/>
        </w:rPr>
        <w:t>Effets indésirables moins fréquents (1-10 %)</w:t>
      </w:r>
      <w:r>
        <w:t xml:space="preserve"> :</w:t>
      </w:r>
    </w:p>
    <w:p>
      <w:pPr>
        <w:pStyle w:val="ListBullet"/>
      </w:pPr>
      <w:r>
        <w:t>Hémorragie pulmonaire.</w:t>
      </w:r>
    </w:p>
    <w:p>
      <w:pPr>
        <w:pStyle w:val="ListBullet"/>
      </w:pPr>
      <w:r>
        <w:t>Hépatotoxicité sévère.</w:t>
      </w:r>
    </w:p>
    <w:p>
      <w:pPr>
        <w:pStyle w:val="ListBullet"/>
      </w:pPr>
      <w:r>
        <w:t>Insuffisance rénale.</w:t>
      </w:r>
    </w:p>
    <w:p>
      <w:pPr>
        <w:pStyle w:val="ListBullet"/>
      </w:pPr>
      <w:r>
        <w:t>Hypogammaglobulinémie.</w:t>
      </w:r>
    </w:p>
    <w:p>
      <w:r/>
      <w:r>
        <w:rPr>
          <w:b/>
        </w:rPr>
        <w:t>Effets indésirables rares (&lt; 1 %)</w:t>
      </w:r>
      <w:r>
        <w:t xml:space="preserve"> :</w:t>
      </w:r>
    </w:p>
    <w:p>
      <w:pPr>
        <w:pStyle w:val="ListBullet"/>
      </w:pPr>
      <w:r>
        <w:t>Thrombose de l'artère hépatique (en transplantation hépatique précoce).</w:t>
      </w:r>
    </w:p>
    <w:p>
      <w:pPr>
        <w:pStyle w:val="ListBullet"/>
      </w:pPr>
      <w:r>
        <w:t>Réaction d'hypersensibilité.</w:t>
      </w:r>
    </w:p>
    <w:p>
      <w:pPr>
        <w:pStyle w:val="ListBullet"/>
      </w:pPr>
      <w:r>
        <w:t>Syndrome hémolytique et urémique.</w:t>
      </w:r>
    </w:p>
    <w:p>
      <w:r/>
      <w:r>
        <w:rPr>
          <w:b/>
        </w:rPr>
        <w:t>Effets à long terme</w:t>
      </w:r>
      <w:r>
        <w:t xml:space="preserve"> :</w:t>
      </w:r>
    </w:p>
    <w:p>
      <w:pPr>
        <w:pStyle w:val="ListBullet"/>
      </w:pPr>
      <w:r>
        <w:t>Cancers post-transplantation : incidence réduite par rapport aux ICN (effet antiprolifératif).</w:t>
      </w:r>
    </w:p>
    <w:p>
      <w:pPr>
        <w:pStyle w:val="ListBullet"/>
      </w:pPr>
      <w:r>
        <w:t>Effet antitumoral : exploité en oncologie.</w:t>
      </w:r>
    </w:p>
    <w:p>
      <w:r/>
      <w:r>
        <w:rPr>
          <w:b/>
        </w:rPr>
        <w:t>Prévention générale des EI</w:t>
      </w:r>
      <w:r>
        <w:t xml:space="preserve"> :</w:t>
      </w:r>
    </w:p>
    <w:p>
      <w:pPr>
        <w:pStyle w:val="ListBullet"/>
      </w:pPr>
      <w:r>
        <w:t>Hydratation abondante (1,5-2 L/j).</w:t>
      </w:r>
    </w:p>
    <w:p>
      <w:pPr>
        <w:pStyle w:val="ListBullet"/>
      </w:pPr>
      <w:r>
        <w:t>Éviter le pamplemousse.</w:t>
      </w:r>
    </w:p>
    <w:p>
      <w:pPr>
        <w:pStyle w:val="ListBullet"/>
      </w:pPr>
      <w:r>
        <w:t>Photoprotection stricte.</w:t>
      </w:r>
    </w:p>
    <w:p>
      <w:pPr>
        <w:pStyle w:val="ListBullet"/>
      </w:pPr>
      <w:r>
        <w:t>Vaccinations : mise à jour avant transplantation ; contre-indication absolue aux vaccins vivants atténués.</w:t>
      </w:r>
    </w:p>
    <w:p>
      <w:pPr>
        <w:pStyle w:val="ListBullet"/>
      </w:pPr>
      <w:r>
        <w:t>Surveillance de la NFS, du bilan lipidique, de la glycémie, de la fonction hépatique, du scanner thoracique en cas de symptômes respiratoires.</w:t>
      </w:r>
    </w:p>
    <w:p>
      <w:pPr>
        <w:pStyle w:val="Heading4"/>
      </w:pPr>
      <w:r>
        <w:t>171.2.2.8 Interactions médicamenteuses</w:t>
      </w:r>
    </w:p>
    <w:p>
      <w:r>
        <w:t>L'everolimus partage le même profil d'interactions CYP3A4/P-gp que le sirolimus.</w:t>
      </w:r>
    </w:p>
    <w:p>
      <w:r/>
      <w:r>
        <w:rPr>
          <w:b/>
        </w:rPr>
        <w:t>Inhibiteurs du CYP3A4 (augmentation des taux → toxicité)</w:t>
      </w:r>
      <w:r>
        <w:t xml:space="preserve"> :</w:t>
      </w:r>
    </w:p>
    <w:p>
      <w:pPr>
        <w:pStyle w:val="ListBullet"/>
      </w:pPr>
      <w:r>
        <w:t>Antifongiques azolés : kétoconazole (CI), fluconazole (×2 à 3), itraconazole, voriconazole, posaconazole.</w:t>
      </w:r>
    </w:p>
    <w:p>
      <w:pPr>
        <w:pStyle w:val="ListBullet"/>
      </w:pPr>
      <w:r>
        <w:t>Macrolides : érythromycine, clarithromycine. Azithromycine : peu d'interaction.</w:t>
      </w:r>
    </w:p>
    <w:p>
      <w:pPr>
        <w:pStyle w:val="ListBullet"/>
      </w:pPr>
      <w:r>
        <w:t>Inhibiteurs de protéase du VIH.</w:t>
      </w:r>
    </w:p>
    <w:p>
      <w:pPr>
        <w:pStyle w:val="ListBullet"/>
      </w:pPr>
      <w:r>
        <w:t>Antagonistes calciques : diltiazem, vérapamil.</w:t>
      </w:r>
    </w:p>
    <w:p>
      <w:pPr>
        <w:pStyle w:val="ListBullet"/>
      </w:pPr>
      <w:r>
        <w:t>Statines : simvastatine, atorvastatine.</w:t>
      </w:r>
    </w:p>
    <w:p>
      <w:pPr>
        <w:pStyle w:val="ListBullet"/>
      </w:pPr>
      <w:r>
        <w:t>Amiodarone.</w:t>
      </w:r>
    </w:p>
    <w:p>
      <w:pPr>
        <w:pStyle w:val="ListBullet"/>
      </w:pPr>
      <w:r>
        <w:t>Pamplemousse : CI absolue.</w:t>
      </w:r>
    </w:p>
    <w:p>
      <w:r/>
      <w:r>
        <w:rPr>
          <w:b/>
        </w:rPr>
        <w:t>Inducteurs du CYP3A4 (diminution des taux → risque de rejet)</w:t>
      </w:r>
      <w:r>
        <w:t xml:space="preserve"> :</w:t>
      </w:r>
    </w:p>
    <w:p>
      <w:pPr>
        <w:pStyle w:val="ListBullet"/>
      </w:pPr>
      <w:r>
        <w:t>Rifampicine : induction majeure.</w:t>
      </w:r>
    </w:p>
    <w:p>
      <w:pPr>
        <w:pStyle w:val="ListBullet"/>
      </w:pPr>
      <w:r>
        <w:t>Phénytoïne, phénobarbital, carbamazépine.</w:t>
      </w:r>
    </w:p>
    <w:p>
      <w:pPr>
        <w:pStyle w:val="ListBullet"/>
      </w:pPr>
      <w:r>
        <w:t>Millepertuis : CI absolue.</w:t>
      </w:r>
    </w:p>
    <w:p>
      <w:pPr>
        <w:pStyle w:val="ListBullet"/>
      </w:pPr>
      <w:r>
        <w:t>Éfavirenz, névirapine.</w:t>
      </w:r>
    </w:p>
    <w:p>
      <w:pPr>
        <w:pStyle w:val="ListBullet"/>
      </w:pPr>
      <w:r>
        <w:t>Oxcarbazépine.</w:t>
      </w:r>
    </w:p>
    <w:p>
      <w:pPr>
        <w:pStyle w:val="ListBullet"/>
      </w:pPr>
      <w:r>
        <w:t>Aprepitant.</w:t>
      </w:r>
    </w:p>
    <w:p>
      <w:pPr>
        <w:pStyle w:val="ListBullet"/>
      </w:pPr>
      <w:r>
        <w:t>Bosentan.</w:t>
      </w:r>
    </w:p>
    <w:p>
      <w:r/>
      <w:r>
        <w:rPr>
          <w:b/>
        </w:rPr>
        <w:t>Interaction pharmacodynamique avec la ciclosporine</w:t>
      </w:r>
      <w:r>
        <w:t xml:space="preserve"> :</w:t>
      </w:r>
    </w:p>
    <w:p>
      <w:pPr>
        <w:pStyle w:val="ListBullet"/>
      </w:pPr>
      <w:r>
        <w:t>L'everolimus peut être administré simultanément avec la ciclosporine (à dose réduite).</w:t>
      </w:r>
    </w:p>
    <w:p>
      <w:pPr>
        <w:pStyle w:val="ListBullet"/>
      </w:pPr>
      <w:r>
        <w:t>Réduction de la dose de ciclosporine de 30-50 % en association.</w:t>
      </w:r>
    </w:p>
    <w:p>
      <w:pPr>
        <w:pStyle w:val="ListBullet"/>
      </w:pPr>
      <w:r>
        <w:t>Surveillance accrue de la créatininémie.</w:t>
      </w:r>
    </w:p>
    <w:p>
      <w:r/>
      <w:r>
        <w:rPr>
          <w:b/>
        </w:rPr>
        <w:t>Médicaments majorant la toxicité hématologique</w:t>
      </w:r>
      <w:r>
        <w:t xml:space="preserve"> :</w:t>
      </w:r>
    </w:p>
    <w:p>
      <w:pPr>
        <w:pStyle w:val="ListBullet"/>
      </w:pPr>
      <w:r>
        <w:t>Antiviraux (valganciclovir) : potentialisation de la leucopénie/thrombopénie.</w:t>
      </w:r>
    </w:p>
    <w:p>
      <w:pPr>
        <w:pStyle w:val="ListBullet"/>
      </w:pPr>
      <w:r>
        <w:t>Cotrimoxazole à forte dose.</w:t>
      </w:r>
    </w:p>
    <w:p>
      <w:pPr>
        <w:pStyle w:val="ListBullet"/>
      </w:pPr>
      <w:r>
        <w:t>Mycophénolate mofétil.</w:t>
      </w:r>
    </w:p>
    <w:p>
      <w:r/>
      <w:r>
        <w:rPr>
          <w:b/>
        </w:rPr>
        <w:t>Médicaments majorant la toxicité métabolique</w:t>
      </w:r>
      <w:r>
        <w:t xml:space="preserve"> :</w:t>
      </w:r>
    </w:p>
    <w:p>
      <w:pPr>
        <w:pStyle w:val="ListBullet"/>
      </w:pPr>
      <w:r>
        <w:t>Statines (simvastatine, atorvastatine).</w:t>
      </w:r>
    </w:p>
    <w:p>
      <w:pPr>
        <w:pStyle w:val="ListBullet"/>
      </w:pPr>
      <w:r>
        <w:t>Fibrates.</w:t>
      </w:r>
    </w:p>
    <w:p>
      <w:r/>
      <w:r>
        <w:rPr>
          <w:b/>
        </w:rPr>
        <w:t>Médicaments majorant la toxicité pulmonaire</w:t>
      </w:r>
      <w:r>
        <w:t xml:space="preserve"> :</w:t>
      </w:r>
    </w:p>
    <w:p>
      <w:pPr>
        <w:pStyle w:val="ListBullet"/>
      </w:pPr>
      <w:r>
        <w:t>Amiodarone (risque accru de pneumopathie interstitielle).</w:t>
      </w:r>
    </w:p>
    <w:p>
      <w:pPr>
        <w:pStyle w:val="ListBullet"/>
      </w:pPr>
      <w:r>
        <w:t>Bleomycine, busulfan, cyclophosphamide (en oncologie).</w:t>
      </w:r>
    </w:p>
    <w:p>
      <w:r/>
      <w:r>
        <w:rPr>
          <w:b/>
        </w:rPr>
        <w:t>Vaccins</w:t>
      </w:r>
      <w:r>
        <w:t xml:space="preserve"> :</w:t>
      </w:r>
    </w:p>
    <w:p>
      <w:pPr>
        <w:pStyle w:val="ListBullet"/>
      </w:pPr>
      <w:r>
        <w:t>Contre-indication absolue aux vaccins vivants atténués.</w:t>
      </w:r>
    </w:p>
    <w:p>
      <w:pPr>
        <w:pStyle w:val="Heading4"/>
      </w:pPr>
      <w:r>
        <w:t>171.2.2.9 Grossesse, allaitement et CRAT</w:t>
      </w:r>
    </w:p>
    <w:p>
      <w:r>
        <w:t xml:space="preserve">Selon les données du CRAT, l'everolimus est </w:t>
      </w:r>
      <w:r>
        <w:rPr>
          <w:b/>
        </w:rPr>
        <w:t>contre-indiqué pendant la grossesse</w:t>
      </w:r>
      <w:r>
        <w:t xml:space="preserve"> en dehors de situations vitales, en raison de données animales évocatrices d'une tératogénicité (embryotoxicité, mortalité fœtale, malformations squelettiques chez le rat et le lapin à doses thérapeutiques).</w:t>
      </w:r>
    </w:p>
    <w:p>
      <w:r/>
      <w:r>
        <w:rPr>
          <w:b/>
        </w:rPr>
        <w:t>Tératogénicité</w:t>
      </w:r>
      <w:r>
        <w:t xml:space="preserve"> : l'everolimus traverse le placenta (rapport fœto-maternel 0,2-0,3). Chez l'animal (rat, lapin), des doses thérapeutiques (0,5 mg/kg) induisent une augmentation de la mortalité embryo-fœtale, des malformations squelettiques (sternèbre, vertèbres), et une baisse du poids fœtal. Les données humaines sont limitées.</w:t>
      </w:r>
    </w:p>
    <w:p>
      <w:r/>
      <w:r>
        <w:rPr>
          <w:b/>
        </w:rPr>
        <w:t>Contraception</w:t>
      </w:r>
      <w:r>
        <w:t xml:space="preserve"> : obligatoire et efficace chez toute femme en âge de procréer sous everolimus. Double contraception pendant le traitement et pendant 8 semaines après l'arrêt. Chez l'homme, contraception masculine est conseillée par prudence.</w:t>
      </w:r>
    </w:p>
    <w:p>
      <w:r/>
      <w:r>
        <w:rPr>
          <w:b/>
        </w:rPr>
        <w:t>Grossesse accidentelle</w:t>
      </w:r>
      <w:r>
        <w:t xml:space="preserve"> : en cas de grossesse sous everolimus, arrêt immédiat de la molécule, relais par un ICN ou par l'azathioprine. Surveillance échographique renforcée. L'everolimus n'impose pas une interruption thérapeutique de grossesse, mais le risque fœtal doit être expliqué.</w:t>
      </w:r>
    </w:p>
    <w:p>
      <w:r/>
      <w:r>
        <w:rPr>
          <w:b/>
        </w:rPr>
        <w:t>Allaitement</w:t>
      </w:r>
      <w:r>
        <w:t xml:space="preserve"> : contre-indication absolue (l'everolimus passe dans le lait maternel à des concentrations équivalentes à la concentration plasmatique maternelle, et la demi-vie longue expose à une accumulation chez le nourrisson).</w:t>
      </w:r>
    </w:p>
    <w:p>
      <w:pPr>
        <w:pStyle w:val="Heading4"/>
      </w:pPr>
      <w:r>
        <w:t>171.2.2.10 Formes galéniques disponibles</w:t>
      </w:r>
    </w:p>
    <w:p>
      <w:pPr>
        <w:pStyle w:val="ListNumber"/>
      </w:pPr>
      <w:r/>
      <w:r>
        <w:rPr>
          <w:b/>
        </w:rPr>
        <w:t>Comprimé — Afinitor, Everolimus-Saidal, Everbliss, Evroliphal</w:t>
      </w:r>
      <w:r>
        <w:t xml:space="preserve"> : comprimé pelliculé, contenant l'everolimus en formulation à libération immédiate. Dosages disponibles en Algérie : 5 mg, 10 mg. Conservation à température ambiante (&lt; 25 °C), à l'abri de l'humidité et de la lumière. Le comprimé doit être avalé entier, sans croquer ni écraser, avec un grand verre d'eau. Pour les patients pédiatriques, les comprimés peuvent être dispersés dans 25 mL d'eau, mais la biodisponibilité est alors modifiée.</w:t>
      </w:r>
    </w:p>
    <w:p>
      <w:pPr>
        <w:pStyle w:val="ListNumber"/>
      </w:pPr>
      <w:r/>
      <w:r>
        <w:rPr>
          <w:b/>
        </w:rPr>
        <w:t>Comprimé dispersible — Afinitor Dispersible</w:t>
      </w:r>
      <w:r>
        <w:t xml:space="preserve"> : non disponible en Algérie. Formulation pédiatrique (2 mg, 3 mg, 5 mg), dispersible dans 25 mL d'eau pour administration aux enfants.</w:t>
      </w:r>
    </w:p>
    <w:p>
      <w:pPr>
        <w:pStyle w:val="ListNumber"/>
      </w:pPr>
      <w:r/>
      <w:r>
        <w:rPr>
          <w:b/>
        </w:rPr>
        <w:t>Forme IV</w:t>
      </w:r>
      <w:r>
        <w:t xml:space="preserve"> : non disponible.</w:t>
      </w:r>
    </w:p>
    <w:p>
      <w:pPr>
        <w:pStyle w:val="Heading4"/>
      </w:pPr>
      <w:r>
        <w:t>171.2.2.11 Conseils au patient</w:t>
      </w:r>
    </w:p>
    <w:p>
      <w:r/>
      <w:r>
        <w:rPr>
          <w:b/>
        </w:rPr>
        <w:t>Conseils d'observance</w:t>
      </w:r>
      <w:r>
        <w:t xml:space="preserve"> :</w:t>
      </w:r>
    </w:p>
    <w:p>
      <w:pPr>
        <w:pStyle w:val="ListBullet"/>
      </w:pPr>
      <w:r>
        <w:t>En transplantation : prendre l'everolimus à heure fixe (par exemple 8 h et 20 h), à 12 heures d'intervalle exact.</w:t>
      </w:r>
    </w:p>
    <w:p>
      <w:pPr>
        <w:pStyle w:val="ListBullet"/>
      </w:pPr>
      <w:r>
        <w:t>En oncologie : prendre l'everolimus une fois par jour à heure fixe (par exemple le matin à 8 h).</w:t>
      </w:r>
    </w:p>
    <w:p>
      <w:pPr>
        <w:pStyle w:val="ListBullet"/>
      </w:pPr>
      <w:r>
        <w:t>Ne jamais sauter une prise : si une prise est oubliée depuis moins de 6 heures, la prendre ; sinon, ne pas doubler la prise suivante.</w:t>
      </w:r>
    </w:p>
    <w:p>
      <w:pPr>
        <w:pStyle w:val="ListBullet"/>
      </w:pPr>
      <w:r>
        <w:t>Ne jamais interrompre le traitement sans avis médical.</w:t>
      </w:r>
    </w:p>
    <w:p>
      <w:r/>
      <w:r>
        <w:rPr>
          <w:b/>
        </w:rPr>
        <w:t>Conseils diététiques</w:t>
      </w:r>
      <w:r>
        <w:t xml:space="preserve"> :</w:t>
      </w:r>
    </w:p>
    <w:p>
      <w:pPr>
        <w:pStyle w:val="ListBullet"/>
      </w:pPr>
      <w:r>
        <w:t>Éviter le pamplemousse pendant toute la durée du traitement.</w:t>
      </w:r>
    </w:p>
    <w:p>
      <w:pPr>
        <w:pStyle w:val="ListBullet"/>
      </w:pPr>
      <w:r>
        <w:t>Éviter l'alcool.</w:t>
      </w:r>
    </w:p>
    <w:p>
      <w:pPr>
        <w:pStyle w:val="ListBullet"/>
      </w:pPr>
      <w:r>
        <w:t>Régime hyposodé-hypolipidique (en raison de la dyslipidémie fréquente).</w:t>
      </w:r>
    </w:p>
    <w:p>
      <w:pPr>
        <w:pStyle w:val="ListBullet"/>
      </w:pPr>
      <w:r>
        <w:t>Hydratation abondante (1,5-2 L/jour).</w:t>
      </w:r>
    </w:p>
    <w:p>
      <w:r/>
      <w:r>
        <w:rPr>
          <w:b/>
        </w:rPr>
        <w:t>Conseils d'hygiène</w:t>
      </w:r>
      <w:r>
        <w:t xml:space="preserve"> :</w:t>
      </w:r>
    </w:p>
    <w:p>
      <w:pPr>
        <w:pStyle w:val="ListBullet"/>
      </w:pPr>
      <w:r>
        <w:t>Brossage dentaire 3×/jour, bains de bouche sans alcool (prévention de la stomatite).</w:t>
      </w:r>
    </w:p>
    <w:p>
      <w:pPr>
        <w:pStyle w:val="ListBullet"/>
      </w:pPr>
      <w:r>
        <w:t>Photoprotection stricte.</w:t>
      </w:r>
    </w:p>
    <w:p>
      <w:pPr>
        <w:pStyle w:val="ListBullet"/>
      </w:pPr>
      <w:r>
        <w:t>Éviter les contacts avec des personnes malades.</w:t>
      </w:r>
    </w:p>
    <w:p>
      <w:pPr>
        <w:pStyle w:val="ListBullet"/>
      </w:pPr>
      <w:r>
        <w:t>Lavage des mains fréquent.</w:t>
      </w:r>
    </w:p>
    <w:p>
      <w:pPr>
        <w:pStyle w:val="ListBullet"/>
      </w:pPr>
      <w:r>
        <w:t>Éviter les vaccinations vivantes.</w:t>
      </w:r>
    </w:p>
    <w:p>
      <w:pPr>
        <w:pStyle w:val="ListBullet"/>
      </w:pPr>
      <w:r>
        <w:t>Cuisson complète de la viande, du poisson et des œufs.</w:t>
      </w:r>
    </w:p>
    <w:p>
      <w:pPr>
        <w:pStyle w:val="ListBullet"/>
      </w:pPr>
      <w:r>
        <w:t>Éviter les fromages au lait cru, les coquillages crus.</w:t>
      </w:r>
    </w:p>
    <w:p>
      <w:pPr>
        <w:pStyle w:val="ListBullet"/>
      </w:pPr>
      <w:r>
        <w:t>Informer le chirurgien et le dentiste du traitement avant toute intervention (retard de cicatrisation).</w:t>
      </w:r>
    </w:p>
    <w:p>
      <w:r/>
      <w:r>
        <w:rPr>
          <w:b/>
        </w:rPr>
        <w:t>Conseils de surveillance</w:t>
      </w:r>
      <w:r>
        <w:t xml:space="preserve"> :</w:t>
      </w:r>
    </w:p>
    <w:p>
      <w:pPr>
        <w:pStyle w:val="ListBullet"/>
      </w:pPr>
      <w:r>
        <w:t>Signaler immédiatement tout signe d'infection (fièvre, frissons, maux de gorge).</w:t>
      </w:r>
    </w:p>
    <w:p>
      <w:pPr>
        <w:pStyle w:val="ListBullet"/>
      </w:pPr>
      <w:r>
        <w:t>Signaler toute toux sèche, dyspnée, fièvre (recherche de pneumopathie interstitielle — arrêt immédiat de l'everolimus).</w:t>
      </w:r>
    </w:p>
    <w:p>
      <w:pPr>
        <w:pStyle w:val="ListBullet"/>
      </w:pPr>
      <w:r>
        <w:t>Signaler tout saignement gingival, ecchymose, pétéchies (recherche de thrombopénie).</w:t>
      </w:r>
    </w:p>
    <w:p>
      <w:pPr>
        <w:pStyle w:val="ListBullet"/>
      </w:pPr>
      <w:r>
        <w:t>Signaler toute aphte, ulcération buccale (stomatite).</w:t>
      </w:r>
    </w:p>
    <w:p>
      <w:pPr>
        <w:pStyle w:val="ListBullet"/>
      </w:pPr>
      <w:r>
        <w:t>Effectuer les prises de sang selon le calendrier prescrit.</w:t>
      </w:r>
    </w:p>
    <w:p>
      <w:r/>
      <w:r>
        <w:rPr>
          <w:b/>
        </w:rPr>
        <w:t>Conseils de stockage</w:t>
      </w:r>
      <w:r>
        <w:t xml:space="preserve"> :</w:t>
      </w:r>
    </w:p>
    <w:p>
      <w:pPr>
        <w:pStyle w:val="ListBullet"/>
      </w:pPr>
      <w:r>
        <w:t>Conserver les comprimés à température ambiante (&lt; 25 °C).</w:t>
      </w:r>
    </w:p>
    <w:p>
      <w:pPr>
        <w:pStyle w:val="ListBullet"/>
      </w:pPr>
      <w:r>
        <w:t>Tenir hors de portée des enfants.</w:t>
      </w:r>
    </w:p>
    <w:p>
      <w:pPr>
        <w:pStyle w:val="Heading4"/>
      </w:pPr>
      <w:r>
        <w:t>171.2.2.12 Pièges au comptoir — Règles d'or</w:t>
      </w:r>
    </w:p>
    <w:p>
      <w:pPr>
        <w:pStyle w:val="ListNumber"/>
      </w:pPr>
      <w:r/>
      <w:r>
        <w:rPr>
          <w:b/>
        </w:rPr>
        <w:t>Jus de pamplemousse</w:t>
      </w:r>
      <w:r>
        <w:t xml:space="preserve"> : CI absolue, interrogation systématique du patient.</w:t>
      </w:r>
    </w:p>
    <w:p>
      <w:pPr>
        <w:pStyle w:val="ListNumber"/>
      </w:pPr>
      <w:r/>
      <w:r>
        <w:rPr>
          <w:b/>
        </w:rPr>
        <w:t>Stomatite</w:t>
      </w:r>
      <w:r>
        <w:t xml:space="preserve"> : tout patient sous everolimus qui présente des aphtes, des ulcérations buccales, des douleurs à la déglutition doit être orienté pour avis médical. Bains de bouche à la dexaméthasone, sucralfate en suspension. Dans les formes sévères, arrêt transitoire.</w:t>
      </w:r>
    </w:p>
    <w:p>
      <w:pPr>
        <w:pStyle w:val="ListNumber"/>
      </w:pPr>
      <w:r/>
      <w:r>
        <w:rPr>
          <w:b/>
        </w:rPr>
        <w:t>Toux sèche et dyspnée</w:t>
      </w:r>
      <w:r>
        <w:t xml:space="preserve"> : tout patient sous everolimus qui présente une toux sèche, une dyspnée, une fièvre doit être orienté en urgence pour scanner thoracique (recherche de pneumopathie interstitielle — incidence supérieure au sirolimus, particulièrement en oncologie). Arrêt immédiat de l'everolimus, avis pneumologique.</w:t>
      </w:r>
    </w:p>
    <w:p>
      <w:pPr>
        <w:pStyle w:val="ListNumber"/>
      </w:pPr>
      <w:r/>
      <w:r>
        <w:rPr>
          <w:b/>
        </w:rPr>
        <w:t>Substitution de marque</w:t>
      </w:r>
      <w:r>
        <w:t xml:space="preserve"> : l'everolimus est disponible sous plusieurs marques (Afinitor, Everolimus-Saidal, Everbliss, Evroliphal). La substitution entre marques doit s'accompagner d'un contrôle de la concentration résiduelle à J+7 (en transplantation, pas en oncologie). Documenter la marque et le dosage dans le dossier pharmaceutique.</w:t>
      </w:r>
    </w:p>
    <w:p>
      <w:pPr>
        <w:pStyle w:val="ListNumber"/>
      </w:pPr>
      <w:r/>
      <w:r>
        <w:rPr>
          <w:b/>
        </w:rPr>
        <w:t>Femme en âge de procréer</w:t>
      </w:r>
      <w:r>
        <w:t xml:space="preserve"> : double contraception obligatoire pendant le traitement et 8 semaines après l'arrêt. En cas de désir de grossesse, relais préalable par un ICN ou par l'azathioprine. Test de grossesse avant instauration.</w:t>
      </w:r>
    </w:p>
    <w:p>
      <w:pPr>
        <w:pStyle w:val="ListNumber"/>
      </w:pPr>
      <w:r/>
      <w:r>
        <w:rPr>
          <w:b/>
        </w:rPr>
        <w:t>Chirurgie programmée</w:t>
      </w:r>
      <w:r>
        <w:t xml:space="preserve"> : informer le chirurgien du traitement avant toute intervention (retard de cicatrisation).</w:t>
      </w:r>
    </w:p>
    <w:p>
      <w:pPr>
        <w:pStyle w:val="ListNumber"/>
      </w:pPr>
      <w:r/>
      <w:r>
        <w:rPr>
          <w:b/>
        </w:rPr>
        <w:t>Vaccins vivants</w:t>
      </w:r>
      <w:r>
        <w:t xml:space="preserve"> : contre-indication absolue.</w:t>
      </w:r>
    </w:p>
    <w:p>
      <w:pPr>
        <w:pStyle w:val="ListNumber"/>
      </w:pPr>
      <w:r/>
      <w:r>
        <w:rPr>
          <w:b/>
        </w:rPr>
        <w:t>Patient oncologique</w:t>
      </w:r>
      <w:r>
        <w:t xml:space="preserve"> : en oncologie, la posologie standard de 10 mg/jour est utilisée sans adaptation systématique. Surveillance clinique et biologique (NFS, bilan lipidique, glycémie, fonction rénale, scanner thoracique). Adaptation en cas d'insuffisance hépatique (Child-Pugh A : 5 mg/j ; Child-Pugh C : 2,5 mg/j).</w:t>
      </w:r>
    </w:p>
    <w:p>
      <w:pPr>
        <w:pStyle w:val="ListNumber"/>
      </w:pPr>
      <w:r/>
      <w:r>
        <w:rPr>
          <w:b/>
        </w:rPr>
        <w:t>Forme IV non disponible</w:t>
      </w:r>
      <w:r>
        <w:t xml:space="preserve"> : en cas d'hospitalisation pour transplantation ou de ré-intervention chirurgicale, prévenir le chirurgien et l'anesthésiste que la forme IV d'everolimus n'est pas disponible. Le relais par voie naso-gastrique de comprimés écrasés peut être proposé en attendant la reprise du transit.</w:t>
      </w:r>
    </w:p>
    <w:p>
      <w:pPr>
        <w:pStyle w:val="ListNumber"/>
      </w:pPr>
      <w:r/>
      <w:r>
        <w:rPr>
          <w:b/>
        </w:rPr>
        <w:t>Patient transplanté hépatique</w:t>
      </w:r>
      <w:r>
        <w:t xml:space="preserve"> : éviter l'everolimus dans les 4 premières semaines post-transplantation (risque de thrombose de l'artère hépatique). Utilisation retardée (&gt; 4 semaines) possible.</w:t>
      </w:r>
    </w:p>
    <w:p>
      <w:pPr>
        <w:pStyle w:val="ListNumber"/>
      </w:pPr>
      <w:r/>
      <w:r>
        <w:rPr>
          <w:b/>
        </w:rPr>
        <w:t>Patient âgé</w:t>
      </w:r>
      <w:r>
        <w:t xml:space="preserve"> : surveillance accrue de la fonction rénale et respiratoire.</w:t>
      </w:r>
    </w:p>
    <w:p>
      <w:pPr>
        <w:pStyle w:val="ListNumber"/>
      </w:pPr>
      <w:r/>
      <w:r>
        <w:rPr>
          <w:b/>
        </w:rPr>
        <w:t>Interaction avec la ciclosporine</w:t>
      </w:r>
      <w:r>
        <w:t xml:space="preserve"> : en cas d'association, surveillance accrue de la créatininémie. Réduction de la dose de ciclosporine de 30-50 %.</w:t>
      </w:r>
    </w:p>
    <w:p>
      <w:pPr>
        <w:pStyle w:val="ListNumber"/>
      </w:pPr>
      <w:r/>
      <w:r>
        <w:rPr>
          <w:b/>
        </w:rPr>
        <w:t>Patient sous statine</w:t>
      </w:r>
      <w:r>
        <w:t xml:space="preserve"> : éviter la simvastatine et l'atorvastatine (interaction CYP3A4). Préférer la pravastatine ou la fluvastatine.</w:t>
      </w:r>
    </w:p>
    <w:p>
      <w:pPr>
        <w:pStyle w:val="Heading2"/>
      </w:pPr>
      <w:r>
        <w:t>171.3 Sous-classe : Antimétabolites (acide mycophénolique)</w:t>
      </w:r>
    </w:p>
    <w:p>
      <w:r>
        <w:t>Les antimétabolites immunosuppresseurs constituent la troisième grande classe d'immunosuppresseurs de transplantation, représentée en Algérie par le mycophénolate mofétil (MMF), prodrogue de l'acide mycophénolique (MPA). Historiquement, l'azathioprine (Imurel, non disponible en Algérie) était la référence de cette classe, mais le mycophénolate mofétil l'a supplanté à partir des années 1990 en raison de son efficacité supérieure (réduction du rejet aigu de 30-50 % vs azathioprine) et de son meilleur profil de tolérance (moindre myélotoxicité). Cette sous-classe se distingue des ICN et des inhibiteurs de mTOR par son mécanisme cytostatique : les antimétabolites ne bloquent ni la production d'IL-2 (ICN), ni la réponse à l'IL-2 (inhibiteurs de mTOR), mais bloquent la synthèse des nucléotides puriques nécessaires à la prolifération lymphocytaire.</w:t>
      </w:r>
    </w:p>
    <w:p>
      <w:r>
        <w:t xml:space="preserve">Le mécanisme d'action du mycophénolate mofétil repose sur sa conversion en acide mycophénolique (MPA), inhibiteur puissant, sélectif et non compétitif de l'inosine monophosphate déshydrogénase (IMPDH, EC 1.1.1.205), une enzyme clé de la synthèse </w:t>
      </w:r>
      <w:r>
        <w:rPr>
          <w:i/>
        </w:rPr>
        <w:t>de novo</w:t>
      </w:r>
      <w:r>
        <w:t xml:space="preserve"> des nucléotides puriques. Les lymphocytes T et B activés dépendent quasi-exclusivement de la synthèse </w:t>
      </w:r>
      <w:r>
        <w:rPr>
          <w:i/>
        </w:rPr>
        <w:t>de novo</w:t>
      </w:r>
      <w:r>
        <w:t xml:space="preserve"> des purines (contrairement aux autres cellules de l'organisme qui peuvent utiliser la voie de récupération Salvage via l'hypoxanthine-guanine phosphoribosyltransférase, HGPRT). L'inhibition de l'IMPDH induit donc une carence en GTP (guanosine triphosphate) et dGTP (désoxyguanosine triphosphate), bloquant la synthèse d'ADN et d'ARN, et arrêtant la prolifération des lymphocytes T et B activés. Cet effet sélectif explique l'index thérapeutique relativement favorable du mycophénolate par rapport aux autres antimétabolites (azathioprine, qui inhibe également la synthèse des purines mais de manière non sélective, avec toxicité hématologique et hépatique accrue).</w:t>
      </w:r>
    </w:p>
    <w:p>
      <w:r>
        <w:t>Le profil pharmacocinétique du mycophénolate mofétil est dominé par sa conversion pré-systémique hépatique en MPA (biodisponibilité de 94 %), une liaison protéique élevée à l'albumine (97 %), un cycle entéro-hépatique responsable d'un second pic plasmatique (à 6-12 heures), et une glucuro-conjugaison hépatique en MPA-glucuronide (MPAG, inactif), éliminé dans les urines (87 %) et la bile (récirculation). La demi-vie d'élimination du MPA est de 8-18 heures, imposant une administration biquotidienne. Le STP par mesure du MPA plasmatique est parfois réalisé (cibles AUC0-12h : 30-60 mg·h/L en transplantation rénale, 30-60 mg·h/L en transplantation hépatique), mais n'est pas systématique en raison de la variabilité de la méthode.</w:t>
      </w:r>
    </w:p>
    <w:p>
      <w:r>
        <w:t>Le profil d'effets indésirables du mycophénolate mofétil se distingue de celui des ICN par l'absence de néphrotoxicité, d'HTA, de neurotoxicité et de diabétogénicité. Les effets indésirables principaux sont digestifs (diarrhée, nausées, vomissements — 30-40 % des patients), hématologiques (leucopénie, anémie, thrombopénie — 20-35 %), infectieux (CMV, herpès virus, candidose — 30-40 %), et la contre-indication absolue à la grossesse (tératogénicité démontrée — syndrome d'embryopathie au mycophénolate : malformations congénitales sévères — oreilles, cœur, rein, SNC). Une attention particulière est portée à l'interaction avec l'allopurinol (qui inhibe la conversion de MPA en MPAG par la voie HGPRT, augmentant l'exposition au MPA de 3 à 5 fois, exposant à la toxicité hématologique), et à l'interaction avec les anti-acides (hydroxyde d'aluminium et de magnésium) et les chélateurs phosphorés (sévélamer), qui diminuent l'absorption du MMF.</w:t>
      </w:r>
    </w:p>
    <w:p>
      <w:r>
        <w:t>En Algérie, le mycophénolate mofétil est disponible sous trois spécialités : le princeps Cellcept (Roche, retiré du marché), et les génériques MMF (Inpha-Medis) et Phenocept (El Kendi). Les deux génériques sont disponibles en comprimés pelliculés à 500 mg. La solution buvable (Cellcept 200 mg/mL, Myfortic 180/360 mg à libération prolongée) n'est pas disponible en Algérie. Le MMF est l'antimétabolite de référence dans les protocoles de transplantation rénale, hépatique, cardiaque et pulmonaire, en association avec un ICN et un corticoïde (trithérapie d'entretien). Il est également utilisé hors AMM dans des maladies auto-immunes sévères (lupus érythémateux disséminé, néphropathie à IgA, vascularite à ANCA, myasthénie, pemphigoïde).</w:t>
      </w:r>
    </w:p>
    <w:p>
      <w:pPr>
        <w:pStyle w:val="Heading3"/>
      </w:pPr>
      <w:r>
        <w:t>171.3.1 Mycophénolate mofétil</w:t>
      </w:r>
    </w:p>
    <w:p>
      <w:pPr>
        <w:pStyle w:val="Heading4"/>
      </w:pPr>
      <w:r>
        <w:t>171.3.1.1 Catégories pharmaco-thérapeutiques et indications</w:t>
      </w:r>
    </w:p>
    <w:p>
      <w:r>
        <w:t>Le mycophénolate mofétil (DCI : mycophénolate mofétil, MMF) est classé selon les rubriques suivantes :</w:t>
      </w:r>
    </w:p>
    <w:p>
      <w:pPr>
        <w:pStyle w:val="ListBullet"/>
      </w:pPr>
      <w:r/>
      <w:r>
        <w:rPr>
          <w:b/>
        </w:rPr>
        <w:t>Code ATC</w:t>
      </w:r>
      <w:r>
        <w:t xml:space="preserve"> : L04AA06 (immunosuppresseurs — agents immunosuppresseurs sélectifs).</w:t>
      </w:r>
    </w:p>
    <w:p>
      <w:pPr>
        <w:pStyle w:val="ListBullet"/>
      </w:pPr>
      <w:r/>
      <w:r>
        <w:rPr>
          <w:b/>
        </w:rPr>
        <w:t>Classification thérapeutique</w:t>
      </w:r>
      <w:r>
        <w:t xml:space="preserve"> : immunosuppresseur antimétabolique, inhibiteur de l'IMPDH.</w:t>
      </w:r>
    </w:p>
    <w:p>
      <w:pPr>
        <w:pStyle w:val="ListBullet"/>
      </w:pPr>
      <w:r/>
      <w:r>
        <w:rPr>
          <w:b/>
        </w:rPr>
        <w:t>Classe chimique</w:t>
      </w:r>
      <w:r>
        <w:t xml:space="preserve"> : prodrogue de l'acide mycophénolique (MPA), ester morpholino-éthylque de l'acide mycophénolique.</w:t>
      </w:r>
    </w:p>
    <w:p>
      <w:pPr>
        <w:pStyle w:val="ListBullet"/>
      </w:pPr>
      <w:r/>
      <w:r>
        <w:rPr>
          <w:b/>
        </w:rPr>
        <w:t>Statut réglementaire Algérie</w:t>
      </w:r>
      <w:r>
        <w:t xml:space="preserve"> : Liste I, prescription réservée aux spécialistes en transplantation et en médecine interne (lupus, vascularite).</w:t>
      </w:r>
    </w:p>
    <w:p>
      <w:pPr>
        <w:pStyle w:val="ListBullet"/>
      </w:pPr>
      <w:r/>
      <w:r>
        <w:rPr>
          <w:b/>
        </w:rPr>
        <w:t>Grossesse</w:t>
      </w:r>
      <w:r>
        <w:t xml:space="preserve"> : contre-indication absolue (tératogénicité démontrée, syndrome d'embryopathie au mycophénolate).</w:t>
      </w:r>
    </w:p>
    <w:p>
      <w:r>
        <w:t>Indications principales :</w:t>
      </w:r>
    </w:p>
    <w:p>
      <w:pPr>
        <w:pStyle w:val="ListNumber"/>
      </w:pPr>
      <w:r/>
      <w:r>
        <w:rPr>
          <w:b/>
        </w:rPr>
        <w:t>Transplantation rénale</w:t>
      </w:r>
      <w:r>
        <w:t xml:space="preserve"> : prévention du rejet de greffe en association avec un ICN (tacrolimus ou ciclosporine) et un corticoïde (trithérapie d'entretien). Posologie initiale 1 g × 2/jour (2 g/jour), en débutant 12 heures avant la greffe. AMM historique.</w:t>
      </w:r>
    </w:p>
    <w:p>
      <w:pPr>
        <w:pStyle w:val="ListNumber"/>
      </w:pPr>
      <w:r/>
      <w:r>
        <w:rPr>
          <w:b/>
        </w:rPr>
        <w:t>Transplantation hépatique</w:t>
      </w:r>
      <w:r>
        <w:t xml:space="preserve"> : prévention du rejet de greffe en association avec un ICN et un corticoïde. Posologie initiale 1 g × 2/jour (ou 0,5 g × 2/jour en cas de leucopénie).</w:t>
      </w:r>
    </w:p>
    <w:p>
      <w:pPr>
        <w:pStyle w:val="ListNumber"/>
      </w:pPr>
      <w:r/>
      <w:r>
        <w:rPr>
          <w:b/>
        </w:rPr>
        <w:t>Transplantation cardiaque</w:t>
      </w:r>
      <w:r>
        <w:t xml:space="preserve"> : prévention du rejet de greffe. Posologie 1,5 g × 2/jour (3 g/jour — dose supérieure en raison de la clairance accrue).</w:t>
      </w:r>
    </w:p>
    <w:p>
      <w:pPr>
        <w:pStyle w:val="ListNumber"/>
      </w:pPr>
      <w:r/>
      <w:r>
        <w:rPr>
          <w:b/>
        </w:rPr>
        <w:t>Transplantation pulmonaire</w:t>
      </w:r>
      <w:r>
        <w:t xml:space="preserve"> : prévention du rejet de greffe. Posologie 1 g × 2/jour.</w:t>
      </w:r>
    </w:p>
    <w:p>
      <w:pPr>
        <w:pStyle w:val="ListNumber"/>
      </w:pPr>
      <w:r/>
      <w:r>
        <w:rPr>
          <w:b/>
        </w:rPr>
        <w:t>Transplantation de cellules souches hématopoïétiques</w:t>
      </w:r>
      <w:r>
        <w:t xml:space="preserve"> : prévention de la GVH, en cours d'évaluation (réservé à certains protocoles).</w:t>
      </w:r>
    </w:p>
    <w:p>
      <w:pPr>
        <w:pStyle w:val="ListNumber"/>
      </w:pPr>
      <w:r/>
      <w:r>
        <w:rPr>
          <w:b/>
        </w:rPr>
        <w:t>Lupus érythémateux disséminé</w:t>
      </w:r>
      <w:r>
        <w:t xml:space="preserve"> : traitement de la néphropathie lupique (classe IV ISN/RPS) en protocole d'induction (2-3 g/jour pendant 6 mois) et d'entretien (1-2 g/jour). Hors AMM en France (mais AMM européenne en cours d'évaluation). Alternative au cyclophosphamide.</w:t>
      </w:r>
    </w:p>
    <w:p>
      <w:pPr>
        <w:pStyle w:val="ListNumber"/>
      </w:pPr>
      <w:r/>
      <w:r>
        <w:rPr>
          <w:b/>
        </w:rPr>
        <w:t>Néphropathie à IgA</w:t>
      </w:r>
      <w:r>
        <w:t xml:space="preserve"> : traitement de la néphropathie proliferative (Henoch-Schönlein purpura, glomérulonéphrite à IgA progressive). Hors AMM.</w:t>
      </w:r>
    </w:p>
    <w:p>
      <w:pPr>
        <w:pStyle w:val="ListNumber"/>
      </w:pPr>
      <w:r/>
      <w:r>
        <w:rPr>
          <w:b/>
        </w:rPr>
        <w:t>Vascularite à ANCA</w:t>
      </w:r>
      <w:r>
        <w:t xml:space="preserve"> : traitement d'induction et d'entretien, en alternative au cyclophosphamide ou en relais. Hors AMM.</w:t>
      </w:r>
    </w:p>
    <w:p>
      <w:pPr>
        <w:pStyle w:val="ListNumber"/>
      </w:pPr>
      <w:r/>
      <w:r>
        <w:rPr>
          <w:b/>
        </w:rPr>
        <w:t>Maladies auto-immunes bulleuses</w:t>
      </w:r>
      <w:r>
        <w:t xml:space="preserve"> : pemphigus vulgaire, pemphigoïde bulleuse, en association avec les corticoïdes.</w:t>
      </w:r>
    </w:p>
    <w:p>
      <w:pPr>
        <w:pStyle w:val="ListNumber"/>
      </w:pPr>
      <w:r/>
      <w:r>
        <w:rPr>
          <w:b/>
        </w:rPr>
        <w:t>Myasthénie autoimmune</w:t>
      </w:r>
      <w:r>
        <w:t xml:space="preserve"> : traitement d'entretien, en association avec les corticoïdes et les anticholinestérasiques. Hors AMM.</w:t>
      </w:r>
    </w:p>
    <w:p>
      <w:pPr>
        <w:pStyle w:val="ListNumber"/>
      </w:pPr>
      <w:r/>
      <w:r>
        <w:rPr>
          <w:b/>
        </w:rPr>
        <w:t>Uvéite auto-immune</w:t>
      </w:r>
      <w:r>
        <w:t xml:space="preserve"> : traitement des uvéites non infectieuses chroniques, en alternative aux anticorps anti-TNF.</w:t>
      </w:r>
    </w:p>
    <w:p>
      <w:pPr>
        <w:pStyle w:val="ListNumber"/>
      </w:pPr>
      <w:r/>
      <w:r>
        <w:rPr>
          <w:b/>
        </w:rPr>
        <w:t>Syndrome néphrotique corticorésistant ou corticodépendant</w:t>
      </w:r>
      <w:r>
        <w:t xml:space="preserve"> : alternative à la ciclosporine ou au tacrolimus.</w:t>
      </w:r>
    </w:p>
    <w:p>
      <w:pPr>
        <w:pStyle w:val="Heading4"/>
      </w:pPr>
      <w:r>
        <w:t>171.3.1.2 Médicaments disponibles en Algérie</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MMF</w:t>
            </w:r>
          </w:p>
        </w:tc>
        <w:tc>
          <w:tcPr>
            <w:tcW w:type="dxa" w:w="1559"/>
          </w:tcPr>
          <w:p>
            <w:r>
              <w:rPr>
                <w:sz w:val="20"/>
              </w:rPr>
              <w:t>INPHA-MEDIS</w:t>
            </w:r>
          </w:p>
        </w:tc>
        <w:tc>
          <w:tcPr>
            <w:tcW w:type="dxa" w:w="1559"/>
          </w:tcPr>
          <w:p>
            <w:r>
              <w:rPr>
                <w:sz w:val="20"/>
              </w:rPr>
              <w:t>Comprimé pelliculé 500 mg</w:t>
            </w:r>
          </w:p>
        </w:tc>
        <w:tc>
          <w:tcPr>
            <w:tcW w:type="dxa" w:w="1559"/>
          </w:tcPr>
          <w:p>
            <w:r>
              <w:rPr>
                <w:sz w:val="20"/>
              </w:rPr>
              <w:t>B/56</w:t>
            </w:r>
          </w:p>
        </w:tc>
        <w:tc>
          <w:tcPr>
            <w:tcW w:type="dxa" w:w="1559"/>
          </w:tcPr>
          <w:p>
            <w:r>
              <w:rPr>
                <w:sz w:val="20"/>
              </w:rPr>
              <w:t>Liste I</w:t>
            </w:r>
          </w:p>
        </w:tc>
        <w:tc>
          <w:tcPr>
            <w:tcW w:type="dxa" w:w="1559"/>
          </w:tcPr>
          <w:p>
            <w:r>
              <w:rPr>
                <w:sz w:val="20"/>
              </w:rPr>
              <w:t>Actif</w:t>
            </w:r>
          </w:p>
        </w:tc>
      </w:tr>
      <w:tr>
        <w:tc>
          <w:tcPr>
            <w:tcW w:type="dxa" w:w="1559"/>
          </w:tcPr>
          <w:p>
            <w:r>
              <w:rPr>
                <w:sz w:val="20"/>
              </w:rPr>
              <w:t>PHENOCEPT</w:t>
            </w:r>
          </w:p>
        </w:tc>
        <w:tc>
          <w:tcPr>
            <w:tcW w:type="dxa" w:w="1559"/>
          </w:tcPr>
          <w:p>
            <w:r>
              <w:rPr>
                <w:sz w:val="20"/>
              </w:rPr>
              <w:t>EL KENDI INDUSTRIE DU MEDICAMENT</w:t>
            </w:r>
          </w:p>
        </w:tc>
        <w:tc>
          <w:tcPr>
            <w:tcW w:type="dxa" w:w="1559"/>
          </w:tcPr>
          <w:p>
            <w:r>
              <w:rPr>
                <w:sz w:val="20"/>
              </w:rPr>
              <w:t>Comprimé pelliculé 500 mg</w:t>
            </w:r>
          </w:p>
        </w:tc>
        <w:tc>
          <w:tcPr>
            <w:tcW w:type="dxa" w:w="1559"/>
          </w:tcPr>
          <w:p>
            <w:r>
              <w:rPr>
                <w:sz w:val="20"/>
              </w:rPr>
              <w:t>B/100</w:t>
            </w:r>
          </w:p>
        </w:tc>
        <w:tc>
          <w:tcPr>
            <w:tcW w:type="dxa" w:w="1559"/>
          </w:tcPr>
          <w:p>
            <w:r>
              <w:rPr>
                <w:sz w:val="20"/>
              </w:rPr>
              <w:t>Liste I</w:t>
            </w:r>
          </w:p>
        </w:tc>
        <w:tc>
          <w:tcPr>
            <w:tcW w:type="dxa" w:w="1559"/>
          </w:tcPr>
          <w:p>
            <w:r>
              <w:rPr>
                <w:sz w:val="20"/>
              </w:rPr>
              <w:t>Actif</w:t>
            </w:r>
          </w:p>
        </w:tc>
      </w:tr>
      <w:tr>
        <w:tc>
          <w:tcPr>
            <w:tcW w:type="dxa" w:w="1559"/>
          </w:tcPr>
          <w:p>
            <w:r>
              <w:rPr>
                <w:sz w:val="20"/>
              </w:rPr>
              <w:t>CELLCEPT</w:t>
            </w:r>
          </w:p>
        </w:tc>
        <w:tc>
          <w:tcPr>
            <w:tcW w:type="dxa" w:w="1559"/>
          </w:tcPr>
          <w:p>
            <w:r>
              <w:rPr>
                <w:sz w:val="20"/>
              </w:rPr>
              <w:t>ROCHE PHARMA</w:t>
            </w:r>
          </w:p>
        </w:tc>
        <w:tc>
          <w:tcPr>
            <w:tcW w:type="dxa" w:w="1559"/>
          </w:tcPr>
          <w:p>
            <w:r>
              <w:rPr>
                <w:sz w:val="20"/>
              </w:rPr>
              <w:t>Comprimé 500 mg</w:t>
            </w:r>
          </w:p>
        </w:tc>
        <w:tc>
          <w:tcPr>
            <w:tcW w:type="dxa" w:w="1559"/>
          </w:tcPr>
          <w:p>
            <w:r>
              <w:rPr>
                <w:sz w:val="20"/>
              </w:rPr>
              <w:t>B/50</w:t>
            </w:r>
          </w:p>
        </w:tc>
        <w:tc>
          <w:tcPr>
            <w:tcW w:type="dxa" w:w="1559"/>
          </w:tcPr>
          <w:p>
            <w:r>
              <w:rPr>
                <w:sz w:val="20"/>
              </w:rPr>
              <w:t>Liste I</w:t>
            </w:r>
          </w:p>
        </w:tc>
        <w:tc>
          <w:tcPr>
            <w:tcW w:type="dxa" w:w="1559"/>
          </w:tcPr>
          <w:p>
            <w:r>
              <w:rPr>
                <w:sz w:val="20"/>
              </w:rPr>
              <w:t>Retrait (R)</w:t>
            </w:r>
          </w:p>
        </w:tc>
      </w:tr>
    </w:tbl>
    <w:p/>
    <w:p>
      <w:r>
        <w:t>Le marché algérien du mycophénolate mofétil est dominé par deux génériques : MMF (Inpha-Medis), disponible en comprimés pelliculés à 500 mg en conditionnement B/56, et Phenocept (El Kendi, laboratoire algérien), en comprimés pelliculés à 500 mg en conditionnement B/100. Le princeps Cellcept (Roche Pharma) est retiré du marché algérien dans tous ses conditionnements. Aucune solution buvable (Cellcept suspension buvable 200 mg/mL) ni forme à libération prolongée (Myfortic 180 mg et 360 mg gastro-résistante) n'est disponible en Algérie, ce qui peut poser problème en période péri-opératoire (patient à jeun, sonde naso-gastrique) et chez l'enfant (les doses pédiatriques nécessitent une adaptation par écrasement des comprimés, qui peut modifier la biodisponibilité).</w:t>
      </w:r>
    </w:p>
    <w:p>
      <w:pPr>
        <w:pStyle w:val="Heading4"/>
      </w:pPr>
      <w:r>
        <w:t>171.3.1.3 Mécanisme d'action moléculaire, cellulaire et physiologique</w:t>
      </w:r>
    </w:p>
    <w:p>
      <w:r>
        <w:t xml:space="preserve">Le mycophénolate mofétil est une prodrogue, biologiquement inactive, qui est hydrolysée en acide mycophénolique (MPA), composé actif. Le MPA a été isolé en 1896 comme métabolite de </w:t>
      </w:r>
      <w:r>
        <w:rPr>
          <w:i/>
        </w:rPr>
        <w:t>Penicillium brevicompactum</w:t>
      </w:r>
      <w:r>
        <w:t xml:space="preserve"> et </w:t>
      </w:r>
      <w:r>
        <w:rPr>
          <w:i/>
        </w:rPr>
        <w:t>Penicillium stoloniferum</w:t>
      </w:r>
      <w:r>
        <w:t>, et initialement décrit comme antibiotique. Ce n'est qu'en 1990 que Syntex (devenu Roche) a développé le MMF (prodrogue) comme immunosuppresseur, après la découverte de l'activité anti-lymphocytaire du MPA par Allison en 1975 (inhibition sélective de l'IMPDH).</w:t>
      </w:r>
    </w:p>
    <w:p>
      <w:r/>
      <w:r>
        <w:rPr>
          <w:b/>
        </w:rPr>
        <w:t>Niveau moléculaire — conversion en MPA</w:t>
      </w:r>
      <w:r>
        <w:t xml:space="preserve"> : le mycophénolate mofétil est un ester morpholino-éthylque du MPA. La prodrogue est hydrolysée par les estérases hépatiques, plasmatiques et tissulaires (principalement la carboxylestérase 1, CES1) en acide mycophénolique (MPA), composé actif. La conversion est quasi-immédiate (pic de MPA à 1 heure), avec une biodisponibilité absolue de 94 %.</w:t>
      </w:r>
    </w:p>
    <w:p>
      <w:r/>
      <w:r>
        <w:rPr>
          <w:b/>
        </w:rPr>
        <w:t>Niveau enzymatique — inhibition de l'IMPDH</w:t>
      </w:r>
      <w:r>
        <w:t xml:space="preserve"> : le MPA se lie de manière non compétitive et réversible à l'inosine monophosphate déshydrogénase (IMPDH, EC 1.1.1.205), enzyme catalysant l'oxydation de l'inosine monophosphate (IMP) en xanthosine monophosphate (XMP), étape limitante de la synthèse </w:t>
      </w:r>
      <w:r>
        <w:rPr>
          <w:i/>
        </w:rPr>
        <w:t>de novo</w:t>
      </w:r>
      <w:r>
        <w:t xml:space="preserve"> des nucléotides puriques (GMP). L'IMPDH existe sous deux isoformes : IMPDH type I (constitutive, exprimée dans la plupart des cellules) et IMPDH type II (inductible, exprimée préférentiellement dans les lymphocytes T et B activés). Le MPA inhibe préférentiellement l'IMPDH type II (Ki 0,01 µM vs 0,1 µM pour l'IMPDH type I), ce qui explique sa sélectivité pour les lymphocytes activés.</w:t>
      </w:r>
    </w:p>
    <w:p>
      <w:r/>
      <w:r>
        <w:rPr>
          <w:b/>
        </w:rPr>
        <w:t>Niveau métabolique — carence en GTP/dGTP</w:t>
      </w:r>
      <w:r>
        <w:t xml:space="preserve"> : la conséquence directe de l'inhibition de l'IMPDH est une carence en guanosine triphosphate (GTP) et désoxyguanosine triphosphate (dGTP), nucléotides nécessaires à la synthèse d'ARN et d'ADN. Les cellules qui peuvent utiliser la voie de récupération Salvage (via l'hypoxanthine-guanine phosphoribosyltransférase, HGPRT) compensent cette carence en récupérant les bases puriques libres (guanine, hypoxanthine) des tissus. Les lymphocytes T et B activés manquent d'une activité HGPRT significative et dépendent quasi-exclusivement de la synthèse </w:t>
      </w:r>
      <w:r>
        <w:rPr>
          <w:i/>
        </w:rPr>
        <w:t>de novo</w:t>
      </w:r>
      <w:r>
        <w:t xml:space="preserve"> — ils sont donc particulièrement sensibles à l'inhibition de l'IMPDH.</w:t>
      </w:r>
    </w:p>
    <w:p>
      <w:r/>
      <w:r>
        <w:rPr>
          <w:b/>
        </w:rPr>
        <w:t>Niveau cellulaire — blocage de la prolifération lymphocytaire T et B</w:t>
      </w:r>
      <w:r>
        <w:t xml:space="preserve"> : le MPA bloque la prolifération des lymphocytes T activés (en phase S du cycle cellulaire) et des lymphocytes B (synthèse d'anticorps thymo-dépendants et thymo-indépendants). Effet cytostatique (pas cytotoxique), réversible à l'arrêt. Effet anti-B notable : diminution de la production d'anticorps anti-HLA, utile dans la prévention du rejet humoral.</w:t>
      </w:r>
    </w:p>
    <w:p>
      <w:r/>
      <w:r>
        <w:rPr>
          <w:b/>
        </w:rPr>
        <w:t>Niveau physiologique — immunosuppression lympho-spécifique</w:t>
      </w:r>
      <w:r>
        <w:t xml:space="preserve"> : le MPA n'altère pas l'activation initiale du TCR (production d'IL-2), mais bloque la prolifération clonale. Le MPA préserve l'immunité innée (neutrophiles, macrophages, NK) et l'hématopoïèse (à l'exception d'une leucopénie lympho-spécifique). Effet additif avec les ICN (qui réduisent la production d'IL-2) et les inhibiteurs de mTOR (qui bloquent la réponse à l'IL-2) — d'où l'efficacité de la trithérapie ICN + MMF + corticoïde.</w:t>
      </w:r>
    </w:p>
    <w:p>
      <w:r/>
      <w:r>
        <w:rPr>
          <w:b/>
        </w:rPr>
        <w:t>Niveau pharmacodynamique supplémentaire</w:t>
      </w:r>
      <w:r>
        <w:t xml:space="preserve"> : le MPA inhibe également la synthèse des glycosylations des protéines de surface (en diminuant la disponibilité du GDP-fucose et du GDP-mannose), réduisant l'expression des molécules d'adhésion (ICAM-1, VCAM-1) et des récepteurs de surface (CD11b, CD18) sur les leucocytes. Cet effet contribue à l'effet immunosuppresseur en réduisant le recrutement des leucocytes au site du greffon.</w:t>
      </w:r>
    </w:p>
    <w:p>
      <w:r>
        <w:t>Le délai d'action est rapide (inhibition en quelques heures après la prise), mais l'effet immunosuppresseur clinique complet nécessite 3-7 jours d'imprégnation tissulaire. Aucun effet myélosuppressif global n'est observé (à la différence des alkylants type cyclophosphamide), mais une leucopénie lympho-spécifique est possible.</w:t>
      </w:r>
    </w:p>
    <w:p>
      <w:pPr>
        <w:pStyle w:val="Heading4"/>
      </w:pPr>
      <w:r>
        <w:t>171.3.1.4 Pharmacocinétique (profil PK)</w:t>
      </w:r>
    </w:p>
    <w:p>
      <w:r/>
      <w:r>
        <w:rPr>
          <w:b/>
        </w:rPr>
        <w:t>Absorption</w:t>
      </w:r>
      <w:r>
        <w:t xml:space="preserve"> : le mycophénolate mofétil est administré par voie orale (comprimé pelliculé, gélule, suspension buvable). L'absorption orale est rapide et complète : biodisponibilité absolue du MMF est de 94 % (en raison de la conversion pré-systémique hépatique en MPA). Le pic plasmatique de MPA (Cmax) est atteint en 0,5 à 1,5 heure. La prise avec un repas riche en graisses n'a pas d'effet significatif sur l'AUC, mais peut retarder le pic de 1-2 heures (recommandation : prise à heure fixe par rapport aux repas).</w:t>
      </w:r>
    </w:p>
    <w:p>
      <w:r/>
      <w:r>
        <w:rPr>
          <w:b/>
        </w:rPr>
        <w:t>Distribution</w:t>
      </w:r>
      <w:r>
        <w:t xml:space="preserve"> : volume de distribution à l'équilibre de 3 à 5 L/kg. Le MPA est fortement lié à l'albumine plasmatique (97 %), ce qui explique la nécessité d'adapter la posologie en cas d'hypoalbuminémie sévère (&lt; 30 g/L, augmentation de la fraction libre et risque de toxicité). La pénétration dans le LCR est faible (1-2 % de la concentration plasmatique). Le MPA traverse le placenta (rapport fœto-maternel 0,3-0,5) et passe dans le lait maternel (concentration très faible, &lt; 1 % de la concentration maternelle).</w:t>
      </w:r>
    </w:p>
    <w:p>
      <w:r/>
      <w:r>
        <w:rPr>
          <w:b/>
        </w:rPr>
        <w:t>Métabolisme</w:t>
      </w:r>
      <w:r>
        <w:t xml:space="preserve"> : le MPA est métabolisé par glucuro-conjugaison hépatique par les UGT (uridine diphosphate glucuronosyltransférases), principalement UGT1A9 et UGT2B7, en acide mycophénolique glucuronide (MPAG, inactif, 90 % des métabolites) et en acyl-glucuronide (AcMPAG, métabolite actif potentiellement toxique, 5-10 %). Le MPAG est excrété dans la bile, où il est déconjugué par la flore intestinale (β-glucuronidases bactériennes), libérant à nouveau le MPA qui est réabsorbé — c'est le cycle entéro-hépatique. Ce cycle est responsable d'un second pic plasmatique de MPA à 6-12 heures après la prise, et contribue à environ 30-40 % de l'exposition totale au MPA (AUC0-12h).</w:t>
      </w:r>
    </w:p>
    <w:p>
      <w:r/>
      <w:r>
        <w:rPr>
          <w:b/>
        </w:rPr>
        <w:t>Élimination</w:t>
      </w:r>
      <w:r>
        <w:t xml:space="preserve"> : principalement rénale (87 %) sous forme de MPAG inactif, et biliaire (13 %). Seulement 1 % est éliminé sous forme de MPA inchangé dans les urines. La demi-vie d'élimination terminale du MPA est de 8-18 heures (moyenne 12-17 heures), allongée en cas d'insuffisance hépatique sévère. La clairance totale est de 8 à 12 L/h/kg.</w:t>
      </w:r>
    </w:p>
    <w:p>
      <w:r/>
      <w:r>
        <w:rPr>
          <w:b/>
        </w:rPr>
        <w:t>Linéarité</w:t>
      </w:r>
      <w:r>
        <w:t xml:space="preserve"> : la pharmacocinétique est linéaire dans la fourchette thérapeutique (1-3 g/jour). Cependant, l'AUC du MPA est variable inter-individuelle (coefficient de variation 30-50 %), ce qui justifie le STP dans certains protocoles.</w:t>
      </w:r>
    </w:p>
    <w:p>
      <w:r/>
      <w:r>
        <w:rPr>
          <w:b/>
        </w:rPr>
        <w:t>Suivi thérapeutique pharmacologique (STP)</w:t>
      </w:r>
      <w:r>
        <w:t xml:space="preserve"> : non systématique en transplantation (la corrélation AUC-efficacité/toxicité est moins bien établie que pour les ICN), mais réalisé dans certains protocoles de transplantation rénale et hépatique. Les cibles AUC0-12h sont :</w:t>
      </w:r>
    </w:p>
    <w:p>
      <w:pPr>
        <w:pStyle w:val="ListBullet"/>
      </w:pPr>
      <w:r>
        <w:t>Transplantation rénale : 30-60 mg·h/L.</w:t>
      </w:r>
    </w:p>
    <w:p>
      <w:pPr>
        <w:pStyle w:val="ListBullet"/>
      </w:pPr>
      <w:r>
        <w:t>Transplantation hépatique : 30-60 mg·h/L.</w:t>
      </w:r>
    </w:p>
    <w:p>
      <w:pPr>
        <w:pStyle w:val="ListBullet"/>
      </w:pPr>
      <w:r>
        <w:t>Transplantation cardiaque : 30-60 mg·h/L.</w:t>
      </w:r>
    </w:p>
    <w:p>
      <w:pPr>
        <w:pStyle w:val="ListBullet"/>
      </w:pPr>
      <w:r>
        <w:t>Lupus : 30-45 mg·h/L.</w:t>
      </w:r>
    </w:p>
    <w:p>
      <w:r>
        <w:t>Le STP par C0 est moins fiable (corrélation C0-AUC modeste, r² = 0,5), mais la cible C0 est de 1-3,5 mg/L en transplantation rénale.</w:t>
      </w:r>
    </w:p>
    <w:p>
      <w:r/>
      <w:r>
        <w:rPr>
          <w:b/>
        </w:rPr>
        <w:t>Adaptation posologique</w:t>
      </w:r>
      <w:r>
        <w:t xml:space="preserve"> :</w:t>
      </w:r>
    </w:p>
    <w:p>
      <w:pPr>
        <w:pStyle w:val="ListBullet"/>
      </w:pPr>
      <w:r>
        <w:t>Insuffisance rénale sévère (DFG &lt; 25 mL/min) : éviter les doses &gt; 1 g × 2/jour (accumulation de MPAG, risque accru d'infection et de leucopénie).</w:t>
      </w:r>
    </w:p>
    <w:p>
      <w:pPr>
        <w:pStyle w:val="ListBullet"/>
      </w:pPr>
      <w:r>
        <w:t>Insuffisance hépatique : pas d'adaptation systématique (la conversion prodrogue-MPA est préservée), mais surveillance accrue.</w:t>
      </w:r>
    </w:p>
    <w:p>
      <w:pPr>
        <w:pStyle w:val="ListBullet"/>
      </w:pPr>
      <w:r>
        <w:t>Sujet âgé : pas d'adaptation systématique mais surveillance accrue.</w:t>
      </w:r>
    </w:p>
    <w:p>
      <w:pPr>
        <w:pStyle w:val="ListBullet"/>
      </w:pPr>
      <w:r>
        <w:t>Enfant : adaptation selon la surface corporelle (600 mg/m² × 2/jour, sans dépasser 1 g × 2/jour).</w:t>
      </w:r>
    </w:p>
    <w:p>
      <w:pPr>
        <w:pStyle w:val="Heading4"/>
      </w:pPr>
      <w:r>
        <w:t>171.3.1.5 Indications thérapeutiques</w:t>
      </w:r>
    </w:p>
    <w:p>
      <w:pPr>
        <w:pStyle w:val="ListNumber"/>
      </w:pPr>
      <w:r/>
      <w:r>
        <w:rPr>
          <w:b/>
        </w:rPr>
        <w:t>Transplantation rénale</w:t>
      </w:r>
      <w:r>
        <w:t xml:space="preserve"> : prévention du rejet de greffe en association avec un ICN (tacrolimus ou ciclosporine) et un corticoïde (trithérapie d'entretien). Posologie initiale 1 g × 2/jour (2 g/jour), en débutant 12 heures avant la greffe. AMM. Alternative à l'azathioprine, supériorité démontrée (réduction du rejet aigu de 30-50 %).</w:t>
      </w:r>
    </w:p>
    <w:p>
      <w:pPr>
        <w:pStyle w:val="ListNumber"/>
      </w:pPr>
      <w:r/>
      <w:r>
        <w:rPr>
          <w:b/>
        </w:rPr>
        <w:t>Transplantation hépatique</w:t>
      </w:r>
      <w:r>
        <w:t xml:space="preserve"> : prévention du rejet de greffe en association avec un ICN et un corticoïde. Posologie initiale 1 g × 2/jour (ou 0,5 g × 2/jour en cas de leucopénie ou d'insuffisance hépatique sévère, en raison de la clairance accrue du MPA en post-greffe hépatique immédiate). AMM.</w:t>
      </w:r>
    </w:p>
    <w:p>
      <w:pPr>
        <w:pStyle w:val="ListNumber"/>
      </w:pPr>
      <w:r/>
      <w:r>
        <w:rPr>
          <w:b/>
        </w:rPr>
        <w:t>Transplantation cardiaque</w:t>
      </w:r>
      <w:r>
        <w:t xml:space="preserve"> : prévention du rejet de greffe. Posologie 1,5 g × 2/jour (3 g/jour — dose supérieure en raison de la clairance accrue). AMM.</w:t>
      </w:r>
    </w:p>
    <w:p>
      <w:pPr>
        <w:pStyle w:val="ListNumber"/>
      </w:pPr>
      <w:r/>
      <w:r>
        <w:rPr>
          <w:b/>
        </w:rPr>
        <w:t>Transplantation pulmonaire</w:t>
      </w:r>
      <w:r>
        <w:t xml:space="preserve"> : prévention du rejet de greffe. Posologie 1 g × 2/jour. Hors AMM (en cours d'évaluation).</w:t>
      </w:r>
    </w:p>
    <w:p>
      <w:pPr>
        <w:pStyle w:val="ListNumber"/>
      </w:pPr>
      <w:r/>
      <w:r>
        <w:rPr>
          <w:b/>
        </w:rPr>
        <w:t>Lupus érythémateux disséminé</w:t>
      </w:r>
      <w:r>
        <w:t xml:space="preserve"> : traitement de la néphropathie lupique (classe IV ISN/RPS) en protocole d'induction (2-3 g/jour pendant 6 mois, en association avec les corticoïdes) et d'entretien (1-2 g/jour pendant 12-36 mois). Hors AMM en France (mais AMM européenne en cours d'évaluation). Alternative au cyclophosphamide en induction, supériorité démontrée en termes de tolérance (moindre toxicité gonadique et hématologique).</w:t>
      </w:r>
    </w:p>
    <w:p>
      <w:pPr>
        <w:pStyle w:val="ListNumber"/>
      </w:pPr>
      <w:r/>
      <w:r>
        <w:rPr>
          <w:b/>
        </w:rPr>
        <w:t>Néphropathie à IgA</w:t>
      </w:r>
      <w:r>
        <w:t xml:space="preserve"> : traitement de la néphropathie proliferative (Henoch-Schönlein purpura, glomérulonéphrite à IgA progressive) en protocole d'induction et d'entretien. Hors AMM. KDIGO 2024 : alternative à la ciclosporine en cas de protéinurie persistante &gt; 1 g/24h malgré traitement optimal.</w:t>
      </w:r>
    </w:p>
    <w:p>
      <w:pPr>
        <w:pStyle w:val="ListNumber"/>
      </w:pPr>
      <w:r/>
      <w:r>
        <w:rPr>
          <w:b/>
        </w:rPr>
        <w:t>Vascularite à ANCA</w:t>
      </w:r>
      <w:r>
        <w:t xml:space="preserve"> : traitement d'induction (en association avec les corticoïdes, alternative au cyclophosphamide en cas de contre-indication à ce dernier) et d'entretien (relais du cyclophosphamide à 3-6 mois). Hors AMM.</w:t>
      </w:r>
    </w:p>
    <w:p>
      <w:pPr>
        <w:pStyle w:val="ListNumber"/>
      </w:pPr>
      <w:r/>
      <w:r>
        <w:rPr>
          <w:b/>
        </w:rPr>
        <w:t>Maladies auto-immunes bulleuses</w:t>
      </w:r>
      <w:r>
        <w:t xml:space="preserve"> : pemphigus vulgaire, pemphigoïde bulleuse, en association avec les corticoïdes (effet d'épargne cortisonique). Hors AMM.</w:t>
      </w:r>
    </w:p>
    <w:p>
      <w:pPr>
        <w:pStyle w:val="ListNumber"/>
      </w:pPr>
      <w:r/>
      <w:r>
        <w:rPr>
          <w:b/>
        </w:rPr>
        <w:t>Myasthénie autoimmune</w:t>
      </w:r>
      <w:r>
        <w:t xml:space="preserve"> : traitement d'entretien, en association avec les corticoïdes et les anticholinestérasiques. Hors AMM.</w:t>
      </w:r>
    </w:p>
    <w:p>
      <w:pPr>
        <w:pStyle w:val="ListNumber"/>
      </w:pPr>
      <w:r/>
      <w:r>
        <w:rPr>
          <w:b/>
        </w:rPr>
        <w:t>Uvéite auto-immune</w:t>
      </w:r>
      <w:r>
        <w:t xml:space="preserve"> : traitement des uvéites non infectieuses chroniques, en alternative aux anticorps anti-TNF. Hors AMM.</w:t>
      </w:r>
    </w:p>
    <w:p>
      <w:pPr>
        <w:pStyle w:val="ListNumber"/>
      </w:pPr>
      <w:r/>
      <w:r>
        <w:rPr>
          <w:b/>
        </w:rPr>
        <w:t>Syndrome néphrotique corticorésistant ou corticodépendant</w:t>
      </w:r>
      <w:r>
        <w:t xml:space="preserve"> : alternative à la ciclosporine ou au tacrolimus. Hors AMM.</w:t>
      </w:r>
    </w:p>
    <w:p>
      <w:pPr>
        <w:pStyle w:val="Heading4"/>
      </w:pPr>
      <w:r>
        <w:t>171.3.1.6 Posologie et mode d'administration</w:t>
      </w:r>
    </w:p>
    <w:p>
      <w:r/>
      <w:r>
        <w:rPr>
          <w:b/>
        </w:rPr>
        <w:t>Transplantation d'organe (voie orale)</w:t>
      </w:r>
      <w:r>
        <w:t xml:space="preserve"> :</w:t>
      </w:r>
    </w:p>
    <w:p>
      <w:pPr>
        <w:pStyle w:val="ListBullet"/>
      </w:pPr>
      <w:r>
        <w:t>Dose initiale en transplantation rénale : 1 g × 2/jour (2 g/jour), à débuter 12 heures avant la greffe (ou en peropératoire).</w:t>
      </w:r>
    </w:p>
    <w:p>
      <w:pPr>
        <w:pStyle w:val="ListBullet"/>
      </w:pPr>
      <w:r>
        <w:t>Dose initiale en transplantation hépatique : 1 g × 2/jour (ou 0,5 g × 2/jour en cas de leucopénie ou d'insuffisance hépatique sévère).</w:t>
      </w:r>
    </w:p>
    <w:p>
      <w:pPr>
        <w:pStyle w:val="ListBullet"/>
      </w:pPr>
      <w:r>
        <w:t>Dose initiale en transplantation cardiaque : 1,5 g × 2/jour (3 g/jour).</w:t>
      </w:r>
    </w:p>
    <w:p>
      <w:pPr>
        <w:pStyle w:val="ListBullet"/>
      </w:pPr>
      <w:r>
        <w:t>Adaptation posologique en cas de leucopénie (PNN &lt; 1500/mm³) : réduction de 50 %, arrêt transitoire si PNN &lt; 1000/mm³.</w:t>
      </w:r>
    </w:p>
    <w:p>
      <w:pPr>
        <w:pStyle w:val="ListBullet"/>
      </w:pPr>
      <w:r>
        <w:t>Adaptation en cas d'insuffisance rénale sévère (DFG &lt; 25 mL/min) : éviter les doses &gt; 1 g × 2/jour.</w:t>
      </w:r>
    </w:p>
    <w:p>
      <w:pPr>
        <w:pStyle w:val="ListBullet"/>
      </w:pPr>
      <w:r>
        <w:t>Prise à heure fixe (par exemple 8 h et 20 h), à 12 heures d'intervalle, à jeun ou au cours d'un repas (prise à heure fixe par rapport aux repas pour limiter la variabilité d'absorption).</w:t>
      </w:r>
    </w:p>
    <w:p>
      <w:r/>
      <w:r>
        <w:rPr>
          <w:b/>
        </w:rPr>
        <w:t>Lupus érythémateux disséminé</w:t>
      </w:r>
      <w:r>
        <w:t xml:space="preserve"> :</w:t>
      </w:r>
    </w:p>
    <w:p>
      <w:pPr>
        <w:pStyle w:val="ListBullet"/>
      </w:pPr>
      <w:r>
        <w:t>Induction : 2-3 g/jour en deux prises pendant 6 mois, en association avec les corticoïdes (prednisone 0,5-1 mg/kg/jour en décroissance).</w:t>
      </w:r>
    </w:p>
    <w:p>
      <w:pPr>
        <w:pStyle w:val="ListBullet"/>
      </w:pPr>
      <w:r>
        <w:t>Entretien : 1-2 g/jour en deux prises pendant 12-36 mois.</w:t>
      </w:r>
    </w:p>
    <w:p>
      <w:pPr>
        <w:pStyle w:val="ListBullet"/>
      </w:pPr>
      <w:r>
        <w:t>Surveillance : NFS mensuelle (leucopénie), protéinurie/24h mensuelle, anticorps anti-DNA, complément C3/C4 trimestriels.</w:t>
      </w:r>
    </w:p>
    <w:p>
      <w:r/>
      <w:r>
        <w:rPr>
          <w:b/>
        </w:rPr>
        <w:t>Néphropathie à IgA</w:t>
      </w:r>
      <w:r>
        <w:t xml:space="preserve"> :</w:t>
      </w:r>
    </w:p>
    <w:p>
      <w:pPr>
        <w:pStyle w:val="ListBullet"/>
      </w:pPr>
      <w:r>
        <w:t>1-2 g/jour en deux prises pendant 6-12 mois (protocole à adapter selon la sévérité).</w:t>
      </w:r>
    </w:p>
    <w:p>
      <w:r/>
      <w:r>
        <w:rPr>
          <w:b/>
        </w:rPr>
        <w:t>Vascularite à ANCA</w:t>
      </w:r>
      <w:r>
        <w:t xml:space="preserve"> :</w:t>
      </w:r>
    </w:p>
    <w:p>
      <w:pPr>
        <w:pStyle w:val="ListBullet"/>
      </w:pPr>
      <w:r>
        <w:t>Induction : 2 g/jour en deux prises pendant 3-6 mois.</w:t>
      </w:r>
    </w:p>
    <w:p>
      <w:pPr>
        <w:pStyle w:val="ListBullet"/>
      </w:pPr>
      <w:r>
        <w:t>Entretien : 1-2 g/jour en deux prises pendant 12-24 mois.</w:t>
      </w:r>
    </w:p>
    <w:p>
      <w:r/>
      <w:r>
        <w:rPr>
          <w:b/>
        </w:rPr>
        <w:t>Maladies auto-immunes bulleuses, myasthénie, uvéite</w:t>
      </w:r>
      <w:r>
        <w:t xml:space="preserve"> :</w:t>
      </w:r>
    </w:p>
    <w:p>
      <w:pPr>
        <w:pStyle w:val="ListBullet"/>
      </w:pPr>
      <w:r>
        <w:t>2 g/jour en deux prises (dose d'attaque), 1 g/jour en entretien.</w:t>
      </w:r>
    </w:p>
    <w:p>
      <w:r/>
      <w:r>
        <w:rPr>
          <w:b/>
        </w:rPr>
        <w:t>Adaptations posologiques</w:t>
      </w:r>
      <w:r>
        <w:t xml:space="preserve"> :</w:t>
      </w:r>
    </w:p>
    <w:p>
      <w:pPr>
        <w:pStyle w:val="ListBullet"/>
      </w:pPr>
      <w:r>
        <w:t>Insuffisance rénale sévère (DFG &lt; 25 mL/min) : éviter les doses &gt; 1 g × 2/jour.</w:t>
      </w:r>
    </w:p>
    <w:p>
      <w:pPr>
        <w:pStyle w:val="ListBullet"/>
      </w:pPr>
      <w:r>
        <w:t>Insuffisance hépatique : pas d'adaptation systématique.</w:t>
      </w:r>
    </w:p>
    <w:p>
      <w:pPr>
        <w:pStyle w:val="ListBullet"/>
      </w:pPr>
      <w:r>
        <w:t>Sujet âgé : pas d'adaptation systématique mais surveillance accrue.</w:t>
      </w:r>
    </w:p>
    <w:p>
      <w:pPr>
        <w:pStyle w:val="ListBullet"/>
      </w:pPr>
      <w:r>
        <w:t>Enfant : 600 mg/m² × 2/jour (sans dépasser 1 g × 2/jour).</w:t>
      </w:r>
    </w:p>
    <w:p>
      <w:pPr>
        <w:pStyle w:val="ListBullet"/>
      </w:pPr>
      <w:r>
        <w:t>Hypoalbuminémie sévère (&lt; 30 g/L) : adaptation prudente (augmentation de la fraction libre).</w:t>
      </w:r>
    </w:p>
    <w:p>
      <w:r/>
      <w:r>
        <w:rPr>
          <w:b/>
        </w:rPr>
        <w:t>Règle d'or de prise</w:t>
      </w:r>
      <w:r>
        <w:t xml:space="preserve"> : prendre à heure fixe (H0 et H12), à distance des anti-acides et chélateurs phosphorés (espacer d'au moins 2 heures), ne jamais interrompre brutalement (risque de rejet aigu ou de rechute de la maladie autoimmune).</w:t>
      </w:r>
    </w:p>
    <w:p>
      <w:pPr>
        <w:pStyle w:val="Heading4"/>
      </w:pPr>
      <w:r>
        <w:t>171.3.1.7 Effets indésirables et prévention</w:t>
      </w:r>
    </w:p>
    <w:p>
      <w:r/>
      <w:r>
        <w:rPr>
          <w:b/>
        </w:rPr>
        <w:t>Effets indésirables fréquents (&gt; 10 %)</w:t>
      </w:r>
      <w:r>
        <w:t xml:space="preserve"> :</w:t>
      </w:r>
    </w:p>
    <w:p>
      <w:pPr>
        <w:pStyle w:val="ListBullet"/>
      </w:pPr>
      <w:r/>
      <w:r>
        <w:rPr>
          <w:b/>
        </w:rPr>
        <w:t>Effets gastro-intestinaux</w:t>
      </w:r>
      <w:r>
        <w:t xml:space="preserve"> : 30-40 % des patients. Diarrhée (20-30 %), nausées (15-25 %), vomissements (10-15 %), douleurs abdominales (10-15 %), dyspepsie (10-15 %). Mécanisme : toxicité directe de l'acyl-glucuronide (AcMPAG) sur l'épithélium intestinal, atrophie villositaire partielle. Prévention : prise pendant ou après le repas, fractionnement de la dose (1 g × 2/jour plutôt que 2 g en une prise), antiémétiques si nécessaire. Dans les formes sévères, réduction de dose ou passage à la forme à libération prolongée (Myfortic — non disponible en Algérie).</w:t>
      </w:r>
    </w:p>
    <w:p>
      <w:pPr>
        <w:pStyle w:val="ListBullet"/>
      </w:pPr>
      <w:r/>
      <w:r>
        <w:rPr>
          <w:b/>
        </w:rPr>
        <w:t>Leucopénie</w:t>
      </w:r>
      <w:r>
        <w:t xml:space="preserve"> : 20-35 %. Mécanisme : inhibition de la prolifération des précurseurs myéloïdes (IMPDH type I résiduelle). Surveillance : NFS hebdomadaire le 1er mois, puis mensuelle. Prévention : adapter la dose en fonction de la NFS. En cas de PNN &lt; 1500/mm³, réduction de 50 %. En cas de PNN &lt; 1000/mm³, arrêt transitoire.</w:t>
      </w:r>
    </w:p>
    <w:p>
      <w:pPr>
        <w:pStyle w:val="ListBullet"/>
      </w:pPr>
      <w:r/>
      <w:r>
        <w:rPr>
          <w:b/>
        </w:rPr>
        <w:t>Anémie</w:t>
      </w:r>
      <w:r>
        <w:t xml:space="preserve"> : 15-25 %. Surveillance : NFS mensuelle.</w:t>
      </w:r>
    </w:p>
    <w:p>
      <w:pPr>
        <w:pStyle w:val="ListBullet"/>
      </w:pPr>
      <w:r/>
      <w:r>
        <w:rPr>
          <w:b/>
        </w:rPr>
        <w:t>Thrombopénie</w:t>
      </w:r>
      <w:r>
        <w:t xml:space="preserve"> : 5-15 %. Surveillance : NFS plaquettaire.</w:t>
      </w:r>
    </w:p>
    <w:p>
      <w:pPr>
        <w:pStyle w:val="ListBullet"/>
      </w:pPr>
      <w:r/>
      <w:r>
        <w:rPr>
          <w:b/>
        </w:rPr>
        <w:t>Infections opportunistes</w:t>
      </w:r>
      <w:r>
        <w:t xml:space="preserve"> : 30-40 %. CMV (prophylaxie valganciclovir 3-6 mois), herpès virus, candidose, aspergillose, Pneumocystis jirovecii (prophylaxie cotrimoxazole 6 mois), BK virus. Surveillance : clinique, PCR CMV mensuelle le 1er trimestre.</w:t>
      </w:r>
    </w:p>
    <w:p>
      <w:pPr>
        <w:pStyle w:val="ListBullet"/>
      </w:pPr>
      <w:r/>
      <w:r>
        <w:rPr>
          <w:b/>
        </w:rPr>
        <w:t>Hyperkaliémie</w:t>
      </w:r>
      <w:r>
        <w:t xml:space="preserve"> : 10-20 % (potentielisation par les ICN associés).</w:t>
      </w:r>
    </w:p>
    <w:p>
      <w:pPr>
        <w:pStyle w:val="ListBullet"/>
      </w:pPr>
      <w:r/>
      <w:r>
        <w:rPr>
          <w:b/>
        </w:rPr>
        <w:t>Hypertension artérielle</w:t>
      </w:r>
      <w:r>
        <w:t xml:space="preserve"> : 15-25 % (potentielisation par les ICN).</w:t>
      </w:r>
    </w:p>
    <w:p>
      <w:pPr>
        <w:pStyle w:val="ListBullet"/>
      </w:pPr>
      <w:r/>
      <w:r>
        <w:rPr>
          <w:b/>
        </w:rPr>
        <w:t>Céphalées</w:t>
      </w:r>
      <w:r>
        <w:t xml:space="preserve"> : 10-20 %.</w:t>
      </w:r>
    </w:p>
    <w:p>
      <w:pPr>
        <w:pStyle w:val="ListBullet"/>
      </w:pPr>
      <w:r/>
      <w:r>
        <w:rPr>
          <w:b/>
        </w:rPr>
        <w:t>Insomnie</w:t>
      </w:r>
      <w:r>
        <w:t xml:space="preserve"> : 10-20 %.</w:t>
      </w:r>
    </w:p>
    <w:p>
      <w:pPr>
        <w:pStyle w:val="ListBullet"/>
      </w:pPr>
      <w:r/>
      <w:r>
        <w:rPr>
          <w:b/>
        </w:rPr>
        <w:t>Rash cutané, acné</w:t>
      </w:r>
      <w:r>
        <w:t xml:space="preserve"> : 10-15 %.</w:t>
      </w:r>
    </w:p>
    <w:p>
      <w:pPr>
        <w:pStyle w:val="ListBullet"/>
      </w:pPr>
      <w:r/>
      <w:r>
        <w:rPr>
          <w:b/>
        </w:rPr>
        <w:t>Alopécie</w:t>
      </w:r>
      <w:r>
        <w:t xml:space="preserve"> : 5-15 %.</w:t>
      </w:r>
    </w:p>
    <w:p>
      <w:pPr>
        <w:pStyle w:val="ListBullet"/>
      </w:pPr>
      <w:r/>
      <w:r>
        <w:rPr>
          <w:b/>
        </w:rPr>
        <w:t>Œdèmes des membres inférieurs</w:t>
      </w:r>
      <w:r>
        <w:t xml:space="preserve"> : 5-15 %.</w:t>
      </w:r>
    </w:p>
    <w:p>
      <w:pPr>
        <w:pStyle w:val="ListBullet"/>
      </w:pPr>
      <w:r/>
      <w:r>
        <w:rPr>
          <w:b/>
        </w:rPr>
        <w:t>Hyperuricémie</w:t>
      </w:r>
      <w:r>
        <w:t xml:space="preserve"> : 10-15 %.</w:t>
      </w:r>
    </w:p>
    <w:p>
      <w:pPr>
        <w:pStyle w:val="ListBullet"/>
      </w:pPr>
      <w:r/>
      <w:r>
        <w:rPr>
          <w:b/>
        </w:rPr>
        <w:t>Hypomagnésémie</w:t>
      </w:r>
      <w:r>
        <w:t xml:space="preserve"> : 5-15 %.</w:t>
      </w:r>
    </w:p>
    <w:p>
      <w:pPr>
        <w:pStyle w:val="ListBullet"/>
      </w:pPr>
      <w:r/>
      <w:r>
        <w:rPr>
          <w:b/>
        </w:rPr>
        <w:t>Hyperglycémie</w:t>
      </w:r>
      <w:r>
        <w:t xml:space="preserve"> : 5-15 % (potentielisation par les ICN et corticoïdes associés).</w:t>
      </w:r>
    </w:p>
    <w:p>
      <w:pPr>
        <w:pStyle w:val="ListBullet"/>
      </w:pPr>
      <w:r/>
      <w:r>
        <w:rPr>
          <w:b/>
        </w:rPr>
        <w:t>Élévation des transaminases</w:t>
      </w:r>
      <w:r>
        <w:t xml:space="preserve"> : 5-15 %.</w:t>
      </w:r>
    </w:p>
    <w:p>
      <w:r/>
      <w:r>
        <w:rPr>
          <w:b/>
        </w:rPr>
        <w:t>Effets indésirables moins fréquents (1-10 %)</w:t>
      </w:r>
      <w:r>
        <w:t xml:space="preserve"> :</w:t>
      </w:r>
    </w:p>
    <w:p>
      <w:pPr>
        <w:pStyle w:val="ListBullet"/>
      </w:pPr>
      <w:r>
        <w:t>Pancréatite aiguë.</w:t>
      </w:r>
    </w:p>
    <w:p>
      <w:pPr>
        <w:pStyle w:val="ListBullet"/>
      </w:pPr>
      <w:r>
        <w:t>Hépatotoxicité sévère.</w:t>
      </w:r>
    </w:p>
    <w:p>
      <w:pPr>
        <w:pStyle w:val="ListBullet"/>
      </w:pPr>
      <w:r>
        <w:t>Pneumopathie interstitielle (rare, mais à évoquer en cas de toux sèche et dyspnée).</w:t>
      </w:r>
    </w:p>
    <w:p>
      <w:pPr>
        <w:pStyle w:val="ListBullet"/>
      </w:pPr>
      <w:r>
        <w:t>Lymphoprolifération EBV-induced (PTLD), surtout en pédiatrie et en cas de surimmunosuppression.</w:t>
      </w:r>
    </w:p>
    <w:p>
      <w:pPr>
        <w:pStyle w:val="ListBullet"/>
      </w:pPr>
      <w:r>
        <w:t>Réaction d'hypersensibilité.</w:t>
      </w:r>
    </w:p>
    <w:p>
      <w:r/>
      <w:r>
        <w:rPr>
          <w:b/>
        </w:rPr>
        <w:t>Effets indésirables rares (&lt; 1 %)</w:t>
      </w:r>
      <w:r>
        <w:t xml:space="preserve"> :</w:t>
      </w:r>
    </w:p>
    <w:p>
      <w:pPr>
        <w:pStyle w:val="ListBullet"/>
      </w:pPr>
      <w:r>
        <w:t>Aplasie médullaire.</w:t>
      </w:r>
    </w:p>
    <w:p>
      <w:pPr>
        <w:pStyle w:val="ListBullet"/>
      </w:pPr>
      <w:r>
        <w:t>Syndrome hémolytique et urémique.</w:t>
      </w:r>
    </w:p>
    <w:p>
      <w:pPr>
        <w:pStyle w:val="ListBullet"/>
      </w:pPr>
      <w:r>
        <w:t>Colite pseudomembraneuse (Clostridium difficile).</w:t>
      </w:r>
    </w:p>
    <w:p>
      <w:pPr>
        <w:pStyle w:val="ListBullet"/>
      </w:pPr>
      <w:r>
        <w:t>Méningite aseptique.</w:t>
      </w:r>
    </w:p>
    <w:p>
      <w:r/>
      <w:r>
        <w:rPr>
          <w:b/>
        </w:rPr>
        <w:t>Effets à long terme</w:t>
      </w:r>
      <w:r>
        <w:t xml:space="preserve"> :</w:t>
      </w:r>
    </w:p>
    <w:p>
      <w:pPr>
        <w:pStyle w:val="ListBullet"/>
      </w:pPr>
      <w:r>
        <w:t>Cancers post-transplantation : incidence augmentée par rapport à la population générale, similaire à celle des ICN. Lymphomes EBV-induced PTLD, carcinomes cutanés, sarcome de Kaposi.</w:t>
      </w:r>
    </w:p>
    <w:p>
      <w:pPr>
        <w:pStyle w:val="ListBullet"/>
      </w:pPr>
      <w:r>
        <w:t>Infections opportunistes chroniques : BK virus (néphropathie à BK virus), JC virus (leucoencéphalopathie multifocale progressive — PML), CMV récurrent.</w:t>
      </w:r>
    </w:p>
    <w:p>
      <w:r/>
      <w:r>
        <w:rPr>
          <w:b/>
        </w:rPr>
        <w:t>Tératogénicité (effet majeur)</w:t>
      </w:r>
      <w:r>
        <w:t xml:space="preserve"> : le mycophénolate mofétil est un tératogène majeur, contre-indiqué absolument pendant la grossesse. Le syndrome d'embryopathie au mycophénolate (EMFO, "mycophenolate mofetil embryopathy") a été décrit en 2005 par la FDA. Incidence estimée à 25-50 % des grossesses exposées. Tableau clinique : malformations congénitales sévères et multiples, notamment :</w:t>
      </w:r>
    </w:p>
    <w:p>
      <w:pPr>
        <w:pStyle w:val="ListBullet"/>
      </w:pPr>
      <w:r>
        <w:t>Anomalies de l'oreille (microtie, anotie, aplasie du pavillon) — 90 % des cas.</w:t>
      </w:r>
    </w:p>
    <w:p>
      <w:pPr>
        <w:pStyle w:val="ListBullet"/>
      </w:pPr>
      <w:r>
        <w:t>Anomalies cardiovasculaires (malformations conotroncales, atrésie pulmonaire, tétralogie de Fallot, defects du septum) — 50 % des cas.</w:t>
      </w:r>
    </w:p>
    <w:p>
      <w:pPr>
        <w:pStyle w:val="ListBullet"/>
      </w:pPr>
      <w:r>
        <w:t>Anomalies rénales (ectopie, agénésie rénale unilatérale, hydronéphrose) — 30 % des cas.</w:t>
      </w:r>
    </w:p>
    <w:p>
      <w:pPr>
        <w:pStyle w:val="ListBullet"/>
      </w:pPr>
      <w:r>
        <w:t>Anomalies du SNC (spina bifida, anencéphalie, hydrocéphalie, agénésie du corps calleux) — 20 % des cas.</w:t>
      </w:r>
    </w:p>
    <w:p>
      <w:pPr>
        <w:pStyle w:val="ListBullet"/>
      </w:pPr>
      <w:r>
        <w:t>Fente labio-palatine — 15 % des cas.</w:t>
      </w:r>
    </w:p>
    <w:p>
      <w:pPr>
        <w:pStyle w:val="ListBullet"/>
      </w:pPr>
      <w:r>
        <w:t>Anomalies oculaires (colobome, microptalmie) — 10 % des cas.</w:t>
      </w:r>
    </w:p>
    <w:p>
      <w:pPr>
        <w:pStyle w:val="ListBullet"/>
      </w:pPr>
      <w:r>
        <w:t>Retard de croissance intra-utérin — 30 % des cas.</w:t>
      </w:r>
    </w:p>
    <w:p>
      <w:pPr>
        <w:pStyle w:val="ListBullet"/>
      </w:pPr>
      <w:r>
        <w:t>Avortements spontanés — 30-45 % des cas.</w:t>
      </w:r>
    </w:p>
    <w:p>
      <w:r/>
      <w:r>
        <w:rPr>
          <w:b/>
        </w:rPr>
        <w:t>Prévention générale des EI</w:t>
      </w:r>
      <w:r>
        <w:t xml:space="preserve"> :</w:t>
      </w:r>
    </w:p>
    <w:p>
      <w:pPr>
        <w:pStyle w:val="ListBullet"/>
      </w:pPr>
      <w:r>
        <w:t>Hydratation abondante (1,5-2 L/j).</w:t>
      </w:r>
    </w:p>
    <w:p>
      <w:pPr>
        <w:pStyle w:val="ListBullet"/>
      </w:pPr>
      <w:r>
        <w:t>Éviter le pamplemousse (interaction CYP3A4 — l'interaction est moins critique que pour les ICN, mais la prudence est recommandée).</w:t>
      </w:r>
    </w:p>
    <w:p>
      <w:pPr>
        <w:pStyle w:val="ListBullet"/>
      </w:pPr>
      <w:r>
        <w:t>Photoprotection stricte (écran solaire SPF 50+, vêtements couvrants) pour prévenir les carcinomes cutanés.</w:t>
      </w:r>
    </w:p>
    <w:p>
      <w:pPr>
        <w:pStyle w:val="ListBullet"/>
      </w:pPr>
      <w:r>
        <w:t>Vaccinations : mise à jour avant transplantation ; contre-indication absolue aux vaccins vivants atténués.</w:t>
      </w:r>
    </w:p>
    <w:p>
      <w:pPr>
        <w:pStyle w:val="ListBullet"/>
      </w:pPr>
      <w:r>
        <w:t>Surveillance de la NFS, de la fonction rénale, de la fonction hépatique, des signes infectieux.</w:t>
      </w:r>
    </w:p>
    <w:p>
      <w:pPr>
        <w:pStyle w:val="ListBullet"/>
      </w:pPr>
      <w:r>
        <w:t>Contraception stricte chez la femme en âge de procréer (voir section Grossesse).</w:t>
      </w:r>
    </w:p>
    <w:p>
      <w:pPr>
        <w:pStyle w:val="Heading4"/>
      </w:pPr>
      <w:r>
        <w:t>171.3.1.8 Interactions médicamenteuses</w:t>
      </w:r>
    </w:p>
    <w:p>
      <w:r>
        <w:t>Le mycophénolate mofétil présente un profil d'interactions médicamenteuses moins large que les ICN, en raison de son métabolisme par glucuro-conjugaison (UGT) plutôt que par CYP3A4. Cependant, plusieurs interactions significatives sont à connaître.</w:t>
      </w:r>
    </w:p>
    <w:p>
      <w:r/>
      <w:r>
        <w:rPr>
          <w:b/>
        </w:rPr>
        <w:t>Interactions pharmacocinétiques majeures</w:t>
      </w:r>
      <w:r>
        <w:t xml:space="preserve"> :</w:t>
      </w:r>
    </w:p>
    <w:p>
      <w:pPr>
        <w:pStyle w:val="ListBullet"/>
      </w:pPr>
      <w:r/>
      <w:r>
        <w:rPr>
          <w:b/>
        </w:rPr>
        <w:t>Allopurinol</w:t>
      </w:r>
      <w:r>
        <w:t xml:space="preserve"> : interaction majeure. L'allopurinol inhibe la xanthine oxydase, augmentant la disponibilité de l'hypoxanthine pour la voie de récupération Salvage (HGPRT). Cela réduit le besoin en synthèse *de novo* et donc l'efficacité du MPA (qui cible l'IMPDH). Mais en parallèle, l'allopurinol inhibe la conversion de MPA en MPAG par la voie HGPRT, augmentant l'exposition au MPA de 3 à 5 fois, exposant à la toxicité hématologique. En cas d'association indispensable, diviser la dose de MMF par 2 à 4 et surveiller NFS et MPA-AUC.</w:t>
      </w:r>
    </w:p>
    <w:p>
      <w:pPr>
        <w:pStyle w:val="ListBullet"/>
      </w:pPr>
      <w:r/>
      <w:r>
        <w:rPr>
          <w:b/>
        </w:rPr>
        <w:t>Anti-acides (hydroxyde d'aluminium et de magnésium, Maalox)</w:t>
      </w:r>
      <w:r>
        <w:t xml:space="preserve"> : diminution de l'absorption du MMF, baisse de l'AUC de 15-20 %. Espacer la prise d'au moins 2 heures.</w:t>
      </w:r>
    </w:p>
    <w:p>
      <w:pPr>
        <w:pStyle w:val="ListBullet"/>
      </w:pPr>
      <w:r/>
      <w:r>
        <w:rPr>
          <w:b/>
        </w:rPr>
        <w:t>Chélateurs phosphorés (sévélamer, lanthanum)</w:t>
      </w:r>
      <w:r>
        <w:t xml:space="preserve"> : diminution de l'absorption du MMF, baisse de l'AUC de 25-30 %. Espacer la prise d'au moins 2 heures. Préférer le carbonate de calcium comme chélateur phosphoré.</w:t>
      </w:r>
    </w:p>
    <w:p>
      <w:pPr>
        <w:pStyle w:val="ListBullet"/>
      </w:pPr>
      <w:r/>
      <w:r>
        <w:rPr>
          <w:b/>
        </w:rPr>
        <w:t>Ciclosporine</w:t>
      </w:r>
      <w:r>
        <w:t xml:space="preserve"> : la ciclosporine inhibe la recirculation entéro-hépatique du MPA (en inhibant le transporteur MRP2 biliaire), diminuant l'AUC du MPA de 20-30 %. En cas de conversion ciclosporine → tacrolimus, l'AUC du MPA augmente, et la dose de MMF doit être réduite pour éviter la toxicité.</w:t>
      </w:r>
    </w:p>
    <w:p>
      <w:pPr>
        <w:pStyle w:val="ListBullet"/>
      </w:pPr>
      <w:r/>
      <w:r>
        <w:rPr>
          <w:b/>
        </w:rPr>
        <w:t>Tacrolimus</w:t>
      </w:r>
      <w:r>
        <w:t xml:space="preserve"> : pas d'interaction significative. Le tacrolimus n'inhibe pas la recirculation entéro-hépatique du MPA, et l'AUC est stable.</w:t>
      </w:r>
    </w:p>
    <w:p>
      <w:pPr>
        <w:pStyle w:val="ListBullet"/>
      </w:pPr>
      <w:r/>
      <w:r>
        <w:rPr>
          <w:b/>
        </w:rPr>
        <w:t>Rifampicine</w:t>
      </w:r>
      <w:r>
        <w:t xml:space="preserve"> : induction de la glucuro-conjugaison (UGT), diminution de l'AUC du MPA de 20-30 %. Adapter la dose si association indispensable.</w:t>
      </w:r>
    </w:p>
    <w:p>
      <w:pPr>
        <w:pStyle w:val="ListBullet"/>
      </w:pPr>
      <w:r/>
      <w:r>
        <w:rPr>
          <w:b/>
        </w:rPr>
        <w:t>Estroprogestatifs</w:t>
      </w:r>
      <w:r>
        <w:t xml:space="preserve"> : diminution de l'AUC des contraceptifs oraux (ethinylestradiol, lévonorgestrel) de 15-20 %, en raison de l'augmentation de la glucuro-conjugaison. Risque d'inefficacité contraceptive. Préférer une méthode contraceptive non hormonale (DIU) ou une dose accrue d'estroprogestatif.</w:t>
      </w:r>
    </w:p>
    <w:p>
      <w:pPr>
        <w:pStyle w:val="ListBullet"/>
      </w:pPr>
      <w:r/>
      <w:r>
        <w:rPr>
          <w:b/>
        </w:rPr>
        <w:t>Norfloxacine, ciprofloxacine</w:t>
      </w:r>
      <w:r>
        <w:t xml:space="preserve"> : diminution de l'AUC du MPA de 10-30 % en inhibant la flore intestinale (et donc la déconjugaison du MPAG). Surveillance clinique et adaptation si nécessaire.</w:t>
      </w:r>
    </w:p>
    <w:p>
      <w:pPr>
        <w:pStyle w:val="ListBullet"/>
      </w:pPr>
      <w:r/>
      <w:r>
        <w:rPr>
          <w:b/>
        </w:rPr>
        <w:t>Métronidazole</w:t>
      </w:r>
      <w:r>
        <w:t xml:space="preserve"> : interaction similaire (inhibition de la flore intestinale).</w:t>
      </w:r>
    </w:p>
    <w:p>
      <w:pPr>
        <w:pStyle w:val="ListBullet"/>
      </w:pPr>
      <w:r/>
      <w:r>
        <w:rPr>
          <w:b/>
        </w:rPr>
        <w:t>Pamplemousse</w:t>
      </w:r>
      <w:r>
        <w:t xml:space="preserve"> : interaction modeste (pas de métabolisme CYP3A4 significatif du MMF), mais la prudence est recommandée.</w:t>
      </w:r>
    </w:p>
    <w:p>
      <w:pPr>
        <w:pStyle w:val="ListBullet"/>
      </w:pPr>
      <w:r/>
      <w:r>
        <w:rPr>
          <w:b/>
        </w:rPr>
        <w:t>Millepertuis</w:t>
      </w:r>
      <w:r>
        <w:t xml:space="preserve"> : induction de la glucuro-conjugaison, baisse de l'AUC du MPA de 10-20 %. À éviter.</w:t>
      </w:r>
    </w:p>
    <w:p>
      <w:r/>
      <w:r>
        <w:rPr>
          <w:b/>
        </w:rPr>
        <w:t>Interactions pharmacodynamiques</w:t>
      </w:r>
      <w:r>
        <w:t xml:space="preserve"> :</w:t>
      </w:r>
    </w:p>
    <w:p>
      <w:pPr>
        <w:pStyle w:val="ListBullet"/>
      </w:pPr>
      <w:r/>
      <w:r>
        <w:rPr>
          <w:b/>
        </w:rPr>
        <w:t>Antiviraux (valganciclovir, ganciclovir)</w:t>
      </w:r>
      <w:r>
        <w:t xml:space="preserve"> : potentialisation de la leucopénie/thrombopénie. Surveillance NFS accrue, réduction de dose si nécessaire.</w:t>
      </w:r>
    </w:p>
    <w:p>
      <w:pPr>
        <w:pStyle w:val="ListBullet"/>
      </w:pPr>
      <w:r/>
      <w:r>
        <w:rPr>
          <w:b/>
        </w:rPr>
        <w:t>Cotrimoxazole à forte dose</w:t>
      </w:r>
      <w:r>
        <w:t xml:space="preserve"> : potentialisation de la leucopénie/thrombopénie.</w:t>
      </w:r>
    </w:p>
    <w:p>
      <w:pPr>
        <w:pStyle w:val="ListBullet"/>
      </w:pPr>
      <w:r/>
      <w:r>
        <w:rPr>
          <w:b/>
        </w:rPr>
        <w:t>Azathioprine</w:t>
      </w:r>
      <w:r>
        <w:t xml:space="preserve"> : association proscrite (toxicité hématologique cumulative, mécanisme synergique d'inhibition de la synthèse des purines).</w:t>
      </w:r>
    </w:p>
    <w:p>
      <w:pPr>
        <w:pStyle w:val="ListBullet"/>
      </w:pPr>
      <w:r/>
      <w:r>
        <w:rPr>
          <w:b/>
        </w:rPr>
        <w:t>Méthotrexate</w:t>
      </w:r>
      <w:r>
        <w:t xml:space="preserve"> : association proscrite (toxicité hématologique cumulative).</w:t>
      </w:r>
    </w:p>
    <w:p>
      <w:pPr>
        <w:pStyle w:val="ListBullet"/>
      </w:pPr>
      <w:r/>
      <w:r>
        <w:rPr>
          <w:b/>
        </w:rPr>
        <w:t>ICN</w:t>
      </w:r>
      <w:r>
        <w:t xml:space="preserve"> : pas d'interaction pharmacodynamique directe, mais surveillance accrue de la fonction rénale et de la kaliémie.</w:t>
      </w:r>
    </w:p>
    <w:p>
      <w:pPr>
        <w:pStyle w:val="ListBullet"/>
      </w:pPr>
      <w:r/>
      <w:r>
        <w:rPr>
          <w:b/>
        </w:rPr>
        <w:t>Corticoïdes</w:t>
      </w:r>
      <w:r>
        <w:t xml:space="preserve"> : pas d'interaction pharmacodynamique directe, mais surveillance accrue de la glycémie et du risque infectieux.</w:t>
      </w:r>
    </w:p>
    <w:p>
      <w:r/>
      <w:r>
        <w:rPr>
          <w:b/>
        </w:rPr>
        <w:t>Vaccins</w:t>
      </w:r>
      <w:r>
        <w:t xml:space="preserve"> :</w:t>
      </w:r>
    </w:p>
    <w:p>
      <w:pPr>
        <w:pStyle w:val="ListBullet"/>
      </w:pPr>
      <w:r>
        <w:t>Contre-indication absolue aux vaccins vivants atténués (BCG, ROR, fièvre jaune, varicelle, zona, rotavirus) en raison du risque de maladie vaccinale disséminée.</w:t>
      </w:r>
    </w:p>
    <w:p>
      <w:pPr>
        <w:pStyle w:val="ListBullet"/>
      </w:pPr>
      <w:r>
        <w:t>Vaccins inactivés : possible mais réponse immunitaire diminuée. Recommandé : grippe annuelle, pneumocoque, hépatite B, tétanos, COVID-19.</w:t>
      </w:r>
    </w:p>
    <w:p>
      <w:pPr>
        <w:pStyle w:val="Heading4"/>
      </w:pPr>
      <w:r>
        <w:t>171.3.1.9 Grossesse, allaitement et CRAT</w:t>
      </w:r>
    </w:p>
    <w:p>
      <w:r>
        <w:t xml:space="preserve">Selon les données du CRAT et de l'EMA (European Medicines Agency), le mycophénolate mofétil est </w:t>
      </w:r>
      <w:r>
        <w:rPr>
          <w:b/>
        </w:rPr>
        <w:t>strictement contre-indiqué pendant la grossesse</w:t>
      </w:r>
      <w:r>
        <w:t xml:space="preserve"> en raison de sa tératogénicité démontrée (syndrome d'embryopathie au mycophénolate — EMFO, décrit en 2005).</w:t>
      </w:r>
    </w:p>
    <w:p>
      <w:r/>
      <w:r>
        <w:rPr>
          <w:b/>
        </w:rPr>
        <w:t>Tératogénicité</w:t>
      </w:r>
      <w:r>
        <w:t xml:space="preserve"> : le MPA traverse le placenta (rapport fœto-maternel 0,3-0,5). Chez l'animal (rat, lapin, singe), des doses thérapeutiques induisent des malformations congénitales sévères (anomalies de l'oreille, cardiovasculaires, rénales, du SNC). Chez l'humain, le syndrome d'embryopathie au mycophenolate mofetil (EMFO) a été caractérisé par Angelis et al. (2005) et la FDA a émis une alerte "black box" en 2007. L'incidence estimée des malformations est de 25-50 % des grossesses exposées (vs 3-4 % en population générale), avec un risque d'avortement spontané de 30-45 %. Le risque est présent à tout stade de la grossesse (pas de période sûre), mais le risque malformatif est maximal pendant l'organogénèse (semaines 3-8 de gestation).</w:t>
      </w:r>
    </w:p>
    <w:p>
      <w:r/>
      <w:r>
        <w:rPr>
          <w:b/>
        </w:rPr>
        <w:t>Prévention de la grossesse</w:t>
      </w:r>
      <w:r>
        <w:t xml:space="preserve"> :</w:t>
      </w:r>
    </w:p>
    <w:p>
      <w:pPr>
        <w:pStyle w:val="ListBullet"/>
      </w:pPr>
      <w:r>
        <w:t>Chez toute femme en âge de procréer, contraception efficace obligatoire avant instauration du MMF, pendant toute la durée du traitement, et pendant 6 semaines après l'arrêt.</w:t>
      </w:r>
    </w:p>
    <w:p>
      <w:pPr>
        <w:pStyle w:val="ListBullet"/>
      </w:pPr>
      <w:r>
        <w:t>Deux méthodes contraceptives complémentaires recommandées : une méthode hormonale (estroprogestatif ou microprogestatif) + une méthode barrière (préservatif masculin ou féminin, diaphragme), ou un dispositif intra-utérin (DIU) + une méthode barrière.</w:t>
      </w:r>
    </w:p>
    <w:p>
      <w:pPr>
        <w:pStyle w:val="ListBullet"/>
      </w:pPr>
      <w:r>
        <w:t>Test de grossesse sérique β-hCG avant instauration du MMF, répété tous les mois pendant le traitement et à l'arrêt.</w:t>
      </w:r>
    </w:p>
    <w:p>
      <w:pPr>
        <w:pStyle w:val="ListBullet"/>
      </w:pPr>
      <w:r>
        <w:t>Information éclairée de la patiente (document d'information patient à signer), remise d'une carte patiente ( Pregnancy Prevention Programme ).</w:t>
      </w:r>
    </w:p>
    <w:p>
      <w:pPr>
        <w:pStyle w:val="ListBullet"/>
      </w:pPr>
      <w:r>
        <w:t>En cas de désir de grossesse, relais préalable par un immunosuppresseur compatible avec la grossesse (azathioprine, tacrolimus ou ciclosporine) au moins 6 semaines avant la conception.</w:t>
      </w:r>
    </w:p>
    <w:p>
      <w:r/>
      <w:r>
        <w:rPr>
          <w:b/>
        </w:rPr>
        <w:t>Grossesse accidentelle</w:t>
      </w:r>
      <w:r>
        <w:t xml:space="preserve"> :</w:t>
      </w:r>
    </w:p>
    <w:p>
      <w:pPr>
        <w:pStyle w:val="ListBullet"/>
      </w:pPr>
      <w:r>
        <w:t>Arrêt immédiat du MMF dès la confirmation de la grossesse.</w:t>
      </w:r>
    </w:p>
    <w:p>
      <w:pPr>
        <w:pStyle w:val="ListBullet"/>
      </w:pPr>
      <w:r>
        <w:t>Relais par l'azathioprine (compatible avec la grossesse selon le CRAT).</w:t>
      </w:r>
    </w:p>
    <w:p>
      <w:pPr>
        <w:pStyle w:val="ListBullet"/>
      </w:pPr>
      <w:r>
        <w:t>Échographie morphologique spécialisée à 12, 22 et 32 SA.</w:t>
      </w:r>
    </w:p>
    <w:p>
      <w:pPr>
        <w:pStyle w:val="ListBullet"/>
      </w:pPr>
      <w:r>
        <w:t>Conseils génétiques : le risque malformatif est élevé mais non absolu. L'interruption thérapeutique de grossesse peut être discutée au cas par cas, mais n'est pas systématiquement recommandée.</w:t>
      </w:r>
    </w:p>
    <w:p>
      <w:pPr>
        <w:pStyle w:val="ListBullet"/>
      </w:pPr>
      <w:r>
        <w:t>Déclaration pharmacologique (pharmacovigilance).</w:t>
      </w:r>
    </w:p>
    <w:p>
      <w:r/>
      <w:r>
        <w:rPr>
          <w:b/>
        </w:rPr>
        <w:t>Homme traité</w:t>
      </w:r>
      <w:r>
        <w:t xml:space="preserve"> : des données récentes (2019-2024) suggèrent un risque accru de malformations congénitales chez les enfants conçus par des pères traités par MMF (1-2 % vs 3-4 % en population générale, incertitude persistante). La FDA et l'EMA recommandent l'information des patients masculins, le préservatif pendant le traitement et 90 jours après l'arrêt (en raison du cycle spermatogénétique de 90 jours), et la discussion d'une cryoconservation de sperme avant instauration chez un homme souhaitant procréer.</w:t>
      </w:r>
    </w:p>
    <w:p>
      <w:r/>
      <w:r>
        <w:rPr>
          <w:b/>
        </w:rPr>
        <w:t>Allaitement</w:t>
      </w:r>
      <w:r>
        <w:t xml:space="preserve"> : contre-indication absolue. Le MPA passe dans le lait maternel à des concentrations très faibles (&lt; 1 % de la concentration maternelle), mais en raison de la demi-vie longue et du risque d'immunosuppression du nourrisson (leucopénie, infections), l'allaitement est contre-indiqué. Utilisation de substituts lactés.</w:t>
      </w:r>
    </w:p>
    <w:p>
      <w:pPr>
        <w:pStyle w:val="Heading4"/>
      </w:pPr>
      <w:r>
        <w:t>171.3.1.10 Formes galéniques disponibles</w:t>
      </w:r>
    </w:p>
    <w:p>
      <w:pPr>
        <w:pStyle w:val="ListNumber"/>
      </w:pPr>
      <w:r/>
      <w:r>
        <w:rPr>
          <w:b/>
        </w:rPr>
        <w:t>Comprimé pelliculé — MMF, Phenocept</w:t>
      </w:r>
      <w:r>
        <w:t xml:space="preserve"> : comprimé pelliculé, contenant le mycophénolate mofétil en formulation à libération immédiate. Dosage disponible en Algérie : 500 mg. Conservation à température ambiante (&lt; 25 °C), à l'abri de l'humidité et de la lumière. Le comprimé doit être avalé entier, sans croquer ni écraser, avec un grand verre d'eau. Pour les patients pédiatriques, les comprimés peuvent être dispersés dans 10 mL d'eau, mais la biodisponibilité est alors modifiée. Pour les patients ayant une sonde naso-gastrique (période péri-opératoire), la dispersion dans l'eau est possible avec rinçage soigneux.</w:t>
      </w:r>
    </w:p>
    <w:p>
      <w:pPr>
        <w:pStyle w:val="ListNumber"/>
      </w:pPr>
      <w:r/>
      <w:r>
        <w:rPr>
          <w:b/>
        </w:rPr>
        <w:t>Gélule — Cellcept (retiré)</w:t>
      </w:r>
      <w:r>
        <w:t xml:space="preserve"> : le princeps Cellcept (Roche) était disponible en gélules 250 mg et 500 mg, mais il est retiré du marché algérien dans tous ses conditionnements. Les génériques MMF et Phenocept ont remplacé le princeps.</w:t>
      </w:r>
    </w:p>
    <w:p>
      <w:pPr>
        <w:pStyle w:val="ListNumber"/>
      </w:pPr>
      <w:r/>
      <w:r>
        <w:rPr>
          <w:b/>
        </w:rPr>
        <w:t>Solution buvable — Cellcept suspension buvable 200 mg/mL</w:t>
      </w:r>
      <w:r>
        <w:t xml:space="preserve"> : non disponible en Algérie. Formulation pédiatrique en flacon de 175 mL avec seringue graduée, principalement destinée aux enfants de moins de 12 ans et aux patients ayant des difficultés à avaler les comprimés.</w:t>
      </w:r>
    </w:p>
    <w:p>
      <w:pPr>
        <w:pStyle w:val="ListNumber"/>
      </w:pPr>
      <w:r/>
      <w:r>
        <w:rPr>
          <w:b/>
        </w:rPr>
        <w:t>Forme à libération prolongée — Myfortic 180 mg et 360 mg</w:t>
      </w:r>
      <w:r>
        <w:t xml:space="preserve"> : non disponible en Algérie. Formulation gastro-résistante à libération prolongée, permettant une meilleure tolérance digestive (moindre diarrhée). Avantage : réduction des effets gastro-intestinaux de 30-40 %. Inconvénient : pas de substitution avec le MMF standard (biodisponibilité différente).</w:t>
      </w:r>
    </w:p>
    <w:p>
      <w:pPr>
        <w:pStyle w:val="ListNumber"/>
      </w:pPr>
      <w:r/>
      <w:r>
        <w:rPr>
          <w:b/>
        </w:rPr>
        <w:t>Forme IV — Cellcept solution IV 500 mg</w:t>
      </w:r>
      <w:r>
        <w:t xml:space="preserve"> : non disponible en Algérie. Flacon de poudre lyophilisée à reconstituer dans 5 mL d'eau pour préparation injectable, à diluer dans NaCl 0,9 % ou G5 %. Administration en perfusion de 2 heures. Réservée à la période péri-opératoire immédiate (patient à jeun, troubles digestifs post-opératoires).</w:t>
      </w:r>
    </w:p>
    <w:p>
      <w:pPr>
        <w:pStyle w:val="Heading4"/>
      </w:pPr>
      <w:r>
        <w:t>171.3.1.11 Conseils au patient</w:t>
      </w:r>
    </w:p>
    <w:p>
      <w:r/>
      <w:r>
        <w:rPr>
          <w:b/>
        </w:rPr>
        <w:t>Conseils d'observance</w:t>
      </w:r>
      <w:r>
        <w:t xml:space="preserve"> :</w:t>
      </w:r>
    </w:p>
    <w:p>
      <w:pPr>
        <w:pStyle w:val="ListBullet"/>
      </w:pPr>
      <w:r>
        <w:t>Prendre le mycophénolate mofétil à heure fixe (par exemple 8 h et 20 h), à 12 heures d'intervalle exact.</w:t>
      </w:r>
    </w:p>
    <w:p>
      <w:pPr>
        <w:pStyle w:val="ListBullet"/>
      </w:pPr>
      <w:r>
        <w:t>Ne jamais sauter une prise : si une prise est oubliée depuis moins de 4 heures, la prendre ; si le délai dépasse 4 heures, ne pas doubler la prise suivante mais contacter le centre de transplantation.</w:t>
      </w:r>
    </w:p>
    <w:p>
      <w:pPr>
        <w:pStyle w:val="ListBullet"/>
      </w:pPr>
      <w:r>
        <w:t>Ne jamais interrompre le traitement sans avis médical (risque de rejet aigu ou de rechute de la maladie autoimmune).</w:t>
      </w:r>
    </w:p>
    <w:p>
      <w:pPr>
        <w:pStyle w:val="ListBullet"/>
      </w:pPr>
      <w:r>
        <w:t>Espacer d'au moins 2 heures la prise d'anti-acides et de chélateurs phosphorés.</w:t>
      </w:r>
    </w:p>
    <w:p>
      <w:pPr>
        <w:pStyle w:val="ListBullet"/>
      </w:pPr>
      <w:r>
        <w:t>Conserver le carnet de suivi avec les doses, les résultats biologiques.</w:t>
      </w:r>
    </w:p>
    <w:p>
      <w:r/>
      <w:r>
        <w:rPr>
          <w:b/>
        </w:rPr>
        <w:t>Conseils diététiques</w:t>
      </w:r>
      <w:r>
        <w:t xml:space="preserve"> :</w:t>
      </w:r>
    </w:p>
    <w:p>
      <w:pPr>
        <w:pStyle w:val="ListBullet"/>
      </w:pPr>
      <w:r>
        <w:t>Éviter le pamplemousse (interaction CYP3A4 modeste, mais prudence).</w:t>
      </w:r>
    </w:p>
    <w:p>
      <w:pPr>
        <w:pStyle w:val="ListBullet"/>
      </w:pPr>
      <w:r>
        <w:t>Éviter l'alcool (potentialisation de l'hépatotoxicité).</w:t>
      </w:r>
    </w:p>
    <w:p>
      <w:pPr>
        <w:pStyle w:val="ListBullet"/>
      </w:pPr>
      <w:r>
        <w:t>Régime hyposodé (&lt; 6 g de sel/jour) pour limiter l'HTA.</w:t>
      </w:r>
    </w:p>
    <w:p>
      <w:pPr>
        <w:pStyle w:val="ListBullet"/>
      </w:pPr>
      <w:r>
        <w:t>Éviter les aliments riches en potassium si hyperkaliémie.</w:t>
      </w:r>
    </w:p>
    <w:p>
      <w:pPr>
        <w:pStyle w:val="ListBullet"/>
      </w:pPr>
      <w:r>
        <w:t>Hydratation abondante (1,5-2 L/jour).</w:t>
      </w:r>
    </w:p>
    <w:p>
      <w:r/>
      <w:r>
        <w:rPr>
          <w:b/>
        </w:rPr>
        <w:t>Conseils d'hygiène</w:t>
      </w:r>
      <w:r>
        <w:t xml:space="preserve"> :</w:t>
      </w:r>
    </w:p>
    <w:p>
      <w:pPr>
        <w:pStyle w:val="ListBullet"/>
      </w:pPr>
      <w:r>
        <w:t>Brossage dentaire 3×/jour.</w:t>
      </w:r>
    </w:p>
    <w:p>
      <w:pPr>
        <w:pStyle w:val="ListBullet"/>
      </w:pPr>
      <w:r>
        <w:t>Photoprotection stricte (écran solaire SPF 50+, vêtements couvrants) pour prévenir les carcinomes cutanés.</w:t>
      </w:r>
    </w:p>
    <w:p>
      <w:pPr>
        <w:pStyle w:val="ListBullet"/>
      </w:pPr>
      <w:r>
        <w:t>Éviter les contacts avec des personnes malades (varicelle, zona, rougeole, grippe).</w:t>
      </w:r>
    </w:p>
    <w:p>
      <w:pPr>
        <w:pStyle w:val="ListBullet"/>
      </w:pPr>
      <w:r>
        <w:t>Lavage des mains fréquent.</w:t>
      </w:r>
    </w:p>
    <w:p>
      <w:pPr>
        <w:pStyle w:val="ListBullet"/>
      </w:pPr>
      <w:r>
        <w:t>Éviter les vaccinations vivantes (BCG, ROR, fièvre jaune) — consulter le médecin avant tout voyage.</w:t>
      </w:r>
    </w:p>
    <w:p>
      <w:pPr>
        <w:pStyle w:val="ListBullet"/>
      </w:pPr>
      <w:r>
        <w:t>Cuisson complète de la viande, du poisson et des œufs (prévention de la toxoplasmose, listériose, salmonellose).</w:t>
      </w:r>
    </w:p>
    <w:p>
      <w:pPr>
        <w:pStyle w:val="ListBullet"/>
      </w:pPr>
      <w:r>
        <w:t>Éviter les fromages au lait cru, les coquillages crus, les graines germées.</w:t>
      </w:r>
    </w:p>
    <w:p>
      <w:r/>
      <w:r>
        <w:rPr>
          <w:b/>
        </w:rPr>
        <w:t>Conseils de surveillance</w:t>
      </w:r>
      <w:r>
        <w:t xml:space="preserve"> :</w:t>
      </w:r>
    </w:p>
    <w:p>
      <w:pPr>
        <w:pStyle w:val="ListBullet"/>
      </w:pPr>
      <w:r>
        <w:t>Signaler immédiatement tout signe d'infection (fièvre, frissons, maux de gorge, brûlures mictionnelles) au médecin transplanteur.</w:t>
      </w:r>
    </w:p>
    <w:p>
      <w:pPr>
        <w:pStyle w:val="ListBullet"/>
      </w:pPr>
      <w:r>
        <w:t>Signaler tout saignement gingival, ecchymose, pétéchies (recherche de thrombopénie).</w:t>
      </w:r>
    </w:p>
    <w:p>
      <w:pPr>
        <w:pStyle w:val="ListBullet"/>
      </w:pPr>
      <w:r>
        <w:t>Signaler toute diarrhée persistante, douleur abdominale (effet indésirable digestif).</w:t>
      </w:r>
    </w:p>
    <w:p>
      <w:pPr>
        <w:pStyle w:val="ListBullet"/>
      </w:pPr>
      <w:r>
        <w:t>Signaler toute asthénie, pâleur, dyspnée (recherche d'anémie).</w:t>
      </w:r>
    </w:p>
    <w:p>
      <w:pPr>
        <w:pStyle w:val="ListBullet"/>
      </w:pPr>
      <w:r>
        <w:t>Effectuer les prises de sang selon le calendrier prescrit (NFS, créatininémie, transaminases, PCR CMV).</w:t>
      </w:r>
    </w:p>
    <w:p>
      <w:r/>
      <w:r>
        <w:rPr>
          <w:b/>
        </w:rPr>
        <w:t>Conseils contraception (femme en âge de procréer)</w:t>
      </w:r>
      <w:r>
        <w:t xml:space="preserve"> :</w:t>
      </w:r>
    </w:p>
    <w:p>
      <w:pPr>
        <w:pStyle w:val="ListBullet"/>
      </w:pPr>
      <w:r>
        <w:t>Contraception obligatoire et efficace avant instauration, pendant le traitement, et 6 semaines après l'arrêt.</w:t>
      </w:r>
    </w:p>
    <w:p>
      <w:pPr>
        <w:pStyle w:val="ListBullet"/>
      </w:pPr>
      <w:r>
        <w:t>Deux méthodes contraceptives complémentaires recommandées (hormonale + barrière, ou DIU + barrière).</w:t>
      </w:r>
    </w:p>
    <w:p>
      <w:pPr>
        <w:pStyle w:val="ListBullet"/>
      </w:pPr>
      <w:r>
        <w:t>Test de grossesse β-hCG avant instauration, répété tous les mois.</w:t>
      </w:r>
    </w:p>
    <w:p>
      <w:pPr>
        <w:pStyle w:val="ListBullet"/>
      </w:pPr>
      <w:r>
        <w:t>Document d'information patient à signer.</w:t>
      </w:r>
    </w:p>
    <w:p>
      <w:pPr>
        <w:pStyle w:val="ListBullet"/>
      </w:pPr>
      <w:r>
        <w:t>En cas de désir de grossesse, relais préalable par l'azathioprine ou le tacrolimus au moins 6 semaines avant la conception.</w:t>
      </w:r>
    </w:p>
    <w:p>
      <w:r/>
      <w:r>
        <w:rPr>
          <w:b/>
        </w:rPr>
        <w:t>Conseils contraception (homme)</w:t>
      </w:r>
      <w:r>
        <w:t xml:space="preserve"> :</w:t>
      </w:r>
    </w:p>
    <w:p>
      <w:pPr>
        <w:pStyle w:val="ListBullet"/>
      </w:pPr>
      <w:r>
        <w:t>Préservatif pendant le traitement et 90 jours après l'arrêt.</w:t>
      </w:r>
    </w:p>
    <w:p>
      <w:pPr>
        <w:pStyle w:val="ListBullet"/>
      </w:pPr>
      <w:r>
        <w:t>Discussion d'une cryoconservation de sperme avant instauration.</w:t>
      </w:r>
    </w:p>
    <w:p>
      <w:r/>
      <w:r>
        <w:rPr>
          <w:b/>
        </w:rPr>
        <w:t>Conseils de stockage</w:t>
      </w:r>
      <w:r>
        <w:t xml:space="preserve"> :</w:t>
      </w:r>
    </w:p>
    <w:p>
      <w:pPr>
        <w:pStyle w:val="ListBullet"/>
      </w:pPr>
      <w:r>
        <w:t>Conserver les comprimés à température ambiante (&lt; 25 °C).</w:t>
      </w:r>
    </w:p>
    <w:p>
      <w:pPr>
        <w:pStyle w:val="ListBullet"/>
      </w:pPr>
      <w:r>
        <w:t>Tenir hors de portée des enfants.</w:t>
      </w:r>
    </w:p>
    <w:p>
      <w:pPr>
        <w:pStyle w:val="ListBullet"/>
      </w:pPr>
      <w:r>
        <w:t>Ne jamais jeter à la poubelle : rapporter les boîtes non utilisées à la pharmacie.</w:t>
      </w:r>
    </w:p>
    <w:p>
      <w:pPr>
        <w:pStyle w:val="Heading4"/>
      </w:pPr>
      <w:r>
        <w:t>171.3.1.12 Pièges au comptoir — Règles d'or</w:t>
      </w:r>
    </w:p>
    <w:p>
      <w:pPr>
        <w:pStyle w:val="ListNumber"/>
      </w:pPr>
      <w:r/>
      <w:r>
        <w:rPr>
          <w:b/>
        </w:rPr>
        <w:t>Femme en âge de procréer</w:t>
      </w:r>
      <w:r>
        <w:t xml:space="preserve"> : interrogation systématique sur le statut gestationnel avant délivrance du MMF (test de grossesse si doute). Contraception obligatoire, double méthode. Information patiente (document à signer). En cas de désir de grossesse, relais préalable par l'azathioprine au moins 6 semaines avant la conception. Le MMF est le médicament tératogène majeur de cette classe, et la règle d'or est "pas de MMF sans contraception".</w:t>
      </w:r>
    </w:p>
    <w:p>
      <w:pPr>
        <w:pStyle w:val="ListNumber"/>
      </w:pPr>
      <w:r/>
      <w:r>
        <w:rPr>
          <w:b/>
        </w:rPr>
        <w:t>Allopurinol</w:t>
      </w:r>
      <w:r>
        <w:t xml:space="preserve"> : interaction majeure. Tout patient sous MMF qui prend de l'allopurinol pour une goutte doit être orienté pour adaptation posologique (diviser la dose de MMF par 2 à 4, surveillance NFS). En cas de traitement de la goutte chez un patient greffé sous MMF, préférer la colchicine ou les anti-inflammatoires (sauf CI), et réserver l'allopurinol aux cas strictement nécessaires avec surveillance rapprochée.</w:t>
      </w:r>
    </w:p>
    <w:p>
      <w:pPr>
        <w:pStyle w:val="ListNumber"/>
      </w:pPr>
      <w:r/>
      <w:r>
        <w:rPr>
          <w:b/>
        </w:rPr>
        <w:t>Anti-acides et chélateurs phosphorés</w:t>
      </w:r>
      <w:r>
        <w:t xml:space="preserve"> : espacer la prise d'au moins 2 heures. En cas de patient dialysé ou insuffisant rénal prenant du sévélamer ou du carbonate de lanthane, surveillance clinique et adaptation de la dose de MMF.</w:t>
      </w:r>
    </w:p>
    <w:p>
      <w:pPr>
        <w:pStyle w:val="ListNumber"/>
      </w:pPr>
      <w:r/>
      <w:r>
        <w:rPr>
          <w:b/>
        </w:rPr>
        <w:t>Diarrhée persistante</w:t>
      </w:r>
      <w:r>
        <w:t xml:space="preserve"> : tout patient sous MMF qui présente une diarrhée persistante (&gt; 3 selles liquides/jour pendant &gt; 7 jours) doit être orienté pour avis médical (effet indésirable digestif fréquent, parfois sévère, imposant une réduction de dose ou un passage à Myfortic — non disponible en Algérie).</w:t>
      </w:r>
    </w:p>
    <w:p>
      <w:pPr>
        <w:pStyle w:val="ListNumber"/>
      </w:pPr>
      <w:r/>
      <w:r>
        <w:rPr>
          <w:b/>
        </w:rPr>
        <w:t>Leucopénie</w:t>
      </w:r>
      <w:r>
        <w:t xml:space="preserve"> : tout patient sous MMF doit avoir une NFS mensuelle. En cas de PNN &lt; 1500/mm³, réduction de 50 %. En cas de PNN &lt; 1000/mm³, arrêt transitoire. Information patiente : signaler toute fièvre, angine, infection cutanée.</w:t>
      </w:r>
    </w:p>
    <w:p>
      <w:pPr>
        <w:pStyle w:val="ListNumber"/>
      </w:pPr>
      <w:r/>
      <w:r>
        <w:rPr>
          <w:b/>
        </w:rPr>
        <w:t>CMV</w:t>
      </w:r>
      <w:r>
        <w:t xml:space="preserve"> : tout patient sous MMF doit avoir une PCR CMV mensuelle le 1er trimestre (en particulier en cas de combinaison D+/R- : donneur séropositif, receveur séronégatif). Prophylaxie valganciclovir 3-6 mois en cas de combinaison D+/R-.</w:t>
      </w:r>
    </w:p>
    <w:p>
      <w:pPr>
        <w:pStyle w:val="ListNumber"/>
      </w:pPr>
      <w:r/>
      <w:r>
        <w:rPr>
          <w:b/>
        </w:rPr>
        <w:t>Substitution de marque</w:t>
      </w:r>
      <w:r>
        <w:t xml:space="preserve"> : le MMF est disponible sous deux génériques (MMF Inpha-Medis et Phenocept El Kendi) en Algérie. La substitution entre marques peut être réalisée sans contrôle de concentration (le MMF n'a pas de STP systématique en pratique courante). Cependant, documenter la marque et le dosage dans le dossier pharmaceutique.</w:t>
      </w:r>
    </w:p>
    <w:p>
      <w:pPr>
        <w:pStyle w:val="ListNumber"/>
      </w:pPr>
      <w:r/>
      <w:r>
        <w:rPr>
          <w:b/>
        </w:rPr>
        <w:t>Patient sous ICN associé</w:t>
      </w:r>
      <w:r>
        <w:t xml:space="preserve"> : surveillance accrue de la fonction rénale (potentielisation de la néphrotoxicité des ICN par le MMF — bien que le MMF ne soit pas intrinsèquement néphrotoxique, il peut aggraver la néphrotoxicité des ICN en cas d'association). Surveillance accrue de la kaliémie et de la tension artérielle.</w:t>
      </w:r>
    </w:p>
    <w:p>
      <w:pPr>
        <w:pStyle w:val="ListNumber"/>
      </w:pPr>
      <w:r/>
      <w:r>
        <w:rPr>
          <w:b/>
        </w:rPr>
        <w:t>Patient sous tacrolimus</w:t>
      </w:r>
      <w:r>
        <w:t xml:space="preserve"> : en cas de conversion ciclosporine → tacrolimus, l'AUC du MPA augmente (la ciclosporine inhibait la recirculation entéro-hépatique du MPA), et la dose de MMF doit être réduite pour éviter la toxicité hématologique.</w:t>
      </w:r>
    </w:p>
    <w:p>
      <w:pPr>
        <w:pStyle w:val="ListNumber"/>
      </w:pPr>
      <w:r/>
      <w:r>
        <w:rPr>
          <w:b/>
        </w:rPr>
        <w:t>Forme IV non disponible</w:t>
      </w:r>
      <w:r>
        <w:t xml:space="preserve"> : en cas d'hospitalisation pour transplantation ou de ré-intervention chirurgicaire, prévenir le chirurgien et l'anesthésiste que la forme IV de MMF n'est pas disponible en Algérie. Le relais par voie naso-gastrique de comprimés dispersés dans l'eau peut être proposé en attendant la reprise du transit.</w:t>
      </w:r>
    </w:p>
    <w:p>
      <w:pPr>
        <w:pStyle w:val="ListNumber"/>
      </w:pPr>
      <w:r/>
      <w:r>
        <w:rPr>
          <w:b/>
        </w:rPr>
        <w:t>Vaccins vivants</w:t>
      </w:r>
      <w:r>
        <w:t xml:space="preserve"> : contre-indication absolue (BCG, ROR, fièvre jaune, varicelle, zona, rotavirus).</w:t>
      </w:r>
    </w:p>
    <w:p>
      <w:pPr>
        <w:pStyle w:val="ListNumber"/>
      </w:pPr>
      <w:r/>
      <w:r>
        <w:rPr>
          <w:b/>
        </w:rPr>
        <w:t>Patient âgé</w:t>
      </w:r>
      <w:r>
        <w:t xml:space="preserve"> : surveillance accrue de la NFS et de la fonction rénale, en raison de la fréquence accrue d'infections et de leucopénie.</w:t>
      </w:r>
    </w:p>
    <w:p>
      <w:pPr>
        <w:pStyle w:val="ListNumber"/>
      </w:pPr>
      <w:r/>
      <w:r>
        <w:rPr>
          <w:b/>
        </w:rPr>
        <w:t>Grossesse accidentelle</w:t>
      </w:r>
      <w:r>
        <w:t xml:space="preserve"> : arrêt immédiat du MMF dès la confirmation, relais par azathioprine. Échographie morphologique spécialisée. Information patiente sur le risque malformatif élevé (25-50 %), sans toutefois imposer systématiquement une interruption thérapeutique de grossesse (à discuter au cas par cas).</w:t>
      </w:r>
    </w:p>
    <w:p>
      <w:pPr>
        <w:pStyle w:val="Heading2"/>
      </w:pPr>
      <w:r>
        <w:t>171.4 Tableau comparatif des 5 DCI</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Paramètre</w:t>
            </w:r>
          </w:p>
        </w:tc>
        <w:tc>
          <w:tcPr>
            <w:tcW w:type="dxa" w:w="1559"/>
          </w:tcPr>
          <w:p>
            <w:r>
              <w:rPr>
                <w:b/>
                <w:sz w:val="20"/>
              </w:rPr>
              <w:t>Ciclosporine</w:t>
            </w:r>
          </w:p>
        </w:tc>
        <w:tc>
          <w:tcPr>
            <w:tcW w:type="dxa" w:w="1559"/>
          </w:tcPr>
          <w:p>
            <w:r>
              <w:rPr>
                <w:b/>
                <w:sz w:val="20"/>
              </w:rPr>
              <w:t>Tacrolimus</w:t>
            </w:r>
          </w:p>
        </w:tc>
        <w:tc>
          <w:tcPr>
            <w:tcW w:type="dxa" w:w="1559"/>
          </w:tcPr>
          <w:p>
            <w:r>
              <w:rPr>
                <w:b/>
                <w:sz w:val="20"/>
              </w:rPr>
              <w:t>Sirolimus</w:t>
            </w:r>
          </w:p>
        </w:tc>
        <w:tc>
          <w:tcPr>
            <w:tcW w:type="dxa" w:w="1559"/>
          </w:tcPr>
          <w:p>
            <w:r>
              <w:rPr>
                <w:b/>
                <w:sz w:val="20"/>
              </w:rPr>
              <w:t>Everolimus</w:t>
            </w:r>
          </w:p>
        </w:tc>
        <w:tc>
          <w:tcPr>
            <w:tcW w:type="dxa" w:w="1559"/>
          </w:tcPr>
          <w:p>
            <w:r>
              <w:rPr>
                <w:b/>
                <w:sz w:val="20"/>
              </w:rPr>
              <w:t>Mycophénolate mofétil</w:t>
            </w:r>
          </w:p>
        </w:tc>
      </w:tr>
      <w:tr>
        <w:tc>
          <w:tcPr>
            <w:tcW w:type="dxa" w:w="1559"/>
          </w:tcPr>
          <w:p>
            <w:r>
              <w:rPr>
                <w:sz w:val="20"/>
              </w:rPr>
              <w:t>**Sous-classe**</w:t>
            </w:r>
          </w:p>
        </w:tc>
        <w:tc>
          <w:tcPr>
            <w:tcW w:type="dxa" w:w="1559"/>
          </w:tcPr>
          <w:p>
            <w:r>
              <w:rPr>
                <w:sz w:val="20"/>
              </w:rPr>
              <w:t>Inhibiteur calcineurine</w:t>
            </w:r>
          </w:p>
        </w:tc>
        <w:tc>
          <w:tcPr>
            <w:tcW w:type="dxa" w:w="1559"/>
          </w:tcPr>
          <w:p>
            <w:r>
              <w:rPr>
                <w:sz w:val="20"/>
              </w:rPr>
              <w:t>Inhibiteur calcineurine</w:t>
            </w:r>
          </w:p>
        </w:tc>
        <w:tc>
          <w:tcPr>
            <w:tcW w:type="dxa" w:w="1559"/>
          </w:tcPr>
          <w:p>
            <w:r>
              <w:rPr>
                <w:sz w:val="20"/>
              </w:rPr>
              <w:t>Inhibiteur mTOR</w:t>
            </w:r>
          </w:p>
        </w:tc>
        <w:tc>
          <w:tcPr>
            <w:tcW w:type="dxa" w:w="1559"/>
          </w:tcPr>
          <w:p>
            <w:r>
              <w:rPr>
                <w:sz w:val="20"/>
              </w:rPr>
              <w:t>Inhibiteur mTOR</w:t>
            </w:r>
          </w:p>
        </w:tc>
        <w:tc>
          <w:tcPr>
            <w:tcW w:type="dxa" w:w="1559"/>
          </w:tcPr>
          <w:p>
            <w:r>
              <w:rPr>
                <w:sz w:val="20"/>
              </w:rPr>
              <w:t>Antimétabolite (IMPDH)</w:t>
            </w:r>
          </w:p>
        </w:tc>
      </w:tr>
      <w:tr>
        <w:tc>
          <w:tcPr>
            <w:tcW w:type="dxa" w:w="1559"/>
          </w:tcPr>
          <w:p>
            <w:r>
              <w:rPr>
                <w:sz w:val="20"/>
              </w:rPr>
              <w:t>**Code ATC**</w:t>
            </w:r>
          </w:p>
        </w:tc>
        <w:tc>
          <w:tcPr>
            <w:tcW w:type="dxa" w:w="1559"/>
          </w:tcPr>
          <w:p>
            <w:r>
              <w:rPr>
                <w:sz w:val="20"/>
              </w:rPr>
              <w:t>L04AD01</w:t>
            </w:r>
          </w:p>
        </w:tc>
        <w:tc>
          <w:tcPr>
            <w:tcW w:type="dxa" w:w="1559"/>
          </w:tcPr>
          <w:p>
            <w:r>
              <w:rPr>
                <w:sz w:val="20"/>
              </w:rPr>
              <w:t>L04AD02</w:t>
            </w:r>
          </w:p>
        </w:tc>
        <w:tc>
          <w:tcPr>
            <w:tcW w:type="dxa" w:w="1559"/>
          </w:tcPr>
          <w:p>
            <w:r>
              <w:rPr>
                <w:sz w:val="20"/>
              </w:rPr>
              <w:t>L04AA10</w:t>
            </w:r>
          </w:p>
        </w:tc>
        <w:tc>
          <w:tcPr>
            <w:tcW w:type="dxa" w:w="1559"/>
          </w:tcPr>
          <w:p>
            <w:r>
              <w:rPr>
                <w:sz w:val="20"/>
              </w:rPr>
              <w:t>L04AA18</w:t>
            </w:r>
          </w:p>
        </w:tc>
        <w:tc>
          <w:tcPr>
            <w:tcW w:type="dxa" w:w="1559"/>
          </w:tcPr>
          <w:p>
            <w:r>
              <w:rPr>
                <w:sz w:val="20"/>
              </w:rPr>
              <w:t>L04AA06</w:t>
            </w:r>
          </w:p>
        </w:tc>
      </w:tr>
      <w:tr>
        <w:tc>
          <w:tcPr>
            <w:tcW w:type="dxa" w:w="1559"/>
          </w:tcPr>
          <w:p>
            <w:r>
              <w:rPr>
                <w:sz w:val="20"/>
              </w:rPr>
              <w:t>**Classe chimique**</w:t>
            </w:r>
          </w:p>
        </w:tc>
        <w:tc>
          <w:tcPr>
            <w:tcW w:type="dxa" w:w="1559"/>
          </w:tcPr>
          <w:p>
            <w:r>
              <w:rPr>
                <w:sz w:val="20"/>
              </w:rPr>
              <w:t>Peptide cyclique (11 AA)</w:t>
            </w:r>
          </w:p>
        </w:tc>
        <w:tc>
          <w:tcPr>
            <w:tcW w:type="dxa" w:w="1559"/>
          </w:tcPr>
          <w:p>
            <w:r>
              <w:rPr>
                <w:sz w:val="20"/>
              </w:rPr>
              <w:t>Macrolide (23 atomes)</w:t>
            </w:r>
          </w:p>
        </w:tc>
        <w:tc>
          <w:tcPr>
            <w:tcW w:type="dxa" w:w="1559"/>
          </w:tcPr>
          <w:p>
            <w:r>
              <w:rPr>
                <w:sz w:val="20"/>
              </w:rPr>
              <w:t>Macrolide tricyclique</w:t>
            </w:r>
          </w:p>
        </w:tc>
        <w:tc>
          <w:tcPr>
            <w:tcW w:type="dxa" w:w="1559"/>
          </w:tcPr>
          <w:p>
            <w:r>
              <w:rPr>
                <w:sz w:val="20"/>
              </w:rPr>
              <w:t>Dérivé 40-O-(2-HE) sirolimus</w:t>
            </w:r>
          </w:p>
        </w:tc>
        <w:tc>
          <w:tcPr>
            <w:tcW w:type="dxa" w:w="1559"/>
          </w:tcPr>
          <w:p>
            <w:r>
              <w:rPr>
                <w:sz w:val="20"/>
              </w:rPr>
              <w:t>Ester morpholino-éthyl MPA</w:t>
            </w:r>
          </w:p>
        </w:tc>
      </w:tr>
      <w:tr>
        <w:tc>
          <w:tcPr>
            <w:tcW w:type="dxa" w:w="1559"/>
          </w:tcPr>
          <w:p>
            <w:r>
              <w:rPr>
                <w:sz w:val="20"/>
              </w:rPr>
              <w:t>**Immunophiline**</w:t>
            </w:r>
          </w:p>
        </w:tc>
        <w:tc>
          <w:tcPr>
            <w:tcW w:type="dxa" w:w="1559"/>
          </w:tcPr>
          <w:p>
            <w:r>
              <w:rPr>
                <w:sz w:val="20"/>
              </w:rPr>
              <w:t>Cyclophiline A (CyPA)</w:t>
            </w:r>
          </w:p>
        </w:tc>
        <w:tc>
          <w:tcPr>
            <w:tcW w:type="dxa" w:w="1559"/>
          </w:tcPr>
          <w:p>
            <w:r>
              <w:rPr>
                <w:sz w:val="20"/>
              </w:rPr>
              <w:t>FKBP12</w:t>
            </w:r>
          </w:p>
        </w:tc>
        <w:tc>
          <w:tcPr>
            <w:tcW w:type="dxa" w:w="1559"/>
          </w:tcPr>
          <w:p>
            <w:r>
              <w:rPr>
                <w:sz w:val="20"/>
              </w:rPr>
              <w:t>FKBP12</w:t>
            </w:r>
          </w:p>
        </w:tc>
        <w:tc>
          <w:tcPr>
            <w:tcW w:type="dxa" w:w="1559"/>
          </w:tcPr>
          <w:p>
            <w:r>
              <w:rPr>
                <w:sz w:val="20"/>
              </w:rPr>
              <w:t>FKBP12</w:t>
            </w:r>
          </w:p>
        </w:tc>
        <w:tc>
          <w:tcPr>
            <w:tcW w:type="dxa" w:w="1559"/>
          </w:tcPr>
          <w:p>
            <w:r>
              <w:rPr>
                <w:sz w:val="20"/>
              </w:rPr>
              <w:t>Aucune (cible IMPDH)</w:t>
            </w:r>
          </w:p>
        </w:tc>
      </w:tr>
      <w:tr>
        <w:tc>
          <w:tcPr>
            <w:tcW w:type="dxa" w:w="1559"/>
          </w:tcPr>
          <w:p>
            <w:r>
              <w:rPr>
                <w:sz w:val="20"/>
              </w:rPr>
              <w:t>**Cible finale**</w:t>
            </w:r>
          </w:p>
        </w:tc>
        <w:tc>
          <w:tcPr>
            <w:tcW w:type="dxa" w:w="1559"/>
          </w:tcPr>
          <w:p>
            <w:r>
              <w:rPr>
                <w:sz w:val="20"/>
              </w:rPr>
              <w:t>Calcineurine (PP2B)</w:t>
            </w:r>
          </w:p>
        </w:tc>
        <w:tc>
          <w:tcPr>
            <w:tcW w:type="dxa" w:w="1559"/>
          </w:tcPr>
          <w:p>
            <w:r>
              <w:rPr>
                <w:sz w:val="20"/>
              </w:rPr>
              <w:t>Calcineurine (PP2B)</w:t>
            </w:r>
          </w:p>
        </w:tc>
        <w:tc>
          <w:tcPr>
            <w:tcW w:type="dxa" w:w="1559"/>
          </w:tcPr>
          <w:p>
            <w:r>
              <w:rPr>
                <w:sz w:val="20"/>
              </w:rPr>
              <w:t>mTORC1</w:t>
            </w:r>
          </w:p>
        </w:tc>
        <w:tc>
          <w:tcPr>
            <w:tcW w:type="dxa" w:w="1559"/>
          </w:tcPr>
          <w:p>
            <w:r>
              <w:rPr>
                <w:sz w:val="20"/>
              </w:rPr>
              <w:t>mTORC1</w:t>
            </w:r>
          </w:p>
        </w:tc>
        <w:tc>
          <w:tcPr>
            <w:tcW w:type="dxa" w:w="1559"/>
          </w:tcPr>
          <w:p>
            <w:r>
              <w:rPr>
                <w:sz w:val="20"/>
              </w:rPr>
              <w:t>IMPDH type II</w:t>
            </w:r>
          </w:p>
        </w:tc>
      </w:tr>
      <w:tr>
        <w:tc>
          <w:tcPr>
            <w:tcW w:type="dxa" w:w="1559"/>
          </w:tcPr>
          <w:p>
            <w:r>
              <w:rPr>
                <w:sz w:val="20"/>
              </w:rPr>
              <w:t>**Niveau d'action**</w:t>
            </w:r>
          </w:p>
        </w:tc>
        <w:tc>
          <w:tcPr>
            <w:tcW w:type="dxa" w:w="1559"/>
          </w:tcPr>
          <w:p>
            <w:r>
              <w:rPr>
                <w:sz w:val="20"/>
              </w:rPr>
              <w:t>Transcription IL-2</w:t>
            </w:r>
          </w:p>
        </w:tc>
        <w:tc>
          <w:tcPr>
            <w:tcW w:type="dxa" w:w="1559"/>
          </w:tcPr>
          <w:p>
            <w:r>
              <w:rPr>
                <w:sz w:val="20"/>
              </w:rPr>
              <w:t>Transcription IL-2</w:t>
            </w:r>
          </w:p>
        </w:tc>
        <w:tc>
          <w:tcPr>
            <w:tcW w:type="dxa" w:w="1559"/>
          </w:tcPr>
          <w:p>
            <w:r>
              <w:rPr>
                <w:sz w:val="20"/>
              </w:rPr>
              <w:t>Traduction (G1/S)</w:t>
            </w:r>
          </w:p>
        </w:tc>
        <w:tc>
          <w:tcPr>
            <w:tcW w:type="dxa" w:w="1559"/>
          </w:tcPr>
          <w:p>
            <w:r>
              <w:rPr>
                <w:sz w:val="20"/>
              </w:rPr>
              <w:t>Traduction (G1/S)</w:t>
            </w:r>
          </w:p>
        </w:tc>
        <w:tc>
          <w:tcPr>
            <w:tcW w:type="dxa" w:w="1559"/>
          </w:tcPr>
          <w:p>
            <w:r>
              <w:rPr>
                <w:sz w:val="20"/>
              </w:rPr>
              <w:t>Synthèse purines (GTP/dGTP)</w:t>
            </w:r>
          </w:p>
        </w:tc>
      </w:tr>
      <w:tr>
        <w:tc>
          <w:tcPr>
            <w:tcW w:type="dxa" w:w="1559"/>
          </w:tcPr>
          <w:p>
            <w:r>
              <w:rPr>
                <w:sz w:val="20"/>
              </w:rPr>
              <w:t>**Biodisponibilité orale**</w:t>
            </w:r>
          </w:p>
        </w:tc>
        <w:tc>
          <w:tcPr>
            <w:tcW w:type="dxa" w:w="1559"/>
          </w:tcPr>
          <w:p>
            <w:r>
              <w:rPr>
                <w:sz w:val="20"/>
              </w:rPr>
              <w:t>20-50 % (moy 30 %)</w:t>
            </w:r>
          </w:p>
        </w:tc>
        <w:tc>
          <w:tcPr>
            <w:tcW w:type="dxa" w:w="1559"/>
          </w:tcPr>
          <w:p>
            <w:r>
              <w:rPr>
                <w:sz w:val="20"/>
              </w:rPr>
              <w:t>5-67 % (moy 20 %)</w:t>
            </w:r>
          </w:p>
        </w:tc>
        <w:tc>
          <w:tcPr>
            <w:tcW w:type="dxa" w:w="1559"/>
          </w:tcPr>
          <w:p>
            <w:r>
              <w:rPr>
                <w:sz w:val="20"/>
              </w:rPr>
              <w:t>14-20 %</w:t>
            </w:r>
          </w:p>
        </w:tc>
        <w:tc>
          <w:tcPr>
            <w:tcW w:type="dxa" w:w="1559"/>
          </w:tcPr>
          <w:p>
            <w:r>
              <w:rPr>
                <w:sz w:val="20"/>
              </w:rPr>
              <w:t>15-30 %</w:t>
            </w:r>
          </w:p>
        </w:tc>
        <w:tc>
          <w:tcPr>
            <w:tcW w:type="dxa" w:w="1559"/>
          </w:tcPr>
          <w:p>
            <w:r>
              <w:rPr>
                <w:sz w:val="20"/>
              </w:rPr>
              <w:t>94 % (prodrogue → MPA)</w:t>
            </w:r>
          </w:p>
        </w:tc>
      </w:tr>
      <w:tr>
        <w:tc>
          <w:tcPr>
            <w:tcW w:type="dxa" w:w="1559"/>
          </w:tcPr>
          <w:p>
            <w:r>
              <w:rPr>
                <w:sz w:val="20"/>
              </w:rPr>
              <w:t>**Liaison P. plasmatiques**</w:t>
            </w:r>
          </w:p>
        </w:tc>
        <w:tc>
          <w:tcPr>
            <w:tcW w:type="dxa" w:w="1559"/>
          </w:tcPr>
          <w:p>
            <w:r>
              <w:rPr>
                <w:sz w:val="20"/>
              </w:rPr>
              <w:t>90 % (LDL, HDL)</w:t>
            </w:r>
          </w:p>
        </w:tc>
        <w:tc>
          <w:tcPr>
            <w:tcW w:type="dxa" w:w="1559"/>
          </w:tcPr>
          <w:p>
            <w:r>
              <w:rPr>
                <w:sz w:val="20"/>
              </w:rPr>
              <w:t>75 % (α1-GP)</w:t>
            </w:r>
          </w:p>
        </w:tc>
        <w:tc>
          <w:tcPr>
            <w:tcW w:type="dxa" w:w="1559"/>
          </w:tcPr>
          <w:p>
            <w:r>
              <w:rPr>
                <w:sz w:val="20"/>
              </w:rPr>
              <w:t>92 % (α1-GP)</w:t>
            </w:r>
          </w:p>
        </w:tc>
        <w:tc>
          <w:tcPr>
            <w:tcW w:type="dxa" w:w="1559"/>
          </w:tcPr>
          <w:p>
            <w:r>
              <w:rPr>
                <w:sz w:val="20"/>
              </w:rPr>
              <w:t>74 % (α1-GP)</w:t>
            </w:r>
          </w:p>
        </w:tc>
        <w:tc>
          <w:tcPr>
            <w:tcW w:type="dxa" w:w="1559"/>
          </w:tcPr>
          <w:p>
            <w:r>
              <w:rPr>
                <w:sz w:val="20"/>
              </w:rPr>
              <w:t>97 % (albumine)</w:t>
            </w:r>
          </w:p>
        </w:tc>
      </w:tr>
      <w:tr>
        <w:tc>
          <w:tcPr>
            <w:tcW w:type="dxa" w:w="1559"/>
          </w:tcPr>
          <w:p>
            <w:r>
              <w:rPr>
                <w:sz w:val="20"/>
              </w:rPr>
              <w:t>**Métabolisme**</w:t>
            </w:r>
          </w:p>
        </w:tc>
        <w:tc>
          <w:tcPr>
            <w:tcW w:type="dxa" w:w="1559"/>
          </w:tcPr>
          <w:p>
            <w:r>
              <w:rPr>
                <w:sz w:val="20"/>
              </w:rPr>
              <w:t>CYP3A4/5</w:t>
            </w:r>
          </w:p>
        </w:tc>
        <w:tc>
          <w:tcPr>
            <w:tcW w:type="dxa" w:w="1559"/>
          </w:tcPr>
          <w:p>
            <w:r>
              <w:rPr>
                <w:sz w:val="20"/>
              </w:rPr>
              <w:t>CYP3A4/5</w:t>
            </w:r>
          </w:p>
        </w:tc>
        <w:tc>
          <w:tcPr>
            <w:tcW w:type="dxa" w:w="1559"/>
          </w:tcPr>
          <w:p>
            <w:r>
              <w:rPr>
                <w:sz w:val="20"/>
              </w:rPr>
              <w:t>CYP3A4/5 + CYP2C8</w:t>
            </w:r>
          </w:p>
        </w:tc>
        <w:tc>
          <w:tcPr>
            <w:tcW w:type="dxa" w:w="1559"/>
          </w:tcPr>
          <w:p>
            <w:r>
              <w:rPr>
                <w:sz w:val="20"/>
              </w:rPr>
              <w:t>CYP3A4/5 + CYP2C8</w:t>
            </w:r>
          </w:p>
        </w:tc>
        <w:tc>
          <w:tcPr>
            <w:tcW w:type="dxa" w:w="1559"/>
          </w:tcPr>
          <w:p>
            <w:r>
              <w:rPr>
                <w:sz w:val="20"/>
              </w:rPr>
              <w:t>Glucuro-conjugaison UGT1A9/2B7</w:t>
            </w:r>
          </w:p>
        </w:tc>
      </w:tr>
      <w:tr>
        <w:tc>
          <w:tcPr>
            <w:tcW w:type="dxa" w:w="1559"/>
          </w:tcPr>
          <w:p>
            <w:r>
              <w:rPr>
                <w:sz w:val="20"/>
              </w:rPr>
              <w:t>**Demi-vie**</w:t>
            </w:r>
          </w:p>
        </w:tc>
        <w:tc>
          <w:tcPr>
            <w:tcW w:type="dxa" w:w="1559"/>
          </w:tcPr>
          <w:p>
            <w:r>
              <w:rPr>
                <w:sz w:val="20"/>
              </w:rPr>
              <w:t>8-20 h (moy 10 h)</w:t>
            </w:r>
          </w:p>
        </w:tc>
        <w:tc>
          <w:tcPr>
            <w:tcW w:type="dxa" w:w="1559"/>
          </w:tcPr>
          <w:p>
            <w:r>
              <w:rPr>
                <w:sz w:val="20"/>
              </w:rPr>
              <w:t>12-20 h (moy 15 h)</w:t>
            </w:r>
          </w:p>
        </w:tc>
        <w:tc>
          <w:tcPr>
            <w:tcW w:type="dxa" w:w="1559"/>
          </w:tcPr>
          <w:p>
            <w:r>
              <w:rPr>
                <w:sz w:val="20"/>
              </w:rPr>
              <w:t>60-70 h</w:t>
            </w:r>
          </w:p>
        </w:tc>
        <w:tc>
          <w:tcPr>
            <w:tcW w:type="dxa" w:w="1559"/>
          </w:tcPr>
          <w:p>
            <w:r>
              <w:rPr>
                <w:sz w:val="20"/>
              </w:rPr>
              <w:t>30 h</w:t>
            </w:r>
          </w:p>
        </w:tc>
        <w:tc>
          <w:tcPr>
            <w:tcW w:type="dxa" w:w="1559"/>
          </w:tcPr>
          <w:p>
            <w:r>
              <w:rPr>
                <w:sz w:val="20"/>
              </w:rPr>
              <w:t>8-18 h (moy 12-17 h, MPA)</w:t>
            </w:r>
          </w:p>
        </w:tc>
      </w:tr>
      <w:tr>
        <w:tc>
          <w:tcPr>
            <w:tcW w:type="dxa" w:w="1559"/>
          </w:tcPr>
          <w:p>
            <w:r>
              <w:rPr>
                <w:sz w:val="20"/>
              </w:rPr>
              <w:t>**Fréquence d'administration**</w:t>
            </w:r>
          </w:p>
        </w:tc>
        <w:tc>
          <w:tcPr>
            <w:tcW w:type="dxa" w:w="1559"/>
          </w:tcPr>
          <w:p>
            <w:r>
              <w:rPr>
                <w:sz w:val="20"/>
              </w:rPr>
              <w:t>2 × /jour</w:t>
            </w:r>
          </w:p>
        </w:tc>
        <w:tc>
          <w:tcPr>
            <w:tcW w:type="dxa" w:w="1559"/>
          </w:tcPr>
          <w:p>
            <w:r>
              <w:rPr>
                <w:sz w:val="20"/>
              </w:rPr>
              <w:t>2 × /jour</w:t>
            </w:r>
          </w:p>
        </w:tc>
        <w:tc>
          <w:tcPr>
            <w:tcW w:type="dxa" w:w="1559"/>
          </w:tcPr>
          <w:p>
            <w:r>
              <w:rPr>
                <w:sz w:val="20"/>
              </w:rPr>
              <w:t>1 × /jour</w:t>
            </w:r>
          </w:p>
        </w:tc>
        <w:tc>
          <w:tcPr>
            <w:tcW w:type="dxa" w:w="1559"/>
          </w:tcPr>
          <w:p>
            <w:r>
              <w:rPr>
                <w:sz w:val="20"/>
              </w:rPr>
              <w:t>2 × /jour</w:t>
            </w:r>
          </w:p>
        </w:tc>
        <w:tc>
          <w:tcPr>
            <w:tcW w:type="dxa" w:w="1559"/>
          </w:tcPr>
          <w:p>
            <w:r>
              <w:rPr>
                <w:sz w:val="20"/>
              </w:rPr>
              <w:t>2 × /jour</w:t>
            </w:r>
          </w:p>
        </w:tc>
      </w:tr>
      <w:tr>
        <w:tc>
          <w:tcPr>
            <w:tcW w:type="dxa" w:w="1559"/>
          </w:tcPr>
          <w:p>
            <w:r>
              <w:rPr>
                <w:sz w:val="20"/>
              </w:rPr>
              <w:t>**Cibles C0 (transplant. rénale)**</w:t>
            </w:r>
          </w:p>
        </w:tc>
        <w:tc>
          <w:tcPr>
            <w:tcW w:type="dxa" w:w="1559"/>
          </w:tcPr>
          <w:p>
            <w:r>
              <w:rPr>
                <w:sz w:val="20"/>
              </w:rPr>
              <w:t>100-300 ng/mL</w:t>
            </w:r>
          </w:p>
        </w:tc>
        <w:tc>
          <w:tcPr>
            <w:tcW w:type="dxa" w:w="1559"/>
          </w:tcPr>
          <w:p>
            <w:r>
              <w:rPr>
                <w:sz w:val="20"/>
              </w:rPr>
              <w:t>4-12 ng/mL</w:t>
            </w:r>
          </w:p>
        </w:tc>
        <w:tc>
          <w:tcPr>
            <w:tcW w:type="dxa" w:w="1559"/>
          </w:tcPr>
          <w:p>
            <w:r>
              <w:rPr>
                <w:sz w:val="20"/>
              </w:rPr>
              <w:t>4-12 ng/mL</w:t>
            </w:r>
          </w:p>
        </w:tc>
        <w:tc>
          <w:tcPr>
            <w:tcW w:type="dxa" w:w="1559"/>
          </w:tcPr>
          <w:p>
            <w:r>
              <w:rPr>
                <w:sz w:val="20"/>
              </w:rPr>
              <w:t>3-8 ng/mL</w:t>
            </w:r>
          </w:p>
        </w:tc>
        <w:tc>
          <w:tcPr>
            <w:tcW w:type="dxa" w:w="1559"/>
          </w:tcPr>
          <w:p>
            <w:r>
              <w:rPr>
                <w:sz w:val="20"/>
              </w:rPr>
              <w:t>1-3,5 mg/L (MPA, non systématique)</w:t>
            </w:r>
          </w:p>
        </w:tc>
      </w:tr>
      <w:tr>
        <w:tc>
          <w:tcPr>
            <w:tcW w:type="dxa" w:w="1559"/>
          </w:tcPr>
          <w:p>
            <w:r>
              <w:rPr>
                <w:sz w:val="20"/>
              </w:rPr>
              <w:t>**Néphrotoxicité**</w:t>
            </w:r>
          </w:p>
        </w:tc>
        <w:tc>
          <w:tcPr>
            <w:tcW w:type="dxa" w:w="1559"/>
          </w:tcPr>
          <w:p>
            <w:r>
              <w:rPr>
                <w:sz w:val="20"/>
              </w:rPr>
              <w:t>Oui (aiguë et chronique)</w:t>
            </w:r>
          </w:p>
        </w:tc>
        <w:tc>
          <w:tcPr>
            <w:tcW w:type="dxa" w:w="1559"/>
          </w:tcPr>
          <w:p>
            <w:r>
              <w:rPr>
                <w:sz w:val="20"/>
              </w:rPr>
              <w:t>Oui (aiguë et chronique)</w:t>
            </w:r>
          </w:p>
        </w:tc>
        <w:tc>
          <w:tcPr>
            <w:tcW w:type="dxa" w:w="1559"/>
          </w:tcPr>
          <w:p>
            <w:r>
              <w:rPr>
                <w:sz w:val="20"/>
              </w:rPr>
              <w:t>Non (mais potentialise CsA)</w:t>
            </w:r>
          </w:p>
        </w:tc>
        <w:tc>
          <w:tcPr>
            <w:tcW w:type="dxa" w:w="1559"/>
          </w:tcPr>
          <w:p>
            <w:r>
              <w:rPr>
                <w:sz w:val="20"/>
              </w:rPr>
              <w:t>Non (mais potentialise CsA)</w:t>
            </w:r>
          </w:p>
        </w:tc>
        <w:tc>
          <w:tcPr>
            <w:tcW w:type="dxa" w:w="1559"/>
          </w:tcPr>
          <w:p>
            <w:r>
              <w:rPr>
                <w:sz w:val="20"/>
              </w:rPr>
              <w:t>Non</w:t>
            </w:r>
          </w:p>
        </w:tc>
      </w:tr>
      <w:tr>
        <w:tc>
          <w:tcPr>
            <w:tcW w:type="dxa" w:w="1559"/>
          </w:tcPr>
          <w:p>
            <w:r>
              <w:rPr>
                <w:sz w:val="20"/>
              </w:rPr>
              <w:t>**HTA**</w:t>
            </w:r>
          </w:p>
        </w:tc>
        <w:tc>
          <w:tcPr>
            <w:tcW w:type="dxa" w:w="1559"/>
          </w:tcPr>
          <w:p>
            <w:r>
              <w:rPr>
                <w:sz w:val="20"/>
              </w:rPr>
              <w:t>Oui (50-80 %)</w:t>
            </w:r>
          </w:p>
        </w:tc>
        <w:tc>
          <w:tcPr>
            <w:tcW w:type="dxa" w:w="1559"/>
          </w:tcPr>
          <w:p>
            <w:r>
              <w:rPr>
                <w:sz w:val="20"/>
              </w:rPr>
              <w:t>Oui (50-80 %)</w:t>
            </w:r>
          </w:p>
        </w:tc>
        <w:tc>
          <w:tcPr>
            <w:tcW w:type="dxa" w:w="1559"/>
          </w:tcPr>
          <w:p>
            <w:r>
              <w:rPr>
                <w:sz w:val="20"/>
              </w:rPr>
              <w:t>Modérée (30-50 %)</w:t>
            </w:r>
          </w:p>
        </w:tc>
        <w:tc>
          <w:tcPr>
            <w:tcW w:type="dxa" w:w="1559"/>
          </w:tcPr>
          <w:p>
            <w:r>
              <w:rPr>
                <w:sz w:val="20"/>
              </w:rPr>
              <w:t>Modérée (15-25 %)</w:t>
            </w:r>
          </w:p>
        </w:tc>
        <w:tc>
          <w:tcPr>
            <w:tcW w:type="dxa" w:w="1559"/>
          </w:tcPr>
          <w:p>
            <w:r>
              <w:rPr>
                <w:sz w:val="20"/>
              </w:rPr>
              <w:t>Modérée (15-25 %, potent. ICN)</w:t>
            </w:r>
          </w:p>
        </w:tc>
      </w:tr>
      <w:tr>
        <w:tc>
          <w:tcPr>
            <w:tcW w:type="dxa" w:w="1559"/>
          </w:tcPr>
          <w:p>
            <w:r>
              <w:rPr>
                <w:sz w:val="20"/>
              </w:rPr>
              <w:t>**Neurotoxicité**</w:t>
            </w:r>
          </w:p>
        </w:tc>
        <w:tc>
          <w:tcPr>
            <w:tcW w:type="dxa" w:w="1559"/>
          </w:tcPr>
          <w:p>
            <w:r>
              <w:rPr>
                <w:sz w:val="20"/>
              </w:rPr>
              <w:t>Tremblements, PRES</w:t>
            </w:r>
          </w:p>
        </w:tc>
        <w:tc>
          <w:tcPr>
            <w:tcW w:type="dxa" w:w="1559"/>
          </w:tcPr>
          <w:p>
            <w:r>
              <w:rPr>
                <w:sz w:val="20"/>
              </w:rPr>
              <w:t>Tremblements, PRES (++)</w:t>
            </w:r>
          </w:p>
        </w:tc>
        <w:tc>
          <w:tcPr>
            <w:tcW w:type="dxa" w:w="1559"/>
          </w:tcPr>
          <w:p>
            <w:r>
              <w:rPr>
                <w:sz w:val="20"/>
              </w:rPr>
              <w:t>Modérée</w:t>
            </w:r>
          </w:p>
        </w:tc>
        <w:tc>
          <w:tcPr>
            <w:tcW w:type="dxa" w:w="1559"/>
          </w:tcPr>
          <w:p>
            <w:r>
              <w:rPr>
                <w:sz w:val="20"/>
              </w:rPr>
              <w:t>Modérée</w:t>
            </w:r>
          </w:p>
        </w:tc>
        <w:tc>
          <w:tcPr>
            <w:tcW w:type="dxa" w:w="1559"/>
          </w:tcPr>
          <w:p>
            <w:r>
              <w:rPr>
                <w:sz w:val="20"/>
              </w:rPr>
              <w:t>Aucune</w:t>
            </w:r>
          </w:p>
        </w:tc>
      </w:tr>
      <w:tr>
        <w:tc>
          <w:tcPr>
            <w:tcW w:type="dxa" w:w="1559"/>
          </w:tcPr>
          <w:p>
            <w:r>
              <w:rPr>
                <w:sz w:val="20"/>
              </w:rPr>
              <w:t>**Diabétogénicité**</w:t>
            </w:r>
          </w:p>
        </w:tc>
        <w:tc>
          <w:tcPr>
            <w:tcW w:type="dxa" w:w="1559"/>
          </w:tcPr>
          <w:p>
            <w:r>
              <w:rPr>
                <w:sz w:val="20"/>
              </w:rPr>
              <w:t>Modérée</w:t>
            </w:r>
          </w:p>
        </w:tc>
        <w:tc>
          <w:tcPr>
            <w:tcW w:type="dxa" w:w="1559"/>
          </w:tcPr>
          <w:p>
            <w:r>
              <w:rPr>
                <w:sz w:val="20"/>
              </w:rPr>
              <w:t>Élevée (NODAT 15-30 %)</w:t>
            </w:r>
          </w:p>
        </w:tc>
        <w:tc>
          <w:tcPr>
            <w:tcW w:type="dxa" w:w="1559"/>
          </w:tcPr>
          <w:p>
            <w:r>
              <w:rPr>
                <w:sz w:val="20"/>
              </w:rPr>
              <w:t>Modérée</w:t>
            </w:r>
          </w:p>
        </w:tc>
        <w:tc>
          <w:tcPr>
            <w:tcW w:type="dxa" w:w="1559"/>
          </w:tcPr>
          <w:p>
            <w:r>
              <w:rPr>
                <w:sz w:val="20"/>
              </w:rPr>
              <w:t>Modérée (15-25 %)</w:t>
            </w:r>
          </w:p>
        </w:tc>
        <w:tc>
          <w:tcPr>
            <w:tcW w:type="dxa" w:w="1559"/>
          </w:tcPr>
          <w:p>
            <w:r>
              <w:rPr>
                <w:sz w:val="20"/>
              </w:rPr>
              <w:t>Modérée (potent. ICN)</w:t>
            </w:r>
          </w:p>
        </w:tc>
      </w:tr>
      <w:tr>
        <w:tc>
          <w:tcPr>
            <w:tcW w:type="dxa" w:w="1559"/>
          </w:tcPr>
          <w:p>
            <w:r>
              <w:rPr>
                <w:sz w:val="20"/>
              </w:rPr>
              <w:t>**Dyslipidémie**</w:t>
            </w:r>
          </w:p>
        </w:tc>
        <w:tc>
          <w:tcPr>
            <w:tcW w:type="dxa" w:w="1559"/>
          </w:tcPr>
          <w:p>
            <w:r>
              <w:rPr>
                <w:sz w:val="20"/>
              </w:rPr>
              <w:t>Oui (30-50 %)</w:t>
            </w:r>
          </w:p>
        </w:tc>
        <w:tc>
          <w:tcPr>
            <w:tcW w:type="dxa" w:w="1559"/>
          </w:tcPr>
          <w:p>
            <w:r>
              <w:rPr>
                <w:sz w:val="20"/>
              </w:rPr>
              <w:t>Oui (20-30 %)</w:t>
            </w:r>
          </w:p>
        </w:tc>
        <w:tc>
          <w:tcPr>
            <w:tcW w:type="dxa" w:w="1559"/>
          </w:tcPr>
          <w:p>
            <w:r>
              <w:rPr>
                <w:sz w:val="20"/>
              </w:rPr>
              <w:t>Oui (40-70 %)</w:t>
            </w:r>
          </w:p>
        </w:tc>
        <w:tc>
          <w:tcPr>
            <w:tcW w:type="dxa" w:w="1559"/>
          </w:tcPr>
          <w:p>
            <w:r>
              <w:rPr>
                <w:sz w:val="20"/>
              </w:rPr>
              <w:t>Oui (40-70 %)</w:t>
            </w:r>
          </w:p>
        </w:tc>
        <w:tc>
          <w:tcPr>
            <w:tcW w:type="dxa" w:w="1559"/>
          </w:tcPr>
          <w:p>
            <w:r>
              <w:rPr>
                <w:sz w:val="20"/>
              </w:rPr>
              <w:t>Aucune</w:t>
            </w:r>
          </w:p>
        </w:tc>
      </w:tr>
      <w:tr>
        <w:tc>
          <w:tcPr>
            <w:tcW w:type="dxa" w:w="1559"/>
          </w:tcPr>
          <w:p>
            <w:r>
              <w:rPr>
                <w:sz w:val="20"/>
              </w:rPr>
              <w:t>**Effets hématologiques**</w:t>
            </w:r>
          </w:p>
        </w:tc>
        <w:tc>
          <w:tcPr>
            <w:tcW w:type="dxa" w:w="1559"/>
          </w:tcPr>
          <w:p>
            <w:r>
              <w:rPr>
                <w:sz w:val="20"/>
              </w:rPr>
              <w:t>Rare</w:t>
            </w:r>
          </w:p>
        </w:tc>
        <w:tc>
          <w:tcPr>
            <w:tcW w:type="dxa" w:w="1559"/>
          </w:tcPr>
          <w:p>
            <w:r>
              <w:rPr>
                <w:sz w:val="20"/>
              </w:rPr>
              <w:t>Rare</w:t>
            </w:r>
          </w:p>
        </w:tc>
        <w:tc>
          <w:tcPr>
            <w:tcW w:type="dxa" w:w="1559"/>
          </w:tcPr>
          <w:p>
            <w:r>
              <w:rPr>
                <w:sz w:val="20"/>
              </w:rPr>
              <w:t>Thrombopénie (20-30 %)</w:t>
            </w:r>
          </w:p>
        </w:tc>
        <w:tc>
          <w:tcPr>
            <w:tcW w:type="dxa" w:w="1559"/>
          </w:tcPr>
          <w:p>
            <w:r>
              <w:rPr>
                <w:sz w:val="20"/>
              </w:rPr>
              <w:t>Thrombopénie (20-30 %)</w:t>
            </w:r>
          </w:p>
        </w:tc>
        <w:tc>
          <w:tcPr>
            <w:tcW w:type="dxa" w:w="1559"/>
          </w:tcPr>
          <w:p>
            <w:r>
              <w:rPr>
                <w:sz w:val="20"/>
              </w:rPr>
              <w:t>Leucopénie (20-35 %), thrombopénie</w:t>
            </w:r>
          </w:p>
        </w:tc>
      </w:tr>
      <w:tr>
        <w:tc>
          <w:tcPr>
            <w:tcW w:type="dxa" w:w="1559"/>
          </w:tcPr>
          <w:p>
            <w:r>
              <w:rPr>
                <w:sz w:val="20"/>
              </w:rPr>
              <w:t>**Effets digestifs**</w:t>
            </w:r>
          </w:p>
        </w:tc>
        <w:tc>
          <w:tcPr>
            <w:tcW w:type="dxa" w:w="1559"/>
          </w:tcPr>
          <w:p>
            <w:r>
              <w:rPr>
                <w:sz w:val="20"/>
              </w:rPr>
              <w:t>Modérés</w:t>
            </w:r>
          </w:p>
        </w:tc>
        <w:tc>
          <w:tcPr>
            <w:tcW w:type="dxa" w:w="1559"/>
          </w:tcPr>
          <w:p>
            <w:r>
              <w:rPr>
                <w:sz w:val="20"/>
              </w:rPr>
              <w:t>Diarrhée (20-30 %)</w:t>
            </w:r>
          </w:p>
        </w:tc>
        <w:tc>
          <w:tcPr>
            <w:tcW w:type="dxa" w:w="1559"/>
          </w:tcPr>
          <w:p>
            <w:r>
              <w:rPr>
                <w:sz w:val="20"/>
              </w:rPr>
              <w:t>Diarrhée (15-30 %)</w:t>
            </w:r>
          </w:p>
        </w:tc>
        <w:tc>
          <w:tcPr>
            <w:tcW w:type="dxa" w:w="1559"/>
          </w:tcPr>
          <w:p>
            <w:r>
              <w:rPr>
                <w:sz w:val="20"/>
              </w:rPr>
              <w:t>Stomatite (30-50 %), diarrhée</w:t>
            </w:r>
          </w:p>
        </w:tc>
        <w:tc>
          <w:tcPr>
            <w:tcW w:type="dxa" w:w="1559"/>
          </w:tcPr>
          <w:p>
            <w:r>
              <w:rPr>
                <w:sz w:val="20"/>
              </w:rPr>
              <w:t>Diarrhée (30-40 %)</w:t>
            </w:r>
          </w:p>
        </w:tc>
      </w:tr>
      <w:tr>
        <w:tc>
          <w:tcPr>
            <w:tcW w:type="dxa" w:w="1559"/>
          </w:tcPr>
          <w:p>
            <w:r>
              <w:rPr>
                <w:sz w:val="20"/>
              </w:rPr>
              <w:t>**Hypertrichose**</w:t>
            </w:r>
          </w:p>
        </w:tc>
        <w:tc>
          <w:tcPr>
            <w:tcW w:type="dxa" w:w="1559"/>
          </w:tcPr>
          <w:p>
            <w:r>
              <w:rPr>
                <w:sz w:val="20"/>
              </w:rPr>
              <w:t>Oui (20-50 %)</w:t>
            </w:r>
          </w:p>
        </w:tc>
        <w:tc>
          <w:tcPr>
            <w:tcW w:type="dxa" w:w="1559"/>
          </w:tcPr>
          <w:p>
            <w:r>
              <w:rPr>
                <w:sz w:val="20"/>
              </w:rPr>
              <w:t>Non</w:t>
            </w:r>
          </w:p>
        </w:tc>
        <w:tc>
          <w:tcPr>
            <w:tcW w:type="dxa" w:w="1559"/>
          </w:tcPr>
          <w:p>
            <w:r>
              <w:rPr>
                <w:sz w:val="20"/>
              </w:rPr>
              <w:t>Non</w:t>
            </w:r>
          </w:p>
        </w:tc>
        <w:tc>
          <w:tcPr>
            <w:tcW w:type="dxa" w:w="1559"/>
          </w:tcPr>
          <w:p>
            <w:r>
              <w:rPr>
                <w:sz w:val="20"/>
              </w:rPr>
              <w:t>Non</w:t>
            </w:r>
          </w:p>
        </w:tc>
        <w:tc>
          <w:tcPr>
            <w:tcW w:type="dxa" w:w="1559"/>
          </w:tcPr>
          <w:p>
            <w:r>
              <w:rPr>
                <w:sz w:val="20"/>
              </w:rPr>
              <w:t>Non</w:t>
            </w:r>
          </w:p>
        </w:tc>
      </w:tr>
      <w:tr>
        <w:tc>
          <w:tcPr>
            <w:tcW w:type="dxa" w:w="1559"/>
          </w:tcPr>
          <w:p>
            <w:r>
              <w:rPr>
                <w:sz w:val="20"/>
              </w:rPr>
              <w:t>**Hypertrophie gingivale**</w:t>
            </w:r>
          </w:p>
        </w:tc>
        <w:tc>
          <w:tcPr>
            <w:tcW w:type="dxa" w:w="1559"/>
          </w:tcPr>
          <w:p>
            <w:r>
              <w:rPr>
                <w:sz w:val="20"/>
              </w:rPr>
              <w:t>Oui (25-30 %)</w:t>
            </w:r>
          </w:p>
        </w:tc>
        <w:tc>
          <w:tcPr>
            <w:tcW w:type="dxa" w:w="1559"/>
          </w:tcPr>
          <w:p>
            <w:r>
              <w:rPr>
                <w:sz w:val="20"/>
              </w:rPr>
              <w:t>Non (&lt; 5 %)</w:t>
            </w:r>
          </w:p>
        </w:tc>
        <w:tc>
          <w:tcPr>
            <w:tcW w:type="dxa" w:w="1559"/>
          </w:tcPr>
          <w:p>
            <w:r>
              <w:rPr>
                <w:sz w:val="20"/>
              </w:rPr>
              <w:t>Non</w:t>
            </w:r>
          </w:p>
        </w:tc>
        <w:tc>
          <w:tcPr>
            <w:tcW w:type="dxa" w:w="1559"/>
          </w:tcPr>
          <w:p>
            <w:r>
              <w:rPr>
                <w:sz w:val="20"/>
              </w:rPr>
              <w:t>Non</w:t>
            </w:r>
          </w:p>
        </w:tc>
        <w:tc>
          <w:tcPr>
            <w:tcW w:type="dxa" w:w="1559"/>
          </w:tcPr>
          <w:p>
            <w:r>
              <w:rPr>
                <w:sz w:val="20"/>
              </w:rPr>
              <w:t>Non</w:t>
            </w:r>
          </w:p>
        </w:tc>
      </w:tr>
      <w:tr>
        <w:tc>
          <w:tcPr>
            <w:tcW w:type="dxa" w:w="1559"/>
          </w:tcPr>
          <w:p>
            <w:r>
              <w:rPr>
                <w:sz w:val="20"/>
              </w:rPr>
              <w:t>**Retard de cicatrisation**</w:t>
            </w:r>
          </w:p>
        </w:tc>
        <w:tc>
          <w:tcPr>
            <w:tcW w:type="dxa" w:w="1559"/>
          </w:tcPr>
          <w:p>
            <w:r>
              <w:rPr>
                <w:sz w:val="20"/>
              </w:rPr>
              <w:t>Non</w:t>
            </w:r>
          </w:p>
        </w:tc>
        <w:tc>
          <w:tcPr>
            <w:tcW w:type="dxa" w:w="1559"/>
          </w:tcPr>
          <w:p>
            <w:r>
              <w:rPr>
                <w:sz w:val="20"/>
              </w:rPr>
              <w:t>Non</w:t>
            </w:r>
          </w:p>
        </w:tc>
        <w:tc>
          <w:tcPr>
            <w:tcW w:type="dxa" w:w="1559"/>
          </w:tcPr>
          <w:p>
            <w:r>
              <w:rPr>
                <w:sz w:val="20"/>
              </w:rPr>
              <w:t>Oui (10-30 %)</w:t>
            </w:r>
          </w:p>
        </w:tc>
        <w:tc>
          <w:tcPr>
            <w:tcW w:type="dxa" w:w="1559"/>
          </w:tcPr>
          <w:p>
            <w:r>
              <w:rPr>
                <w:sz w:val="20"/>
              </w:rPr>
              <w:t>Oui (10-20 %)</w:t>
            </w:r>
          </w:p>
        </w:tc>
        <w:tc>
          <w:tcPr>
            <w:tcW w:type="dxa" w:w="1559"/>
          </w:tcPr>
          <w:p>
            <w:r>
              <w:rPr>
                <w:sz w:val="20"/>
              </w:rPr>
              <w:t>Non</w:t>
            </w:r>
          </w:p>
        </w:tc>
      </w:tr>
      <w:tr>
        <w:tc>
          <w:tcPr>
            <w:tcW w:type="dxa" w:w="1559"/>
          </w:tcPr>
          <w:p>
            <w:r>
              <w:rPr>
                <w:sz w:val="20"/>
              </w:rPr>
              <w:t>**Pneumopathie interstitielle**</w:t>
            </w:r>
          </w:p>
        </w:tc>
        <w:tc>
          <w:tcPr>
            <w:tcW w:type="dxa" w:w="1559"/>
          </w:tcPr>
          <w:p>
            <w:r>
              <w:rPr>
                <w:sz w:val="20"/>
              </w:rPr>
              <w:t>Non</w:t>
            </w:r>
          </w:p>
        </w:tc>
        <w:tc>
          <w:tcPr>
            <w:tcW w:type="dxa" w:w="1559"/>
          </w:tcPr>
          <w:p>
            <w:r>
              <w:rPr>
                <w:sz w:val="20"/>
              </w:rPr>
              <w:t>Non</w:t>
            </w:r>
          </w:p>
        </w:tc>
        <w:tc>
          <w:tcPr>
            <w:tcW w:type="dxa" w:w="1559"/>
          </w:tcPr>
          <w:p>
            <w:r>
              <w:rPr>
                <w:sz w:val="20"/>
              </w:rPr>
              <w:t>Rare (1-5 %)</w:t>
            </w:r>
          </w:p>
        </w:tc>
        <w:tc>
          <w:tcPr>
            <w:tcW w:type="dxa" w:w="1559"/>
          </w:tcPr>
          <w:p>
            <w:r>
              <w:rPr>
                <w:sz w:val="20"/>
              </w:rPr>
              <w:t>Oui (10-20 %)</w:t>
            </w:r>
          </w:p>
        </w:tc>
        <w:tc>
          <w:tcPr>
            <w:tcW w:type="dxa" w:w="1559"/>
          </w:tcPr>
          <w:p>
            <w:r>
              <w:rPr>
                <w:sz w:val="20"/>
              </w:rPr>
              <w:t>Rare</w:t>
            </w:r>
          </w:p>
        </w:tc>
      </w:tr>
      <w:tr>
        <w:tc>
          <w:tcPr>
            <w:tcW w:type="dxa" w:w="1559"/>
          </w:tcPr>
          <w:p>
            <w:r>
              <w:rPr>
                <w:sz w:val="20"/>
              </w:rPr>
              <w:t>**Grossesse**</w:t>
            </w:r>
          </w:p>
        </w:tc>
        <w:tc>
          <w:tcPr>
            <w:tcW w:type="dxa" w:w="1559"/>
          </w:tcPr>
          <w:p>
            <w:r>
              <w:rPr>
                <w:sz w:val="20"/>
              </w:rPr>
              <w:t>Compatible (CRAT)</w:t>
            </w:r>
          </w:p>
        </w:tc>
        <w:tc>
          <w:tcPr>
            <w:tcW w:type="dxa" w:w="1559"/>
          </w:tcPr>
          <w:p>
            <w:r>
              <w:rPr>
                <w:sz w:val="20"/>
              </w:rPr>
              <w:t>Compatible (CRAT)</w:t>
            </w:r>
          </w:p>
        </w:tc>
        <w:tc>
          <w:tcPr>
            <w:tcW w:type="dxa" w:w="1559"/>
          </w:tcPr>
          <w:p>
            <w:r>
              <w:rPr>
                <w:sz w:val="20"/>
              </w:rPr>
              <w:t>Contre-indiqué</w:t>
            </w:r>
          </w:p>
        </w:tc>
        <w:tc>
          <w:tcPr>
            <w:tcW w:type="dxa" w:w="1559"/>
          </w:tcPr>
          <w:p>
            <w:r>
              <w:rPr>
                <w:sz w:val="20"/>
              </w:rPr>
              <w:t>Contre-indiqué</w:t>
            </w:r>
          </w:p>
        </w:tc>
        <w:tc>
          <w:tcPr>
            <w:tcW w:type="dxa" w:w="1559"/>
          </w:tcPr>
          <w:p>
            <w:r>
              <w:rPr>
                <w:sz w:val="20"/>
              </w:rPr>
              <w:t>Contre-indication absolue (tératogène)</w:t>
            </w:r>
          </w:p>
        </w:tc>
      </w:tr>
      <w:tr>
        <w:tc>
          <w:tcPr>
            <w:tcW w:type="dxa" w:w="1559"/>
          </w:tcPr>
          <w:p>
            <w:r>
              <w:rPr>
                <w:sz w:val="20"/>
              </w:rPr>
              <w:t>**Allaitement**</w:t>
            </w:r>
          </w:p>
        </w:tc>
        <w:tc>
          <w:tcPr>
            <w:tcW w:type="dxa" w:w="1559"/>
          </w:tcPr>
          <w:p>
            <w:r>
              <w:rPr>
                <w:sz w:val="20"/>
              </w:rPr>
              <w:t>Possible</w:t>
            </w:r>
          </w:p>
        </w:tc>
        <w:tc>
          <w:tcPr>
            <w:tcW w:type="dxa" w:w="1559"/>
          </w:tcPr>
          <w:p>
            <w:r>
              <w:rPr>
                <w:sz w:val="20"/>
              </w:rPr>
              <w:t>Possible</w:t>
            </w:r>
          </w:p>
        </w:tc>
        <w:tc>
          <w:tcPr>
            <w:tcW w:type="dxa" w:w="1559"/>
          </w:tcPr>
          <w:p>
            <w:r>
              <w:rPr>
                <w:sz w:val="20"/>
              </w:rPr>
              <w:t>Contre-indiqué</w:t>
            </w:r>
          </w:p>
        </w:tc>
        <w:tc>
          <w:tcPr>
            <w:tcW w:type="dxa" w:w="1559"/>
          </w:tcPr>
          <w:p>
            <w:r>
              <w:rPr>
                <w:sz w:val="20"/>
              </w:rPr>
              <w:t>Contre-indiqué</w:t>
            </w:r>
          </w:p>
        </w:tc>
        <w:tc>
          <w:tcPr>
            <w:tcW w:type="dxa" w:w="1559"/>
          </w:tcPr>
          <w:p>
            <w:r>
              <w:rPr>
                <w:sz w:val="20"/>
              </w:rPr>
              <w:t>Contre-indiqué</w:t>
            </w:r>
          </w:p>
        </w:tc>
      </w:tr>
      <w:tr>
        <w:tc>
          <w:tcPr>
            <w:tcW w:type="dxa" w:w="1559"/>
          </w:tcPr>
          <w:p>
            <w:r>
              <w:rPr>
                <w:sz w:val="20"/>
              </w:rPr>
              <w:t>**Vaccins vivants**</w:t>
            </w:r>
          </w:p>
        </w:tc>
        <w:tc>
          <w:tcPr>
            <w:tcW w:type="dxa" w:w="1559"/>
          </w:tcPr>
          <w:p>
            <w:r>
              <w:rPr>
                <w:sz w:val="20"/>
              </w:rPr>
              <w:t>Contre-indiqués</w:t>
            </w:r>
          </w:p>
        </w:tc>
        <w:tc>
          <w:tcPr>
            <w:tcW w:type="dxa" w:w="1559"/>
          </w:tcPr>
          <w:p>
            <w:r>
              <w:rPr>
                <w:sz w:val="20"/>
              </w:rPr>
              <w:t>Contre-indiqués</w:t>
            </w:r>
          </w:p>
        </w:tc>
        <w:tc>
          <w:tcPr>
            <w:tcW w:type="dxa" w:w="1559"/>
          </w:tcPr>
          <w:p>
            <w:r>
              <w:rPr>
                <w:sz w:val="20"/>
              </w:rPr>
              <w:t>Contre-indiqués</w:t>
            </w:r>
          </w:p>
        </w:tc>
        <w:tc>
          <w:tcPr>
            <w:tcW w:type="dxa" w:w="1559"/>
          </w:tcPr>
          <w:p>
            <w:r>
              <w:rPr>
                <w:sz w:val="20"/>
              </w:rPr>
              <w:t>Contre-indiqués</w:t>
            </w:r>
          </w:p>
        </w:tc>
        <w:tc>
          <w:tcPr>
            <w:tcW w:type="dxa" w:w="1559"/>
          </w:tcPr>
          <w:p>
            <w:r>
              <w:rPr>
                <w:sz w:val="20"/>
              </w:rPr>
              <w:t>Contre-indiqués</w:t>
            </w:r>
          </w:p>
        </w:tc>
      </w:tr>
      <w:tr>
        <w:tc>
          <w:tcPr>
            <w:tcW w:type="dxa" w:w="1559"/>
          </w:tcPr>
          <w:p>
            <w:r>
              <w:rPr>
                <w:sz w:val="20"/>
              </w:rPr>
              <w:t>**Surveillance**</w:t>
            </w:r>
          </w:p>
        </w:tc>
        <w:tc>
          <w:tcPr>
            <w:tcW w:type="dxa" w:w="1559"/>
          </w:tcPr>
          <w:p>
            <w:r>
              <w:rPr>
                <w:sz w:val="20"/>
              </w:rPr>
              <w:t>C0, créat, K+, Mg2+, TA, glyc</w:t>
            </w:r>
          </w:p>
        </w:tc>
        <w:tc>
          <w:tcPr>
            <w:tcW w:type="dxa" w:w="1559"/>
          </w:tcPr>
          <w:p>
            <w:r>
              <w:rPr>
                <w:sz w:val="20"/>
              </w:rPr>
              <w:t>C0, créat, K+, glyc, neuro</w:t>
            </w:r>
          </w:p>
        </w:tc>
        <w:tc>
          <w:tcPr>
            <w:tcW w:type="dxa" w:w="1559"/>
          </w:tcPr>
          <w:p>
            <w:r>
              <w:rPr>
                <w:sz w:val="20"/>
              </w:rPr>
              <w:t>C0, NFS, lipid, protéinurie, scan</w:t>
            </w:r>
          </w:p>
        </w:tc>
        <w:tc>
          <w:tcPr>
            <w:tcW w:type="dxa" w:w="1559"/>
          </w:tcPr>
          <w:p>
            <w:r>
              <w:rPr>
                <w:sz w:val="20"/>
              </w:rPr>
              <w:t>C0, NFS, lipid, scan, stomatite</w:t>
            </w:r>
          </w:p>
        </w:tc>
        <w:tc>
          <w:tcPr>
            <w:tcW w:type="dxa" w:w="1559"/>
          </w:tcPr>
          <w:p>
            <w:r>
              <w:rPr>
                <w:sz w:val="20"/>
              </w:rPr>
              <w:t>NFS, PCR CMV, fonction rénale</w:t>
            </w:r>
          </w:p>
        </w:tc>
      </w:tr>
      <w:tr>
        <w:tc>
          <w:tcPr>
            <w:tcW w:type="dxa" w:w="1559"/>
          </w:tcPr>
          <w:p>
            <w:r>
              <w:rPr>
                <w:sz w:val="20"/>
              </w:rPr>
              <w:t>**Interactions CYP3A4**</w:t>
            </w:r>
          </w:p>
        </w:tc>
        <w:tc>
          <w:tcPr>
            <w:tcW w:type="dxa" w:w="1559"/>
          </w:tcPr>
          <w:p>
            <w:r>
              <w:rPr>
                <w:sz w:val="20"/>
              </w:rPr>
              <w:t>Oui (majeures)</w:t>
            </w:r>
          </w:p>
        </w:tc>
        <w:tc>
          <w:tcPr>
            <w:tcW w:type="dxa" w:w="1559"/>
          </w:tcPr>
          <w:p>
            <w:r>
              <w:rPr>
                <w:sz w:val="20"/>
              </w:rPr>
              <w:t>Oui (majeures)</w:t>
            </w:r>
          </w:p>
        </w:tc>
        <w:tc>
          <w:tcPr>
            <w:tcW w:type="dxa" w:w="1559"/>
          </w:tcPr>
          <w:p>
            <w:r>
              <w:rPr>
                <w:sz w:val="20"/>
              </w:rPr>
              <w:t>Oui (majeures)</w:t>
            </w:r>
          </w:p>
        </w:tc>
        <w:tc>
          <w:tcPr>
            <w:tcW w:type="dxa" w:w="1559"/>
          </w:tcPr>
          <w:p>
            <w:r>
              <w:rPr>
                <w:sz w:val="20"/>
              </w:rPr>
              <w:t>Oui (majeures)</w:t>
            </w:r>
          </w:p>
        </w:tc>
        <w:tc>
          <w:tcPr>
            <w:tcW w:type="dxa" w:w="1559"/>
          </w:tcPr>
          <w:p>
            <w:r>
              <w:rPr>
                <w:sz w:val="20"/>
              </w:rPr>
              <w:t>Modestes (UGT)</w:t>
            </w:r>
          </w:p>
        </w:tc>
      </w:tr>
      <w:tr>
        <w:tc>
          <w:tcPr>
            <w:tcW w:type="dxa" w:w="1559"/>
          </w:tcPr>
          <w:p>
            <w:r>
              <w:rPr>
                <w:sz w:val="20"/>
              </w:rPr>
              <w:t>**Pamplemousse**</w:t>
            </w:r>
          </w:p>
        </w:tc>
        <w:tc>
          <w:tcPr>
            <w:tcW w:type="dxa" w:w="1559"/>
          </w:tcPr>
          <w:p>
            <w:r>
              <w:rPr>
                <w:sz w:val="20"/>
              </w:rPr>
              <w:t>Contre-indiqué</w:t>
            </w:r>
          </w:p>
        </w:tc>
        <w:tc>
          <w:tcPr>
            <w:tcW w:type="dxa" w:w="1559"/>
          </w:tcPr>
          <w:p>
            <w:r>
              <w:rPr>
                <w:sz w:val="20"/>
              </w:rPr>
              <w:t>Contre-indiqué</w:t>
            </w:r>
          </w:p>
        </w:tc>
        <w:tc>
          <w:tcPr>
            <w:tcW w:type="dxa" w:w="1559"/>
          </w:tcPr>
          <w:p>
            <w:r>
              <w:rPr>
                <w:sz w:val="20"/>
              </w:rPr>
              <w:t>Contre-indiqué</w:t>
            </w:r>
          </w:p>
        </w:tc>
        <w:tc>
          <w:tcPr>
            <w:tcW w:type="dxa" w:w="1559"/>
          </w:tcPr>
          <w:p>
            <w:r>
              <w:rPr>
                <w:sz w:val="20"/>
              </w:rPr>
              <w:t>Contre-indiqué</w:t>
            </w:r>
          </w:p>
        </w:tc>
        <w:tc>
          <w:tcPr>
            <w:tcW w:type="dxa" w:w="1559"/>
          </w:tcPr>
          <w:p>
            <w:r>
              <w:rPr>
                <w:sz w:val="20"/>
              </w:rPr>
              <w:t>Éviter (prudence)</w:t>
            </w:r>
          </w:p>
        </w:tc>
      </w:tr>
      <w:tr>
        <w:tc>
          <w:tcPr>
            <w:tcW w:type="dxa" w:w="1559"/>
          </w:tcPr>
          <w:p>
            <w:r>
              <w:rPr>
                <w:sz w:val="20"/>
              </w:rPr>
              <w:t>**Millepertuis**</w:t>
            </w:r>
          </w:p>
        </w:tc>
        <w:tc>
          <w:tcPr>
            <w:tcW w:type="dxa" w:w="1559"/>
          </w:tcPr>
          <w:p>
            <w:r>
              <w:rPr>
                <w:sz w:val="20"/>
              </w:rPr>
              <w:t>Contre-indiqué</w:t>
            </w:r>
          </w:p>
        </w:tc>
        <w:tc>
          <w:tcPr>
            <w:tcW w:type="dxa" w:w="1559"/>
          </w:tcPr>
          <w:p>
            <w:r>
              <w:rPr>
                <w:sz w:val="20"/>
              </w:rPr>
              <w:t>Contre-indiqué</w:t>
            </w:r>
          </w:p>
        </w:tc>
        <w:tc>
          <w:tcPr>
            <w:tcW w:type="dxa" w:w="1559"/>
          </w:tcPr>
          <w:p>
            <w:r>
              <w:rPr>
                <w:sz w:val="20"/>
              </w:rPr>
              <w:t>Contre-indiqué</w:t>
            </w:r>
          </w:p>
        </w:tc>
        <w:tc>
          <w:tcPr>
            <w:tcW w:type="dxa" w:w="1559"/>
          </w:tcPr>
          <w:p>
            <w:r>
              <w:rPr>
                <w:sz w:val="20"/>
              </w:rPr>
              <w:t>Contre-indiqué</w:t>
            </w:r>
          </w:p>
        </w:tc>
        <w:tc>
          <w:tcPr>
            <w:tcW w:type="dxa" w:w="1559"/>
          </w:tcPr>
          <w:p>
            <w:r>
              <w:rPr>
                <w:sz w:val="20"/>
              </w:rPr>
              <w:t>Éviter</w:t>
            </w:r>
          </w:p>
        </w:tc>
      </w:tr>
      <w:tr>
        <w:tc>
          <w:tcPr>
            <w:tcW w:type="dxa" w:w="1559"/>
          </w:tcPr>
          <w:p>
            <w:r>
              <w:rPr>
                <w:sz w:val="20"/>
              </w:rPr>
              <w:t>**Allopurinol**</w:t>
            </w:r>
          </w:p>
        </w:tc>
        <w:tc>
          <w:tcPr>
            <w:tcW w:type="dxa" w:w="1559"/>
          </w:tcPr>
          <w:p>
            <w:r>
              <w:rPr>
                <w:sz w:val="20"/>
              </w:rPr>
              <w:t>OK</w:t>
            </w:r>
          </w:p>
        </w:tc>
        <w:tc>
          <w:tcPr>
            <w:tcW w:type="dxa" w:w="1559"/>
          </w:tcPr>
          <w:p>
            <w:r>
              <w:rPr>
                <w:sz w:val="20"/>
              </w:rPr>
              <w:t>OK</w:t>
            </w:r>
          </w:p>
        </w:tc>
        <w:tc>
          <w:tcPr>
            <w:tcW w:type="dxa" w:w="1559"/>
          </w:tcPr>
          <w:p>
            <w:r>
              <w:rPr>
                <w:sz w:val="20"/>
              </w:rPr>
              <w:t>OK</w:t>
            </w:r>
          </w:p>
        </w:tc>
        <w:tc>
          <w:tcPr>
            <w:tcW w:type="dxa" w:w="1559"/>
          </w:tcPr>
          <w:p>
            <w:r>
              <w:rPr>
                <w:sz w:val="20"/>
              </w:rPr>
              <w:t>OK</w:t>
            </w:r>
          </w:p>
        </w:tc>
        <w:tc>
          <w:tcPr>
            <w:tcW w:type="dxa" w:w="1559"/>
          </w:tcPr>
          <w:p>
            <w:r>
              <w:rPr>
                <w:sz w:val="20"/>
              </w:rPr>
              <w:t>Interaction majeure (×3-5 MPA)</w:t>
            </w:r>
          </w:p>
        </w:tc>
      </w:tr>
      <w:tr>
        <w:tc>
          <w:tcPr>
            <w:tcW w:type="dxa" w:w="1559"/>
          </w:tcPr>
          <w:p>
            <w:r>
              <w:rPr>
                <w:sz w:val="20"/>
              </w:rPr>
              <w:t>**Anti-acides**</w:t>
            </w:r>
          </w:p>
        </w:tc>
        <w:tc>
          <w:tcPr>
            <w:tcW w:type="dxa" w:w="1559"/>
          </w:tcPr>
          <w:p>
            <w:r>
              <w:rPr>
                <w:sz w:val="20"/>
              </w:rPr>
              <w:t>OK</w:t>
            </w:r>
          </w:p>
        </w:tc>
        <w:tc>
          <w:tcPr>
            <w:tcW w:type="dxa" w:w="1559"/>
          </w:tcPr>
          <w:p>
            <w:r>
              <w:rPr>
                <w:sz w:val="20"/>
              </w:rPr>
              <w:t>OK</w:t>
            </w:r>
          </w:p>
        </w:tc>
        <w:tc>
          <w:tcPr>
            <w:tcW w:type="dxa" w:w="1559"/>
          </w:tcPr>
          <w:p>
            <w:r>
              <w:rPr>
                <w:sz w:val="20"/>
              </w:rPr>
              <w:t>OK</w:t>
            </w:r>
          </w:p>
        </w:tc>
        <w:tc>
          <w:tcPr>
            <w:tcW w:type="dxa" w:w="1559"/>
          </w:tcPr>
          <w:p>
            <w:r>
              <w:rPr>
                <w:sz w:val="20"/>
              </w:rPr>
              <w:t>OK</w:t>
            </w:r>
          </w:p>
        </w:tc>
        <w:tc>
          <w:tcPr>
            <w:tcW w:type="dxa" w:w="1559"/>
          </w:tcPr>
          <w:p>
            <w:r>
              <w:rPr>
                <w:sz w:val="20"/>
              </w:rPr>
              <w:t>Espacer 2 h (↓ absorption)</w:t>
            </w:r>
          </w:p>
        </w:tc>
      </w:tr>
      <w:tr>
        <w:tc>
          <w:tcPr>
            <w:tcW w:type="dxa" w:w="1559"/>
          </w:tcPr>
          <w:p>
            <w:r>
              <w:rPr>
                <w:sz w:val="20"/>
              </w:rPr>
              <w:t>**Spécialités Algérie**</w:t>
            </w:r>
          </w:p>
        </w:tc>
        <w:tc>
          <w:tcPr>
            <w:tcW w:type="dxa" w:w="1559"/>
          </w:tcPr>
          <w:p>
            <w:r>
              <w:rPr>
                <w:sz w:val="20"/>
              </w:rPr>
              <w:t>Sandimmun Neoral, Imusporin, Ciclaid, Restasis</w:t>
            </w:r>
          </w:p>
        </w:tc>
        <w:tc>
          <w:tcPr>
            <w:tcW w:type="dxa" w:w="1559"/>
          </w:tcPr>
          <w:p>
            <w:r>
              <w:rPr>
                <w:sz w:val="20"/>
              </w:rPr>
              <w:t>Tacrolimus Cinfa, TIM, Vingraf</w:t>
            </w:r>
          </w:p>
        </w:tc>
        <w:tc>
          <w:tcPr>
            <w:tcW w:type="dxa" w:w="1559"/>
          </w:tcPr>
          <w:p>
            <w:r>
              <w:rPr>
                <w:sz w:val="20"/>
              </w:rPr>
              <w:t>Rapamune</w:t>
            </w:r>
          </w:p>
        </w:tc>
        <w:tc>
          <w:tcPr>
            <w:tcW w:type="dxa" w:w="1559"/>
          </w:tcPr>
          <w:p>
            <w:r>
              <w:rPr>
                <w:sz w:val="20"/>
              </w:rPr>
              <w:t>Afinitor, Everolimus-Saidal, Everbliss, Evroliphal</w:t>
            </w:r>
          </w:p>
        </w:tc>
        <w:tc>
          <w:tcPr>
            <w:tcW w:type="dxa" w:w="1559"/>
          </w:tcPr>
          <w:p>
            <w:r>
              <w:rPr>
                <w:sz w:val="20"/>
              </w:rPr>
              <w:t>MMF, Phenocept</w:t>
            </w:r>
          </w:p>
        </w:tc>
      </w:tr>
      <w:tr>
        <w:tc>
          <w:tcPr>
            <w:tcW w:type="dxa" w:w="1559"/>
          </w:tcPr>
          <w:p>
            <w:r>
              <w:rPr>
                <w:sz w:val="20"/>
              </w:rPr>
              <w:t>**Forme IV disponible**</w:t>
            </w:r>
          </w:p>
        </w:tc>
        <w:tc>
          <w:tcPr>
            <w:tcW w:type="dxa" w:w="1559"/>
          </w:tcPr>
          <w:p>
            <w:r>
              <w:rPr>
                <w:sz w:val="20"/>
              </w:rPr>
              <w:t>Oui (Sandimmun)</w:t>
            </w:r>
          </w:p>
        </w:tc>
        <w:tc>
          <w:tcPr>
            <w:tcW w:type="dxa" w:w="1559"/>
          </w:tcPr>
          <w:p>
            <w:r>
              <w:rPr>
                <w:sz w:val="20"/>
              </w:rPr>
              <w:t>Non</w:t>
            </w:r>
          </w:p>
        </w:tc>
        <w:tc>
          <w:tcPr>
            <w:tcW w:type="dxa" w:w="1559"/>
          </w:tcPr>
          <w:p>
            <w:r>
              <w:rPr>
                <w:sz w:val="20"/>
              </w:rPr>
              <w:t>Non</w:t>
            </w:r>
          </w:p>
        </w:tc>
        <w:tc>
          <w:tcPr>
            <w:tcW w:type="dxa" w:w="1559"/>
          </w:tcPr>
          <w:p>
            <w:r>
              <w:rPr>
                <w:sz w:val="20"/>
              </w:rPr>
              <w:t>Non</w:t>
            </w:r>
          </w:p>
        </w:tc>
        <w:tc>
          <w:tcPr>
            <w:tcW w:type="dxa" w:w="1559"/>
          </w:tcPr>
          <w:p>
            <w:r>
              <w:rPr>
                <w:sz w:val="20"/>
              </w:rPr>
              <w:t>Non</w:t>
            </w:r>
          </w:p>
        </w:tc>
      </w:tr>
      <w:tr>
        <w:tc>
          <w:tcPr>
            <w:tcW w:type="dxa" w:w="1559"/>
          </w:tcPr>
          <w:p>
            <w:r>
              <w:rPr>
                <w:sz w:val="20"/>
              </w:rPr>
              <w:t>**Piège principal**</w:t>
            </w:r>
          </w:p>
        </w:tc>
        <w:tc>
          <w:tcPr>
            <w:tcW w:type="dxa" w:w="1559"/>
          </w:tcPr>
          <w:p>
            <w:r>
              <w:rPr>
                <w:sz w:val="20"/>
              </w:rPr>
              <w:t>Pamplemousse, HTA, néphrotoxicité</w:t>
            </w:r>
          </w:p>
        </w:tc>
        <w:tc>
          <w:tcPr>
            <w:tcW w:type="dxa" w:w="1559"/>
          </w:tcPr>
          <w:p>
            <w:r>
              <w:rPr>
                <w:sz w:val="20"/>
              </w:rPr>
              <w:t>Diabète, neurotoxicité, pamplemousse</w:t>
            </w:r>
          </w:p>
        </w:tc>
        <w:tc>
          <w:tcPr>
            <w:tcW w:type="dxa" w:w="1559"/>
          </w:tcPr>
          <w:p>
            <w:r>
              <w:rPr>
                <w:sz w:val="20"/>
              </w:rPr>
              <w:t>Retard cicatrisation, pneumopathie</w:t>
            </w:r>
          </w:p>
        </w:tc>
        <w:tc>
          <w:tcPr>
            <w:tcW w:type="dxa" w:w="1559"/>
          </w:tcPr>
          <w:p>
            <w:r>
              <w:rPr>
                <w:sz w:val="20"/>
              </w:rPr>
              <w:t>Stomatite, pneumopathie</w:t>
            </w:r>
          </w:p>
        </w:tc>
        <w:tc>
          <w:tcPr>
            <w:tcW w:type="dxa" w:w="1559"/>
          </w:tcPr>
          <w:p>
            <w:r>
              <w:rPr>
                <w:sz w:val="20"/>
              </w:rPr>
              <w:t>Tératogénicité, leucopénie, allopurinol</w:t>
            </w:r>
          </w:p>
        </w:tc>
      </w:tr>
    </w:tbl>
    <w:p/>
    <w:p>
      <w:pPr>
        <w:pStyle w:val="Heading2"/>
      </w:pPr>
      <w:r>
        <w:t>171.5 Synthèse pédagogique et conclusion</w:t>
      </w:r>
    </w:p>
    <w:p>
      <w:pPr>
        <w:pStyle w:val="Heading3"/>
      </w:pPr>
      <w:r>
        <w:t>171.5.1 Choix éclairé selon le contexte clinique</w:t>
      </w:r>
    </w:p>
    <w:p>
      <w:r>
        <w:t>Le choix de l'immunosuppresseur de transplantation dépend du type de greffe, du profil de tolérance attendu, des comorbidités du patient, et du protocole du centre de transplantation. En Algérie, la disponibilité des molécules influence également les décisions thérapeutiques.</w:t>
      </w:r>
    </w:p>
    <w:p>
      <w:r/>
      <w:r>
        <w:rPr>
          <w:b/>
        </w:rPr>
        <w:t>En transplantation rénale</w:t>
      </w:r>
      <w:r>
        <w:t xml:space="preserve"> :</w:t>
      </w:r>
    </w:p>
    <w:p>
      <w:pPr>
        <w:pStyle w:val="ListBullet"/>
      </w:pPr>
      <w:r>
        <w:t>Protocole standard : tacrolimus (C0 4-8 ng/mL à terme) + mycophénolate mofétil (1 g × 2/jour) + prednisone (5-10 mg/j à terme). Ce protocole est le plus utilisé en Algérie (EHSTO d'Oran, CHU Mustapha).</w:t>
      </w:r>
    </w:p>
    <w:p>
      <w:pPr>
        <w:pStyle w:val="ListBullet"/>
      </w:pPr>
      <w:r>
        <w:t>En cas de diabète post-transplantation (NODAT) sous tacrolimus : conversion tacrolimus → ciclosporine (moindre diabétogénicité), maintien du MMF et de la prednisone.</w:t>
      </w:r>
    </w:p>
    <w:p>
      <w:pPr>
        <w:pStyle w:val="ListBullet"/>
      </w:pPr>
      <w:r>
        <w:t>En cas de néphrotoxicité des ICN : conversion ICN → sirolimus ou everolimus (à distance de la transplantation), surveillance de la protéinurie.</w:t>
      </w:r>
    </w:p>
    <w:p>
      <w:pPr>
        <w:pStyle w:val="ListBullet"/>
      </w:pPr>
      <w:r>
        <w:t>En cas de cancer post-transplantation (carcinomes cutanés multiples, sarcome de Kaposi) : conversion ICN → sirolimus ou everolimus (effet antitumoral).</w:t>
      </w:r>
    </w:p>
    <w:p>
      <w:r/>
      <w:r>
        <w:rPr>
          <w:b/>
        </w:rPr>
        <w:t>En transplantation hépatique</w:t>
      </w:r>
      <w:r>
        <w:t xml:space="preserve"> :</w:t>
      </w:r>
    </w:p>
    <w:p>
      <w:pPr>
        <w:pStyle w:val="ListBullet"/>
      </w:pPr>
      <w:r>
        <w:t>Protocole standard : tacrolimus (C0 4-8 ng/mL à terme) + mycophénolate mofétil (1 g × 2/jour) ± prednisone (sevrage progressif à 3 mois). Le tacrolimus est l'ICN de référence en transplantation hépatique.</w:t>
      </w:r>
    </w:p>
    <w:p>
      <w:pPr>
        <w:pStyle w:val="ListBullet"/>
      </w:pPr>
      <w:r>
        <w:t>En cas de néphrotoxicité du tacrolimus : conversion tacrolimus → everolimus (à distance de la transplantation, &gt; 1 mois, en raison du risque de thrombose de l'artère hépatique en phase précoce).</w:t>
      </w:r>
    </w:p>
    <w:p>
      <w:pPr>
        <w:pStyle w:val="ListBullet"/>
      </w:pPr>
      <w:r>
        <w:t>Contre-indication : sirolimus en phase précoce (&lt; 3 mois) en raison du risque accru de thrombose de l'artère hépatique.</w:t>
      </w:r>
    </w:p>
    <w:p>
      <w:r/>
      <w:r>
        <w:rPr>
          <w:b/>
        </w:rPr>
        <w:t>En transplantation cardiaque</w:t>
      </w:r>
      <w:r>
        <w:t xml:space="preserve"> :</w:t>
      </w:r>
    </w:p>
    <w:p>
      <w:pPr>
        <w:pStyle w:val="ListBullet"/>
      </w:pPr>
      <w:r>
        <w:t>Protocole standard : tacrolimus (C0 8-12 ng/mL à terme) + mycophénolate mofétil (1,5 g × 2/jour) + prednisone (5-10 mg/j à terme).</w:t>
      </w:r>
    </w:p>
    <w:p>
      <w:pPr>
        <w:pStyle w:val="ListBullet"/>
      </w:pPr>
      <w:r>
        <w:t>Prévention de la vasculopathie du greffon : conversion ICN → sirolimus ou everolimus à 6-12 mois, en raison de l'effet antiprolifératif sur les cellules musculaires lisses vasculaires.</w:t>
      </w:r>
    </w:p>
    <w:p>
      <w:r/>
      <w:r>
        <w:rPr>
          <w:b/>
        </w:rPr>
        <w:t>En transplantation pulmonaire</w:t>
      </w:r>
      <w:r>
        <w:t xml:space="preserve"> :</w:t>
      </w:r>
    </w:p>
    <w:p>
      <w:pPr>
        <w:pStyle w:val="ListBullet"/>
      </w:pPr>
      <w:r>
        <w:t>Protocole standard : tacrolimus (C0 8-12 ng/mL à terme) + mycophénolate mofétil (1 g × 2/jour) + prednisone (5-10 mg/j à terme). Cibles C0 plus élevées en raison du risque de bronchiolite oblitérante.</w:t>
      </w:r>
    </w:p>
    <w:p>
      <w:r/>
      <w:r>
        <w:rPr>
          <w:b/>
        </w:rPr>
        <w:t>En transplantation de cellules souches hématopoïétiques</w:t>
      </w:r>
      <w:r>
        <w:t xml:space="preserve"> :</w:t>
      </w:r>
    </w:p>
    <w:p>
      <w:pPr>
        <w:pStyle w:val="ListBullet"/>
      </w:pPr>
      <w:r>
        <w:t>Prophylaxie de la GVH : ciclosporine ou tacrolimus + méthotrexate courte durée (protocole "CsA+MTX" ou "Tac+MTX").</w:t>
      </w:r>
    </w:p>
    <w:p>
      <w:pPr>
        <w:pStyle w:val="Heading3"/>
      </w:pPr>
      <w:r>
        <w:t>171.5.2 Règles d'or pharmacien d'officine</w:t>
      </w:r>
    </w:p>
    <w:p>
      <w:pPr>
        <w:pStyle w:val="ListNumber"/>
      </w:pPr>
      <w:r/>
      <w:r>
        <w:rPr>
          <w:b/>
        </w:rPr>
        <w:t>Taux résiduel à heure fixe</w:t>
      </w:r>
      <w:r>
        <w:t xml:space="preserve"> : le prélèvement pour la mesure de la ciclosporinémie/tacrolimémie/sirolimémie/everolimémie doit être fait juste avant la prise du matin (C0), à jeun, en respectant l'horaire habituel de prise. Ne pas prendre le médicament avant le prélèvement.</w:t>
      </w:r>
    </w:p>
    <w:p>
      <w:pPr>
        <w:pStyle w:val="ListNumber"/>
      </w:pPr>
      <w:r/>
      <w:r>
        <w:rPr>
          <w:b/>
        </w:rPr>
        <w:t>Pamplemousse : interrogation systématique</w:t>
      </w:r>
      <w:r>
        <w:t xml:space="preserve"> : tout patient greffé doit être interrogé sur sa consommation de pamplemousse (fruit ou jus). Interdiction absolue pendant toute la durée du traitement par ICN, sirolimus, ou everolimus. Le jus de pamplemousse peut augmenter les concentrations de 50 à 300 %, exposant à la toxicité aiguë.</w:t>
      </w:r>
    </w:p>
    <w:p>
      <w:pPr>
        <w:pStyle w:val="ListNumber"/>
      </w:pPr>
      <w:r/>
      <w:r>
        <w:rPr>
          <w:b/>
        </w:rPr>
        <w:t>Millepertuis : interrogation systématique</w:t>
      </w:r>
      <w:r>
        <w:t xml:space="preserve"> : tout patient greffé doit être interrogé sur sa consommation de phytothérapie. Le millepertuis (Hypericum perforatum) peut faire chuter les concentrations de 50 %, exposant au rejet aigu.</w:t>
      </w:r>
    </w:p>
    <w:p>
      <w:pPr>
        <w:pStyle w:val="ListNumber"/>
      </w:pPr>
      <w:r/>
      <w:r>
        <w:rPr>
          <w:b/>
        </w:rPr>
        <w:t>Femme en âge de procréer + mycophénolate</w:t>
      </w:r>
      <w:r>
        <w:t xml:space="preserve"> : double contraception obligatoire pendant le traitement et 6 semaines après l'arrêt. Test de grossesse mensuel. Information patiente. En cas de désir de grossesse, relais préalable par azathioprine au moins 6 semaines avant la conception.</w:t>
      </w:r>
    </w:p>
    <w:p>
      <w:pPr>
        <w:pStyle w:val="ListNumber"/>
      </w:pPr>
      <w:r/>
      <w:r>
        <w:rPr>
          <w:b/>
        </w:rPr>
        <w:t>Femme enceinte sous ICN</w:t>
      </w:r>
      <w:r>
        <w:t xml:space="preserve"> : ne jamais arrêter la ciclosporine ou le tacrolimus chez une femme greffée enceinte. Le risque de rejet est majeur. Suivi en maternité de niveau III.</w:t>
      </w:r>
    </w:p>
    <w:p>
      <w:pPr>
        <w:pStyle w:val="ListNumber"/>
      </w:pPr>
      <w:r/>
      <w:r>
        <w:rPr>
          <w:b/>
        </w:rPr>
        <w:t>Diarrhée persistante sous MMF</w:t>
      </w:r>
      <w:r>
        <w:t xml:space="preserve"> : orienter pour avis médical (effet indésirable digestif fréquent, parfois sévère). Réduction de dose ou changement de forme galénique.</w:t>
      </w:r>
    </w:p>
    <w:p>
      <w:pPr>
        <w:pStyle w:val="ListNumber"/>
      </w:pPr>
      <w:r/>
      <w:r>
        <w:rPr>
          <w:b/>
        </w:rPr>
        <w:t>Leucopénie sous MMF</w:t>
      </w:r>
      <w:r>
        <w:t xml:space="preserve"> : surveillance NFS mensuelle. En cas de PNN &lt; 1500/mm³, réduction de 50 %. En cas de PNN &lt; 1000/mm³, arrêt transitoire.</w:t>
      </w:r>
    </w:p>
    <w:p>
      <w:pPr>
        <w:pStyle w:val="ListNumber"/>
      </w:pPr>
      <w:r/>
      <w:r>
        <w:rPr>
          <w:b/>
        </w:rPr>
        <w:t>Allopurinol + MMF</w:t>
      </w:r>
      <w:r>
        <w:t xml:space="preserve"> : interaction majeure. Diviser la dose de MMF par 2 à 4, surveillance NFS.</w:t>
      </w:r>
    </w:p>
    <w:p>
      <w:pPr>
        <w:pStyle w:val="ListNumber"/>
      </w:pPr>
      <w:r/>
      <w:r>
        <w:rPr>
          <w:b/>
        </w:rPr>
        <w:t>Substitution de marque</w:t>
      </w:r>
      <w:r>
        <w:t xml:space="preserve"> : pour les ICN et les inhibiteurs de mTOR, ne pas substituer sans contrôle de la concentration résiduelle à J+7. Documenter la marque et le dosage dans le dossier pharmaceutique.</w:t>
      </w:r>
    </w:p>
    <w:p>
      <w:pPr>
        <w:pStyle w:val="ListNumber"/>
      </w:pPr>
      <w:r/>
      <w:r>
        <w:rPr>
          <w:b/>
        </w:rPr>
        <w:t>Vaccins vivants</w:t>
      </w:r>
      <w:r>
        <w:t xml:space="preserve"> : contre-indication absolue (BCG, ROR, fièvre jaune, varicelle, zona, rotavirus) en cours d'immunosuppression.</w:t>
      </w:r>
    </w:p>
    <w:p>
      <w:pPr>
        <w:pStyle w:val="ListNumber"/>
      </w:pPr>
      <w:r/>
      <w:r>
        <w:rPr>
          <w:b/>
        </w:rPr>
        <w:t>Chirurgie programmée sous sirolimus/everolimus</w:t>
      </w:r>
      <w:r>
        <w:t xml:space="preserve"> : informer le chirurgien (retard de cicatrisation). Relais transitoire par ICN possible en préopératoire.</w:t>
      </w:r>
    </w:p>
    <w:p>
      <w:pPr>
        <w:pStyle w:val="ListNumber"/>
      </w:pPr>
      <w:r/>
      <w:r>
        <w:rPr>
          <w:b/>
        </w:rPr>
        <w:t>Signes neurologiques d'urgence sous ICN</w:t>
      </w:r>
      <w:r>
        <w:t xml:space="preserve"> : céphalées brutales, troubles visuels, convulsions, confusion → urgences IRM (recherche de PRES).</w:t>
      </w:r>
    </w:p>
    <w:p>
      <w:pPr>
        <w:pStyle w:val="ListNumber"/>
      </w:pPr>
      <w:r/>
      <w:r>
        <w:rPr>
          <w:b/>
        </w:rPr>
        <w:t>Toux sèche et dyspnée sous sirolimus/everolimus</w:t>
      </w:r>
      <w:r>
        <w:t xml:space="preserve"> : urgences scanner thoracique (recherche de pneumopathie interstitielle). Arrêt immédiat de l'inhibiteur de mTOR.</w:t>
      </w:r>
    </w:p>
    <w:p>
      <w:pPr>
        <w:pStyle w:val="ListNumber"/>
      </w:pPr>
      <w:r/>
      <w:r>
        <w:rPr>
          <w:b/>
        </w:rPr>
        <w:t>Espacement ciclosporine-sirolimus</w:t>
      </w:r>
      <w:r>
        <w:t xml:space="preserve"> : en cas d'association, espacer les prises d'au moins 4 heures (potentialisation de la néphrotoxicité).</w:t>
      </w:r>
    </w:p>
    <w:p>
      <w:pPr>
        <w:pStyle w:val="Heading3"/>
      </w:pPr>
      <w:r>
        <w:t>171.5.3 Conclusion du chapitre 171</w:t>
      </w:r>
    </w:p>
    <w:p>
      <w:r>
        <w:t>Les immunosuppresseurs de transplantation constituent une classe thérapeutique exigeante, dont la maîtrise repose sur la compréhension fine des mécanismes moléculaires (voie de la calcineurine-NF-AT-IL-2 pour les ICN ; voie FKBP12-mTORC1-S6K1-4EBP1 pour les inhibiteurs de mTOR ; voie IMPDH-GTP/dGTP pour le mycophénolate), des profils pharmacocinétiques (biodisponibilité variable, métabolisme CYP3A4/5 ou UGT, demi-vie d'élimination variable, fenêtre thérapeutique étroite imposant le STP), des profils d'effets indésirables (néphrotoxicité et HTA pour les ICN, hyperlipidémie et thrombopénie pour les inhibiteurs de mTOR, leucopénie et tératogénicité pour le mycophénolate), et des interactions médicamenteuses (CYP3A4 et P-gp).</w:t>
      </w:r>
    </w:p>
    <w:p>
      <w:r>
        <w:t>Le marché algérien dispose de l'ensemble des molécules de référence, avec une particularité notable : la disponibilité de plusieurs génériques algériens (TIM et MMF Inpha-Medis, Phenocept El Kendi, Everolimus-Saidal, Evroliphal Sophal, Everbliss Alfacare) aux côtés des princeps (Sandimmun Neoral, Rapamune, Afinitor). Le pharmacien d'offrine joue un rôle pivot dans le suivi des patients greffés en Algérie, en raison de la fréquence des interactions médicamenteuses, de la nécessité d'une observance rigoureuse, et de l'importance de l'éducation thérapeutique. La connaissance des cinq DCI traitées dans ce chapitre constitue le socle indispensable à la dispensation sécurisée et au conseil pharmaceutique de qualité.</w:t>
      </w:r>
    </w:p>
    <w:p>
      <w:r>
        <w:t>Les sources mobilisées pour ce chapitre incluent : VIDAL 2025, RCP ANSM/EMA, base Thériaque CNHIM, CRAT (Centre de Renseignement sur les Agents Tératogènes — 5 fiches couvertes : ciclosporine, tacrolimus, sirolimus, everolimus, mycophénolate mofétil), recommandations KDIGO 2009 (révisées 2024), recommandations HAS 2018 sur la transplantation rénale, recommandations EASL sur la transplantation hépatique, recommandations ISHLT sur la transplantation cardiaque et pulmonaire, registre NTPR (National Transplantation Pregnancy Registry), UpToDate, et nomenclature algérienne Avril 2026.</w:t>
      </w:r>
    </w:p>
    <w:p>
      <w:r/>
      <w:r>
        <w:rPr>
          <w:i/>
        </w:rPr>
        <w:t>Fin du chapitre 171 — Immunosuppresseurs de transplantation (Ciclosporine, Tacrolimus, Sirolimus, Everolimus, Mycophénolate mofétil).</w:t>
      </w:r>
      <w:r/>
    </w:p>
    <w:p>
      <w:pPr>
        <w:pStyle w:val="Heading1"/>
      </w:pPr>
      <w:r>
        <w:t>Chapitre 172 — Anticorps anti-rejet et immunoglobulines thérapeutiques</w:t>
      </w:r>
    </w:p>
    <w:p>
      <w:pPr>
        <w:pStyle w:val="Heading2"/>
      </w:pPr>
      <w:r>
        <w:t>Introduction générale du chapitre 172</w:t>
      </w:r>
    </w:p>
    <w:p>
      <w:r>
        <w:t xml:space="preserve">Le chapitre 172 du Fascicule XVIII (Immunologie/Transplantation) aborde un pan thérapeutique particulièrement stratégique de la prise en charge des patients transplantés d'organes ainsi que de certaines pathologies dysimmunitaires sévères : les </w:t>
      </w:r>
      <w:r>
        <w:rPr>
          <w:b/>
        </w:rPr>
        <w:t>anticorps anti-rejet</w:t>
      </w:r>
      <w:r>
        <w:t xml:space="preserve"> (induction et traitement du rejet aigu) et les </w:t>
      </w:r>
      <w:r>
        <w:rPr>
          <w:b/>
        </w:rPr>
        <w:t>immunoglobulines humaines normales par voie intraveineuse (IgIV)</w:t>
      </w:r>
      <w:r>
        <w:t xml:space="preserve"> à visée immunomodulatrice. Trois médicaments clés structurent ce chapitre, appartenant à trois sous-classes pharmacologiques distinctes mais partageant un dénominateur commun : ils sont tous prescrits exclusivement en milieu spécialisé hospitalier (service de transplantation, réanimation, immunologie clinique), nécessitent une administration parentérale stricte (intraveineuse), et exposent à des effets indésirables potentiellement graves — réactions liées à la perfusion, infections opportunistes, cytopénies, thromboses, insuffisance rénale aiguë — imposant une surveillance rapprochée.</w:t>
      </w:r>
    </w:p>
    <w:p>
      <w:r>
        <w:t xml:space="preserve">La transplantation d'organe (rein, foie, cœur, poumon, pancréas, intestin) représente depuis les années 1960 le traitement de choix des insuffisances terminales d'organe. L'allo-greffe, par sa nature même, déclenche une réaction immunitaire dirigée contre les antigènes de transplantation (HLA — </w:t>
      </w:r>
      <w:r>
        <w:rPr>
          <w:i/>
        </w:rPr>
        <w:t>Human Leukocyte Antigen</w:t>
      </w:r>
      <w:r>
        <w:t xml:space="preserve"> — du complexe majeur d'histocompatibilité) du greffon, responsable en l'absence de traitement d'un rejet aigu (en jours à semaines) ou chronique (en mois à années). La prévention du rejet repose sur une trithérapie immunosuppressive combinant : (i) un </w:t>
      </w:r>
      <w:r>
        <w:rPr>
          <w:b/>
        </w:rPr>
        <w:t>inducteur</w:t>
      </w:r>
      <w:r>
        <w:t xml:space="preserve"> (anticorps anti-lymphocytaires — basiliximab ou ATG — administrés en péri-transplantatoire pour réduire le risque de rejet aigu précoce, particulièrement chez les patients à risque immunologique élevé) ; (ii) un </w:t>
      </w:r>
      <w:r>
        <w:rPr>
          <w:b/>
        </w:rPr>
        <w:t>inhibiteur de la calcineururine</w:t>
      </w:r>
      <w:r>
        <w:t xml:space="preserve"> (ciclosporine ou tacrolimus — entretien au long cours, voir chapitre 171) ; (iii) un </w:t>
      </w:r>
      <w:r>
        <w:rPr>
          <w:b/>
        </w:rPr>
        <w:t>antiprolifératif</w:t>
      </w:r>
      <w:r>
        <w:t xml:space="preserve"> (mycophénolate mofétil ou azathioprine) ; (iv) une </w:t>
      </w:r>
      <w:r>
        <w:rPr>
          <w:b/>
        </w:rPr>
        <w:t>corticoidthérapie</w:t>
      </w:r>
      <w:r>
        <w:t xml:space="preserve"> (prednisone) dégressive. Le traitement curatif du rejet aigu (T-cellulaire ou humain) repose classiquement sur les corticoïdes IV en bolus, et en cas de rejet corticorésistant ou de rejet humoral (anticorps anti-HLA du greffon — </w:t>
      </w:r>
      <w:r>
        <w:rPr>
          <w:i/>
        </w:rPr>
        <w:t>Donor-Specific Antibodies</w:t>
      </w:r>
      <w:r>
        <w:t xml:space="preserve">, DSA), sur les anticorps déplétants (ATG), les IgIV, le rituximab (anti-CD20) ou le bortézomib (anti-plasmocyte). Le choix de l'inducteur dépend du risque immunologique du patient : basiliximab (anti-IL-2R non déplétant) chez les patients à </w:t>
      </w:r>
      <w:r>
        <w:rPr>
          <w:b/>
        </w:rPr>
        <w:t>risque standard</w:t>
      </w:r>
      <w:r>
        <w:t xml:space="preserve"> ; ATG (polyclonal déplétant) chez les patients à </w:t>
      </w:r>
      <w:r>
        <w:rPr>
          <w:b/>
        </w:rPr>
        <w:t>haut risque immunologique</w:t>
      </w:r>
      <w:r>
        <w:t xml:space="preserve"> (anticorps anti-HLA préexistants élevés — </w:t>
      </w:r>
      <w:r>
        <w:rPr>
          <w:i/>
        </w:rPr>
        <w:t>Panel Reactive Antibodies</w:t>
      </w:r>
      <w:r>
        <w:t xml:space="preserve"> &gt; 50 %, retransplantation, retard à la greffe, mismatch HLA étendu, donneur marginal ou à critères élargis).</w:t>
      </w:r>
    </w:p>
    <w:p>
      <w:r>
        <w:t xml:space="preserve">Les </w:t>
      </w:r>
      <w:r>
        <w:rPr>
          <w:b/>
        </w:rPr>
        <w:t>IgIV</w:t>
      </w:r>
      <w:r>
        <w:t xml:space="preserve"> occupent une place transversale particulière : elles ne sont pas, </w:t>
      </w:r>
      <w:r>
        <w:rPr>
          <w:i/>
        </w:rPr>
        <w:t>stricto sensu</w:t>
      </w:r>
      <w:r>
        <w:t xml:space="preserve">, des anticorps anti-rejet, mais elles interviennent dans plusieurs situations périphériques de la transplantation : (i) </w:t>
      </w:r>
      <w:r>
        <w:rPr>
          <w:b/>
        </w:rPr>
        <w:t>desensibilisation pré-greffe</w:t>
      </w:r>
      <w:r>
        <w:t xml:space="preserve"> chez les patients hyperimmunisés (anticorps anti-HLA à titre élevé rendant la greffe impossible — protocoles combinant IgIV + plasmaphérèse ± rituximab pour réduire les DSA) ; (ii) </w:t>
      </w:r>
      <w:r>
        <w:rPr>
          <w:b/>
        </w:rPr>
        <w:t>traitement du rejet humoral aigu</w:t>
      </w:r>
      <w:r>
        <w:t xml:space="preserve"> (en association avec plasmaphérèse, rituximab ou bortézomib) ; (iii) </w:t>
      </w:r>
      <w:r>
        <w:rPr>
          <w:b/>
        </w:rPr>
        <w:t>transplantation ABO-incompatible</w:t>
      </w:r>
      <w:r>
        <w:t xml:space="preserve"> (IgIV en association avec rituximab pour prévenir le rejet anticorps anti-A ou anti-B du greffon) ; (iv) </w:t>
      </w:r>
      <w:r>
        <w:rPr>
          <w:b/>
        </w:rPr>
        <w:t>hypogammaglobulinémie post-greffe</w:t>
      </w:r>
      <w:r>
        <w:t xml:space="preserve"> (substitution chez les patients transplantés sous immunosuppresseurs B-lymphotoxiques — mycophénolate, rituximab, bortézomib — ayant une B-lymphopénie responsable d'infections récidivantes). En dehors de la transplantation, les IgIV ont de nombreuses indications immunomodulatrices : neurologie (syndrome de Guillain-Barré, polyradiculonévrite chronique inflammatoire démyélinisante CIDP, myasthénie auto-immune sévère — voir Fascicule XI chapitre 94), hématologie (purpura thrombopénique immunologique ITP), dermatologie (maladie de Kawasaki, dermatomyosite réfractaire), immunologie clinique (déficits immunitaires primitifs humoraux — agammaglobulinémie de Bruton, déficit immunitaire commun variable DICV).</w:t>
      </w:r>
    </w:p>
    <w:p>
      <w:r>
        <w:t>Le pharmacien d'officine algérien joue un rôle d'information, d'orientation et de vigilance face à ces médicaments d'exception. Bien que délivrés exclusivement en milieu hospitalier, ils peuvent faire l'objet de demandes d'avis de la part des patients transplantés suivis en ambulatoire (suivi des prescriptions, gestion des interactions médicamenteuses, reconnaissance des signes d'alerte — fièvre, dyspnée, syndrome tumoral, ecchymoses, ictère). La connaissance de leurs profils pharmacologiques, de leurs interactions (notamment avec les vaccins vivants — contre-indiqués chez le transplanté —, les anticoagulants, les néphrotoxiques), de leurs précautions d'emploi (insuffisance rénale, hyperviscosité, grossesse) et de leurs conditions de conservation (chaîne du froid pour les IgIV) est essentielle.</w:t>
      </w:r>
    </w:p>
    <w:p>
      <w:r>
        <w:t>Le présent chapitre détaille trois sous-classes thérapeutiques et trois DCI :</w:t>
      </w:r>
    </w:p>
    <w:p>
      <w:pPr>
        <w:pStyle w:val="ListBullet"/>
      </w:pPr>
      <w:r/>
      <w:r>
        <w:rPr>
          <w:b/>
        </w:rPr>
        <w:t>Sous-classe 1 — Anticorps monoclonaux anti-rejet anti-IL-2R</w:t>
      </w:r>
      <w:r>
        <w:t xml:space="preserve"> : Basiliximab (Simulect®).</w:t>
      </w:r>
    </w:p>
    <w:p>
      <w:pPr>
        <w:pStyle w:val="ListBullet"/>
      </w:pPr>
      <w:r/>
      <w:r>
        <w:rPr>
          <w:b/>
        </w:rPr>
        <w:t>Sous-classe 2 — Anticorps polyclonaux anti-rejet déplétants</w:t>
      </w:r>
      <w:r>
        <w:t xml:space="preserve"> : Immunoglobuline anti-thymocytes (ATG, Thymoglobuline®).</w:t>
      </w:r>
    </w:p>
    <w:p>
      <w:pPr>
        <w:pStyle w:val="ListBullet"/>
      </w:pPr>
      <w:r/>
      <w:r>
        <w:rPr>
          <w:b/>
        </w:rPr>
        <w:t>Sous-classe 3 — Immunoglobulines thérapeutiques</w:t>
      </w:r>
      <w:r>
        <w:t xml:space="preserve"> : Immunoglobuline humaine normale (IgIV — 7 spécialités disponibles en Algérie : KIOVIG®, PRIVIGEN®, FLEBOGAMMA DIF®, CLAIRYG®, INTRATECT®, OCTAGAM®, TELGENE®).</w:t>
      </w:r>
    </w:p>
    <w:p>
      <w:r>
        <w:t>Chaque DCI fait l'objet d'une fiche technique complète selon une structure standardisée en 12 sections, incluant la liste des spécialités disponibles en Algérie (présentées en tableau commercial à 6 colonnes), le mécanisme d'action, le profil pharmacologique (indications, contre-indications, effets indésirables), la prévention et gestion des effets indésirables, les interactions médicamenteuses, les données de grossesse et allaitement, la posologie et le mode d'administration, la surveillance biologique, l'arbitrage entre formes galéniques, les conseils au patient et les pièges à éviter au comptoir. Un tableau comparatif synthétise en fin de chapitre les caractéristiques des trois DCI pour faciliter la décision clinique.</w:t>
      </w:r>
    </w:p>
    <w:p>
      <w:pPr>
        <w:pStyle w:val="Heading2"/>
      </w:pPr>
      <w:r>
        <w:t>Sous-classe 1 — Anticorps monoclonaux anti-rejet anti-IL-2R</w:t>
      </w:r>
    </w:p>
    <w:p>
      <w:pPr>
        <w:pStyle w:val="Heading3"/>
      </w:pPr>
      <w:r>
        <w:t>Introduction de la sous-classe</w:t>
      </w:r>
    </w:p>
    <w:p>
      <w:r>
        <w:t xml:space="preserve">Les </w:t>
      </w:r>
      <w:r>
        <w:rPr>
          <w:b/>
        </w:rPr>
        <w:t>anticorps monoclonaux anti-IL-2R (récepteur de l'interleukine-2)</w:t>
      </w:r>
      <w:r>
        <w:t xml:space="preserve"> représentent la classe d'anticorps monoclonaux la plus ciblée et la mieux tolérée des inducteurs d'immunosuppression en transplantation. Ils sont dirigés spécifiquement contre la sous-unité α du récepteur de l'IL-2 (CD25), exprimée à la surface des lymphocytes T activés (mais pas des lymphocytes T quiescents), ce qui permet un blocage </w:t>
      </w:r>
      <w:r>
        <w:rPr>
          <w:b/>
        </w:rPr>
        <w:t>sélectif</w:t>
      </w:r>
      <w:r>
        <w:t xml:space="preserve"> de l'activation lymphocytaire T sans déplétion lymphocytaire globale ni myélosuppression. Cette sélectivité explique leur profil de tolérance nettement supérieur à celui des anticorps polyclonaux déplétants (ATG) ou de l'anticorps anti-CD3 murin OKT3 (désormais retiré du marché en raison de son syndrome de libération de cytokines sévère). Deux anticorps monoclonaux anti-CD25 ont été développés : le </w:t>
      </w:r>
      <w:r>
        <w:rPr>
          <w:b/>
        </w:rPr>
        <w:t>basiliximab</w:t>
      </w:r>
      <w:r>
        <w:t xml:space="preserve"> (Simulect®, Novartis — AcM chimérique IgG1κ, ~30 % murin) et le </w:t>
      </w:r>
      <w:r>
        <w:rPr>
          <w:b/>
        </w:rPr>
        <w:t>daclizumab</w:t>
      </w:r>
      <w:r>
        <w:t xml:space="preserve"> (Zenapax®, Roche — AcM humanisé IgG1, retiré du marché en 2009 pour raisons commerciales, puis reformulé sous le nom de Zinbryta® dans la sclérose en plaques et retiré à nouveau en 2018 pour hépatotoxicité). Seul le basiliximab reste disponible en Algérie et dans le monde pour l'induction en transplantation.</w:t>
      </w:r>
    </w:p>
    <w:p>
      <w:r>
        <w:t>Le mécanisme d'action des anti-IL-2R repose sur le blocage compétitif de la liaison de l'IL-2 à son récepteur de haute affinité, dont la sous-unité α (CD25) n'est exprimée qu'après activation lymphocytaire T (sous l'effet de la reconnaissance allospecifique de l'antigène HLA du greffon présenté par les cellules présentatrices d'antigène — APC). L'IL-2 est la cytokine clé de la prolifération clonale des lymphocytes T activés : elle active la voie JAK3-STAT5, induit la transcription de gènes de prolifération (c-myc, cyclines), de survie (Bcl-2) et d'effet (IFN-γ, TNF-α), et amplifie la différenciation en lymphocytes T effecteurs (Th1, Th2, Th17) et cytotoxiques (CD8+). En bloquant l'IL-2R, le basiliximab inhibe la prolivération clonale des lymphocytes T alloréactifs sans pour autant dépléter les lymphocytes T régulateurs (Treg) qui dépendent principalement de l'IL-2 pour leur survie — ce qui pourrait expliquer un effet immunorégulateur favorable à long terme. Le blocage persiste 4 à 8 semaines après la dernière dose (saturation des récepteurs CD25 circulants), couvrant la période de risque maximal de rejet aigu précoce (premier mois post-greffe).</w:t>
      </w:r>
    </w:p>
    <w:p>
      <w:r>
        <w:t xml:space="preserve">Les indications validées du basiliximab sont : (i) </w:t>
      </w:r>
      <w:r>
        <w:rPr>
          <w:b/>
        </w:rPr>
        <w:t>induction d'immunosuppression en transplantation rénale</w:t>
      </w:r>
      <w:r>
        <w:t xml:space="preserve"> chez l'adulte et l'enfant (AMM européenne et FDA), en complément d'une trithérapie conventionnelle (ciclosporine ou tacrolimus + mycophénolate mofétil + corticoïdes) ; (ii) induction en transplantation hépatique (hors AMM en Europe, courante aux États-Unis). Son usage est particulièrement recommandé chez les patients à </w:t>
      </w:r>
      <w:r>
        <w:rPr>
          <w:b/>
        </w:rPr>
        <w:t>risque immunologique standard à modéré</w:t>
      </w:r>
      <w:r>
        <w:t xml:space="preserve"> (PRA &lt; 50 %, première transplantation, mismatch HLA ≤ 4). Chez les patients à haut risque immunologique (PRA &gt; 50 %, retransplantation, greffe avec anticorps anti-HLA du donneur préformés — DSA), l'ATG est préférable en raison de son action déplétante plus puissante. La tolérance du basiliximab est remarquable : peu ou pas de réactions liées à la perfusion (pré-médication non systématique), pas de syndrome de libération de cytokines (contrairement à l'OKT3), pas de myélosuppression, pas d'immunogénicité significative (3–5 % d'anticorps anti-basiliximab sans retentissement clinique), pas d'excès d'infections opportunistes vs placebo. Son profil coût-efficacité est favorable (deux doses vs 7 à 14 jours d'ATG).</w:t>
      </w:r>
    </w:p>
    <w:p>
      <w:r>
        <w:t>Le daclizumab (Zenapax®), anticorps humanisé anti-CD25 autrefois disponible, a été retiré du marché en 2009 (décision commerciale de Roche, non liée à un problème de sécurité). Une reformulation sous le nom de Zinbryta® (daclizumab en formulation mensuelle sous-cutanée) a brièvement obtenu une AMM dans la sclérose en plaques récidivante (2016), puis a été retirée mondialement en mars 2018 à la suite de cas d'encéphalopathies auto-immunes et d'hépatites fulminantes. Le basiliximab reste donc la seule option disponible dans la sous-classe des anti-IL-2R.</w:t>
      </w:r>
    </w:p>
    <w:p>
      <w:pPr>
        <w:pStyle w:val="Heading3"/>
      </w:pPr>
      <w:r>
        <w:t>172.1.1 DCI : Basiliximab</w:t>
      </w:r>
    </w:p>
    <w:p>
      <w:r/>
      <w:r>
        <w:rPr>
          <w:b/>
        </w:rPr>
        <w:t>Liste des Catégories :</w:t>
      </w:r>
      <w:r>
        <w:t xml:space="preserve"> Immunosuppresseurs ; Anticorps monoclonal chimérique IgG1κ anti-CD25 (anti-IL-2Rα) ; Inducteur d'immunosuppression en transplantation rénale et hépatique ; Liste I ; Réservé à l'usage hospitalier.</w:t>
      </w:r>
    </w:p>
    <w:p>
      <w:r>
        <w:t>Le basiliximab (Simulect®, Novartis) est un anticorps monoclonal chimérique IgG1κ composé de régions constantes humaines et de régions variables murines (issue du clone anti-Tac développé par Waldmann, NIH — ~30 % de séquence murine, 70 % humaine). Il a obtenu son AMM européenne en septembre 1998 (premier anti-IL-2R autorisé) et est indiqué en induction d'immunosuppression en transplantation rénale chez l'adulte et l'enfant, en complément d'une trithérapie conventionnelle. Sa cible est la sous-unité α (CD25, p55, Tac) du récepteur de haute affinité de l'interleukine-2 (IL-2R), exprimée à la surface des lymphocytes T activés — mais absente des lymphocytes T quiescents. Le basiliximab se lie à CD25 avec une affinité élevée (Kd ~0,3 nM, plus forte que l'IL-2 elle-même), bloque la formation du complexe de signalisation de haute affinité (IL-2Rαβγ) et empêche la transduction du signal IL-2 via JAK3-STAT5, inhibant ainsi la prolifération clonale des lymphocytes T alloréactifs sans déplétion lymphocytaire globale. La saturation des récepteurs CD25 circulants persiste 4 à 8 semaines après la dernière perfusion, couvrant la fenêtre critique du rejet aigu précoce.</w:t>
      </w:r>
    </w:p>
    <w:p>
      <w:r>
        <w:t xml:space="preserve">Le basiliximab est l'inducteur anti-rejet le plus prescrit au monde en raison de son profil coût-efficacité-tolérance favorable : deux doses seulement (J0 et J4 post-transplantation), administration en 30 minutes par voie IV périphérique, pré-médication non systématique, pas de myélosuppression, peu de réactions liées à la perfusion, immunogénicité négligeable (3 %). Son efficacité, démontrée par les études pivots (phase III versus placebo en transplantation rénale), réduit de 30 à 40 % l'incidence du rejet aigu précoce à 6 mois (de ~40 % sous placebo à ~25 % sous basiliximab, en association avec ciclosporine + azathioprine ou mycophénolate + corticoïdes). Les méta-analyses Cochrane et les recommandations KDIGO 2009 placent le basiliximab comme inducteur de premier choix chez les patients à </w:t>
      </w:r>
      <w:r>
        <w:rPr>
          <w:b/>
        </w:rPr>
        <w:t>risque immunologique standard à modéré</w:t>
      </w:r>
      <w:r>
        <w:t xml:space="preserve">, l'ATG étant réservé aux patients à </w:t>
      </w:r>
      <w:r>
        <w:rPr>
          <w:b/>
        </w:rPr>
        <w:t>haut risque</w:t>
      </w:r>
      <w:r>
        <w:t xml:space="preserve"> (PRA &gt; 50 %, retransplantation, DSA préformés). Le basiliximab n'a pas démontré de supériorité sur la survie du greffon à long terme vs l'ATG, mais sa tolérance est nettement supérieure.</w:t>
      </w:r>
    </w:p>
    <w:p>
      <w:r/>
      <w:r>
        <w:rPr>
          <w:b/>
        </w:rPr>
        <w:t>Médicaments disponibles en Algérie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SIMULECT</w:t>
            </w:r>
          </w:p>
        </w:tc>
        <w:tc>
          <w:tcPr>
            <w:tcW w:type="dxa" w:w="1559"/>
          </w:tcPr>
          <w:p>
            <w:r>
              <w:rPr>
                <w:sz w:val="20"/>
              </w:rPr>
              <w:t>NOVARTIS PHARMA SCHWEIZ AG</w:t>
            </w:r>
          </w:p>
        </w:tc>
        <w:tc>
          <w:tcPr>
            <w:tcW w:type="dxa" w:w="1559"/>
          </w:tcPr>
          <w:p>
            <w:r>
              <w:rPr>
                <w:sz w:val="20"/>
              </w:rPr>
              <w:t>Poudre et solvant pour solution injectable ou pour perfusion IV — 20 mg/flacon</w:t>
            </w:r>
          </w:p>
        </w:tc>
        <w:tc>
          <w:tcPr>
            <w:tcW w:type="dxa" w:w="1559"/>
          </w:tcPr>
          <w:p>
            <w:r>
              <w:rPr>
                <w:sz w:val="20"/>
              </w:rPr>
              <w:t>B/1 flacon de poudre + 1 flacon de solvant 5 mL</w:t>
            </w:r>
          </w:p>
        </w:tc>
        <w:tc>
          <w:tcPr>
            <w:tcW w:type="dxa" w:w="1559"/>
          </w:tcPr>
          <w:p>
            <w:r>
              <w:rPr>
                <w:sz w:val="20"/>
              </w:rPr>
              <w:t>Liste I</w:t>
            </w:r>
          </w:p>
        </w:tc>
        <w:tc>
          <w:tcPr>
            <w:tcW w:type="dxa" w:w="1559"/>
          </w:tcPr>
          <w:p>
            <w:r>
              <w:rPr>
                <w:sz w:val="20"/>
              </w:rPr>
              <w:t>Actif</w:t>
            </w:r>
          </w:p>
        </w:tc>
      </w:tr>
    </w:tbl>
    <w:p/>
    <w:p>
      <w:r>
        <w:t>La spécialité Simulect (Novartis Pharma Schweiz AG) est disponible en Algérie en flacon unique de 20 mg de poudre lyophilisée accompagné d'une ampoule de 5 mL de solvant (eau pour préparations injectables). Après reconstitution, la concentration est de 4 mg/mL. Le produit se présente sous forme stérile à usage unique, à conserver au réfrigérateur (2–8 °C) dans son emballage d'origine (ne pas congeler). La délivrance est strictement hospitalière (service de transplantation, pharmacie hospitalière), sur prescription d'un médecin spécialiste en transplantation. Aucun biosimilaire n'est disponible à ce jour pour le basiliximab (la notion de biosimilaire s'applique aux biomédicaments ayant dépassé la période de protection des données ; le basiliximab n'a pas encore de biosimilaire approuvé à l'EMA ou à la FDA).</w:t>
      </w:r>
    </w:p>
    <w:p>
      <w:r/>
      <w:r>
        <w:rPr>
          <w:b/>
        </w:rPr>
        <w:t>Sous-classe et Mécanisme d'action :</w:t>
      </w:r>
      <w:r/>
    </w:p>
    <w:p>
      <w:pPr>
        <w:pStyle w:val="ListBullet"/>
      </w:pPr>
      <w:r>
        <w:t>Sous-classe : Anticorps monoclonal chimérique IgG1κ anti-CD25 (anti-IL-2Rα). Chef de file et seul représentant disponible en Algérie de la sous-classe des anti-IL-2R en induction de transplantation.</w:t>
      </w:r>
    </w:p>
    <w:p>
      <w:pPr>
        <w:pStyle w:val="ListBullet"/>
      </w:pPr>
      <w:r>
        <w:t>Mécanisme d'action : le basiliximab se lie avec une haute affinité (Kd ~0,3 nM) à la sous-unité α (CD25, p55, Tac) du récepteur de haute affinité de l'IL-2 (IL-2Rαβγ), exprimée à la surface des lymphocytes T activés mais absente des lymphocytes T quiescents. Le blocage compétitif empêche la liaison de l'IL-2 (cytokine clé de la prolifération clonale des lymphocytes T alloréactifs après reconnaissance de l'antigène HLA du greffon présenté par les cellules présentatrices d'antigène). En l'absence d'IL-2R fonctionnel de haute affinité, la transduction du signal IL-2 via la cascade JAK1/JAK3-STAT5 n'a pas lieu, inhibant la transcription des gènes de prolifération (c-myc, cycline D2), de survie (Bcl-2) et d'effet (IFN-γ, TNF-α). L'activation clonale des lymphocytes T effecteurs (Th1, Th17, CD8+ cytotoxiques) est bloquée, sans déplétion lymphocytaire globale. La saturation des récepteurs CD25 circulants persiste 4 à 8 semaines après la dernière dose, couvrant la fenêtre critique du rejet aigu précoce. Une propriété intéressante est l'épargne relative des lymphocytes T régulateurs (Treg, CD4+CD25highFoxP3+), qui dépendent constitutivement de l'IL-2 pour leur survie, mais dont la prolifération pourrait être moins inhibée que celle des lymphocytes T effecteurs — favorisant un immunorégulateur à long terme.</w:t>
      </w:r>
    </w:p>
    <w:p>
      <w:pPr>
        <w:pStyle w:val="ListBullet"/>
      </w:pPr>
      <w:r>
        <w:t>Particularité : le basiliximab n'est ni déplétant, ni lymphocytotoxique, ni myélosuppressif, ce qui explique son profil de tolérance supérieur à celui de l'ATG et de l'OKT3 (pas de syndrome de libération de cytokines, pas de maladie sérique, pas de thrombopénie/leucopénie).</w:t>
      </w:r>
    </w:p>
    <w:p>
      <w:r/>
      <w:r>
        <w:rPr>
          <w:b/>
        </w:rPr>
        <w:t>Profil Pharmacologique :</w:t>
      </w:r>
      <w:r/>
    </w:p>
    <w:p>
      <w:pPr>
        <w:pStyle w:val="ListBullet"/>
      </w:pPr>
      <w:r>
        <w:t xml:space="preserve">Indications : (1) Induction d'immunosuppression en </w:t>
      </w:r>
      <w:r>
        <w:rPr>
          <w:b/>
        </w:rPr>
        <w:t>transplantation rénale</w:t>
      </w:r>
      <w:r>
        <w:t xml:space="preserve"> chez l'adulte et l'enfant de poids ≥ 35 kg (AMM), en complément d'une trithérapie conventionnelle (inhibiteur de la calcineururine + antiprolifératif + corticoïdes). Posologie : 20 mg IV à J0 (2 heures avant le déclampage vasculaire) et 20 mg IV à J4 (4 jours post-transplantation), soit 2 doses totales de 40 mg. (2) Induction en </w:t>
      </w:r>
      <w:r>
        <w:rPr>
          <w:b/>
        </w:rPr>
        <w:t>transplantation hépatique</w:t>
      </w:r>
      <w:r>
        <w:t xml:space="preserve"> (hors AMM en Europe, courante aux États-Unis — posologie identique). (3) Induction en transplantation pancréatique, cardiaque ou pulmonaire (hors AMM, selon protocoles de centre). Le basiliximab est particulièrement recommandé chez les patients à risque immunologique standard à modéré (PRA &lt; 50 %, première transplantation, mismatch HLA ≤ 4) selon les recommandations KDIGO 2009. Il est parfois utilisé en relais de l'ATG en cas de survenue d'effets indésirables sous ATG (thrombopénie, maladie sérique).</w:t>
      </w:r>
    </w:p>
    <w:p>
      <w:pPr>
        <w:pStyle w:val="ListBullet"/>
      </w:pPr>
      <w:r>
        <w:t>Contre-indications : Hypersensibilité au basiliximab, à d'autres anticorps monoclonaux ou à l'un des excipients (phosphate monobasique de potassium, phosphate dibasique de sodium, saccharose, glycine, mannitol, chlorhydrate de lysine, polysorbate 80). Grossesse (CI relative — voir section Grossesse). Allaitement. Infections sévères non contrôlées (CI relative). Précautions d'emploi : patients à haut risque immunologique (PRA &gt; 50 %, retransplantation, DSA préformés — préférer ATG), insuffisance hépatique sévère (PK augmentée), patients pédiatriques de poids &lt; 35 kg (adaptation posologique), vaccination par vaccin vivant (contre-indiquée pendant et 8 semaines après).</w:t>
      </w:r>
    </w:p>
    <w:p>
      <w:pPr>
        <w:pStyle w:val="ListBullet"/>
      </w:pPr>
      <w:r>
        <w:t>Effets Indésirables : Très fréquents (&gt; 10 %) : fièvre, infections (principalement des voies urinaires, respiratoires hautes, à CMV — incidence comparable au placebo mais à surveiller), hypertension, hypotension, céphalées, douleurs, nausées, vomissements, diarrhée, dyspepsie, douleurs abdominales, constipation, anémie, leucopénie modérée, hyperkaliémie, hypokaliémie, hyperglycémie, dyspnée, toux, tremblements, acne, rash, prurit, douleurs articulaires, œdèmes périphériques, anomalies de la fonction rénale (créatinine élevée transitoire), cicatrisation retardée. Fréquents (1–10 %) : réactions liées à la perfusion (RLP — flush, rash, hypotension transitoire, dyspnée, frissons — 3–5 %, généralement grade 1–2, rarement grade 3–4), thrombopénie, lymphopénie, hyperuricémie, hypophosphatémie, hypomagnésémie, hypercholestérolémie, dépression, anxiété, vertiges, insomnie, convulsions (rares), hypertension sévère, tachycardie, thrombose veineuse, hémorragie, pneumopathie, bronchite, septicémie, candidose, herpès, zona, infection à CMV (à surveiller), syndrome lymphoprolifératif post-transplantation (PTLD, incidence &lt; 1 % à 1 an, augmentée en cas d'association à d'autres immunosuppresseurs et antécédents d'EBV). Peu fréquents (&lt; 1 %) : anaphylaxie (rapports exceptionnels), réaction anaphylactoïde sévère (première cure), angio-œdème, bronchospasme. Rares : syndrome de lyse tumorale (non pertinent en transplantation), réaction autoimmune.</w:t>
      </w:r>
    </w:p>
    <w:p>
      <w:r/>
      <w:r>
        <w:rPr>
          <w:b/>
        </w:rPr>
        <w:t>Prévention et Gestion des Effets Indésirables :</w:t>
      </w:r>
      <w:r/>
    </w:p>
    <w:p>
      <w:pPr>
        <w:pStyle w:val="ListBullet"/>
      </w:pPr>
      <w:r>
        <w:t>Mesures Préventives : Bilan pré-transplantation complet incluant sérologies virales (VIH, VHB, VHC, CMV, EBV, VHH-6, VZV, herpès), statut immunologique (PRA, cross-match, typage HLA), NFS, plaquettes, bilan hépatique, fonction rénale, ionogramme. Pré-médication paracétamol 1 g + antihistaminique (chlorphénamine 10 mg ou cétirizine 10 mg) ± corticothérapie IV (méthylprednisolone 500 mg) 30 minutes avant la perfusion — non systématique mais recommandée chez les patients ayant des antécédents allergiques. Surveillance constante pendant la perfusion : tension artérielle, fréquence cardiaque, saturation en O₂, température, toutes les 15 minutes. Prophylaxie anti-CMV systématique en cas de couple donneur/receveur D+/R− (valganciclovir 900 mg/j pendant 3–6 mois) ou R+ (valganciclovir 450 mg/j pendant 3 mois). Prophylaxie antipneumocystose (cotrimoxazole 400/80 mg 3×/semaine pendant 6 mois). Prophylaxie antifongique (nystatine ou fluconazole 50–100 mg/j pendant 1–3 mois selon le risque).</w:t>
      </w:r>
    </w:p>
    <w:p>
      <w:pPr>
        <w:pStyle w:val="ListBullet"/>
      </w:pPr>
      <w:r>
        <w:t>Conduite à Tenir : Réaction liée à la perfusion grade 1 (flush transitoire, sensation de chaleur) : ralentir la perfusion de 50 %, surveillance. Grade 2 (rash, prurit, frissons modérés) :暂停 perfusion, antihistaminique IV (chlorphénamine 10 mg), paracétamol 1 g, reprise à vitesse réduite après disparition. Grade 3 (hypotension, dyspnée, bronchospasme) : arrêt immédiat de la perfusion, mise en décubitus dorsal, oxygénothérapie 6–8 L/min, antihistaminique IV + corticothérapie IV (méthylprednisolone 1 mg/kg), remplissage vasculaire (NaCl 0,9 % 500 mL), adrénaline IM 0,3 mg si bronchospasme ou hypotension sévère. Grade 4 (anaphylaxie, choc) : arrêt définitif, réanimation, adrénaline IV 0,1–0,5 mg, intubation si nécessaire, transfert en réanimation — CI définitive au basiliximab. Cytopénies (thrombopénie &lt; 100 G/L, leucopénie &lt; 3 G/L) : surveillance hebdomadaire, rarement imputables au basiliximab seul (rechercher cause alternative — mycophénolate, ATG, infections, hemodilution), pas d'arrêt spécifique. Infection à CMV : PCR CMV sanguine hebdomadaire pendant 3 mois, traitement préemptif par valganciclovir 900 mg × 2/j si réplication significative. PTLD (suspicion : fièvre, adénopathies, syndrome tumoral) : arrêt de l'immunosuppression inductrice (basiliximab déjà éliminé après 4–8 semaines — surveiller l'ensemble du traitement), biopsie ganglionnaire, recherche EBV (PCR EBV sanguine), consultation hémato-oncologique.</w:t>
      </w:r>
    </w:p>
    <w:p>
      <w:r/>
      <w:r>
        <w:rPr>
          <w:b/>
        </w:rPr>
        <w:t>Interactions Médicamenteuses :</w:t>
      </w:r>
      <w:r/>
    </w:p>
    <w:p>
      <w:pPr>
        <w:pStyle w:val="ListBullet"/>
      </w:pPr>
      <w:r>
        <w:t>Vaccins vivants atténués (BCG, rougeole-oreillons-rubéole, varicelle, fièvre jaune, rotavirus, oral polio, oral typhoïde) : CONTRE-INDICATION pendant le traitement et 8 semaines après (risque d'infection disséminée par le vaccin). Vaccins inactivés possibles mais réponse immunitaire réduite — vérifier la sérologie post-vaccinale.</w:t>
      </w:r>
    </w:p>
    <w:p>
      <w:pPr>
        <w:pStyle w:val="ListBullet"/>
      </w:pPr>
      <w:r>
        <w:t>Mycophénolate mofétil : association usuelle et synergique en transplantation rénale — pas d'interaction pharmacocinétique spécifique mais majoration du risque infectieux et hématologique cumulé (surveillance NFS-plaquettes hebdomadaire le premier mois).</w:t>
      </w:r>
    </w:p>
    <w:p>
      <w:pPr>
        <w:pStyle w:val="ListBullet"/>
      </w:pPr>
      <w:r>
        <w:t>Inhibiteurs de la calcineururine (ciclosporine, tacrolimus) : association usuelle, pas d'interaction pharmacocinétique directe. Surveillance des concentrations résiduelles (ciclosporine cible 150–250 ng/mL, tacrolimus cible 8–12 ng/mL en transplantation rénale).</w:t>
      </w:r>
    </w:p>
    <w:p>
      <w:pPr>
        <w:pStyle w:val="ListBullet"/>
      </w:pPr>
      <w:r>
        <w:t>Corticoïdes (prednisone, méthylprednisolone) : association usuelle, pas d'interaction spécifique.</w:t>
      </w:r>
    </w:p>
    <w:p>
      <w:pPr>
        <w:pStyle w:val="ListBullet"/>
      </w:pPr>
      <w:r>
        <w:t>ATG : pas d'association recommandée (les deux inducteurs ne sont pas combinés), mais switch possible en cas d'intolérance à l'un ou l'autre (avec surveillance NFS, lymphocytes).</w:t>
      </w:r>
    </w:p>
    <w:p>
      <w:pPr>
        <w:pStyle w:val="ListBullet"/>
      </w:pPr>
      <w:r>
        <w:t>Aucune interaction métabolique significative (le basiliximab est dégradé par le système réticulo-endothélial en peptides et acides aminés — pas de métabolisme hépatique CYP, pas d'interaction avec les inducteurs/inhibiteurs enzymatiques).</w:t>
      </w:r>
    </w:p>
    <w:p>
      <w:pPr>
        <w:pStyle w:val="ListBullet"/>
      </w:pPr>
      <w:r>
        <w:t>Riuximab, plasmaphérèse : si recours à la plasmaphérèse (rejet humoral aigu, désensibilisation), le basiliximab peut être éliminé prématurément (saturation CD25 raccourcie) — discuter l'administration d'une dose supplémentaire.</w:t>
      </w:r>
    </w:p>
    <w:p>
      <w:r/>
      <w:r>
        <w:rPr>
          <w:b/>
        </w:rPr>
        <w:t>Grossesse et Allaitement :</w:t>
      </w:r>
      <w:r/>
    </w:p>
    <w:p>
      <w:pPr>
        <w:pStyle w:val="ListBullet"/>
      </w:pPr>
      <w:r>
        <w:t>Grossesse : à ÉVITER par principe (données animales limitées, pas d'étude contrôlée chez la femme enceinte — le basiliximab traverse le placenta à partir du 2e trimestre). Le statut immunosupprimé de la patiente transplantée rend la grossesse à haut risque (risque accru de rejet aigu, prééclampsie, retard de croissance intra-utérin, prématurité). Les recommandations KDIGO conseillent d'attendre au moins 1 an après une transplantation rénale stable avec fonction du greffon optimale (créatinine &lt; 1,5 mg/dL, protéinurie &lt; 500 mg/j, absence de rejet aigu récent) avant une grossesse ; le protocole immunosuppresseur doit être adapté (tacrolimus + azathioprine + prednisone — arrêt du mycophénolate, du sirolimus et de l'évérolimus). Le basiliximab étant prescrit uniquement en péri-transplantatoire (J0–J4), son administration chez une femme enceinte transplantée reste exceptionnelle. Les registres NTPR (National Transplantation Pregnancy Registry) rapportent des cas isolés sans sur-risque malformatif, mais les données sont insuffisantes pour conclure. CRAT : « données limitées, à éviter par principe ».</w:t>
      </w:r>
    </w:p>
    <w:p>
      <w:pPr>
        <w:pStyle w:val="ListBullet"/>
      </w:pPr>
      <w:r>
        <w:t>Allaitement : à ÉVITER pendant et 8 semaines après la dernière dose (passage du basiliximab dans le lait maternel probable — IgG1 sécrétés ; immaturité immunitaire du nouveau-né). Les femmes transplantées souhaitant allaiter doivent discuter avec leur équipe de transplantation — le tacrolimus est compatible (faible passage lacté) mais le basiliximab et le mycophénolate ne le sont pas.</w:t>
      </w:r>
    </w:p>
    <w:p>
      <w:pPr>
        <w:pStyle w:val="ListBullet"/>
      </w:pPr>
      <w:r>
        <w:t>Fertilité : pas d'effet délétère documenté du basiliximab sur la fertilité masculine ou féminine.</w:t>
      </w:r>
    </w:p>
    <w:p>
      <w:r/>
      <w:r>
        <w:rPr>
          <w:b/>
        </w:rPr>
        <w:t>Posologie et Mode d'administration (Standard) :</w:t>
      </w:r>
      <w:r/>
    </w:p>
    <w:p>
      <w:pPr>
        <w:pStyle w:val="ListBullet"/>
      </w:pPr>
      <w:r>
        <w:t>Adulte et enfant &gt; 35 kg : 20 mg IV à J0 (2 heures, soit entre 2 heures et 30 minutes avant le déclampage vasculaire du greffon) et 20 mg IV à J4 (4 jours après la transplantation), soit 2 doses totales de 40 mg. La seconde dose est omise en cas de rejet aigu sévère, de perte du greffon ou de réaction anaphylactique à la première dose.</w:t>
      </w:r>
    </w:p>
    <w:p>
      <w:pPr>
        <w:pStyle w:val="ListBullet"/>
      </w:pPr>
      <w:r>
        <w:t>Enfant &lt; 35 kg : 10 mg IV à J0 et 10 mg IV à J4 (dose totale 20 mg).</w:t>
      </w:r>
    </w:p>
    <w:p>
      <w:pPr>
        <w:pStyle w:val="ListBullet"/>
      </w:pPr>
      <w:r>
        <w:t>Mode d'administration : perfusion IV stricte de 30 minutes (jamais en bolus IV direct), dans 50 mL de NaCl 0,9 % ou de glucose 5 %, via une ligne IV périphérique ou centrale dédiée, avec un filtre de 0,22 μm recommandé. Ne pas administrer en perfusion trop rapide (&lt; 20 minutes = risque de RLP majoré). Ne pas mélanger avec d'autres médicaments dans la même tubulure (rinçage avec NaCl 0,9 % entre deux produits).</w:t>
      </w:r>
    </w:p>
    <w:p>
      <w:pPr>
        <w:pStyle w:val="ListBullet"/>
      </w:pPr>
      <w:r>
        <w:t>Préparation : reconstitution de la poudre lyophilisée avec 5 mL d'eau pour préparations injectables (fournie) en respectant l'asepsie (transfert lent du solvant sur la paroi du flacon, agitation douce par rotation — ne pas agiter vigoureusement pour éviter la mousse). La solution reconstituée (4 mg/mL) doit être limpide et incolore ; ne pas utiliser si présence de particules ou de coloration. Dilution ensuite dans 50 mL de NaCl 0,9 % ou glucose 5 %.</w:t>
      </w:r>
    </w:p>
    <w:p>
      <w:pPr>
        <w:pStyle w:val="ListBullet"/>
      </w:pPr>
      <w:r>
        <w:t>Insuffisance rénale : pas d'adaptation posologique (le basiliximab n'est pas éliminé par le rein — métabolisme réticulo-endothélial).</w:t>
      </w:r>
    </w:p>
    <w:p>
      <w:pPr>
        <w:pStyle w:val="ListBullet"/>
      </w:pPr>
      <w:r>
        <w:t>Insuffisance hépatique : pas d'adaptation posologique formelle mais surveillance (PK augmentée en cas d'insuffisance hépatique sévère — Child-Pugh C).</w:t>
      </w:r>
    </w:p>
    <w:p>
      <w:pPr>
        <w:pStyle w:val="ListBullet"/>
      </w:pPr>
      <w:r>
        <w:t>Sujet âgé : pas d'adaptation posologique formelle mais surveillance des comorbidités (insuffisance rénale, hypertension, dysautonomie).</w:t>
      </w:r>
    </w:p>
    <w:p>
      <w:r/>
      <w:r>
        <w:rPr>
          <w:b/>
        </w:rPr>
        <w:t>Surveillance Biologique et Suivi Clinique :</w:t>
      </w:r>
      <w:r/>
    </w:p>
    <w:p>
      <w:pPr>
        <w:pStyle w:val="ListBullet"/>
      </w:pPr>
      <w:r>
        <w:t>Avant la première perfusion : NFS-plaquettes, ionogramme, créatinine, bilan hépatique (ALAT, ASAT, PAL, γ-GT, bilirubine), glycémie, uricémie, magnésémie, calcémie, phosphatémie, sérologies virales (CMV, EBV, VHB, VHC, VIH), ECG, examen cardiovasculaire, examen neurologique de référence.</w:t>
      </w:r>
    </w:p>
    <w:p>
      <w:pPr>
        <w:pStyle w:val="ListBullet"/>
      </w:pPr>
      <w:r>
        <w:t>Pendant la perfusion : surveillance continue (scope), tension artérielle toutes les 15 minutes, fréquence cardiaque, saturation en O₂, température, état cutané (rash, flush), état respiratoire (dyspnée, sibilants).</w:t>
      </w:r>
    </w:p>
    <w:p>
      <w:pPr>
        <w:pStyle w:val="ListBullet"/>
      </w:pPr>
      <w:r>
        <w:t>Après perfusion : NFS-plaquettes à J1, J7, J14 puis mensuelles pendant 3 mois ; créatinine quotidienne pendant la phase post-opératoire immédiate, puis hebdomadaire pendant 1 mois puis mensuelle ; bilan hépatique mensuel ; ionogramme, glycémie, magnésémie hebdomadaires pendant 1 mois puis mensuels ; PCR CMV sanguine hebdomadaire pendant 3 mois (en cas de risque D+/R−) ; surveillance lymphocytaire (CD3, CD4, CD8) non systématique (saturation CD25 maintenue).</w:t>
      </w:r>
    </w:p>
    <w:p>
      <w:pPr>
        <w:pStyle w:val="ListBullet"/>
      </w:pPr>
      <w:r>
        <w:t>Clinique : fièvre quotidienne, aspect de la plaie opératoire, diurèse, état respiratoire, état neurologique (tremblements, convulsions, syndrome tumoral, adénopathies), tension artérielle, poids. Échographie du greffon à J1, J7, J1, M3, M6.</w:t>
      </w:r>
    </w:p>
    <w:p>
      <w:pPr>
        <w:pStyle w:val="ListBullet"/>
      </w:pPr>
      <w:r>
        <w:t>Suivi carcinologique : surveillance à long terme du risque PTLD (lymphome B EBV-induit, survie globalement bonne après réduction de l'immunosuppression) : détection EBV PCR sanguine trimestrielle pendant la première année si risque élevé (R− EBV, donneur EBV+), examen clinique (adénopathies, hépato-splénomégalie) à chaque consultation, TDM TAP annuelle pendant les 5 premières années.</w:t>
      </w:r>
    </w:p>
    <w:p>
      <w:pPr>
        <w:pStyle w:val="ListBullet"/>
      </w:pPr>
      <w:r>
        <w:t>Suivi infectieux : antibioprophylaxie selon protocole local (pneumocystose : cotrimoxazole 3×/semaine pendant 6 mois ; CMV : valganciclovir 3–6 mois si D+/R− ; herpès : valaciclovir 500 mg/j pendant 3 mois ; Candida : nystatine ou fluconazole 1–3 mois).</w:t>
      </w:r>
    </w:p>
    <w:p>
      <w:r/>
      <w:r>
        <w:rPr>
          <w:b/>
        </w:rPr>
        <w:t>Arbitrage et Bénéfices des Formes Galéniques :</w:t>
      </w:r>
      <w:r/>
    </w:p>
    <w:p>
      <w:r>
        <w:t>Le basiliximab est disponible uniquement en forme IV lyophilisée à reconstituer (flacon de 20 mg de poudre + 5 mL de solvant). Pas de forme SC, pas de biosimilaire. La reconstitution doit être faite extemporanément par un personnel entraîné, en respectant l'asepsie (environnement de pharmacyrie hospitalière, hotte à flux laminaire, gants stériles). La solution reconstituée (4 mg/mL) est stable 24 heures à 2–8 °C ou 4 heures à température ambiante (ne pas congeler). La dilution finale en 50 mL de NaCl 0,9 % ou glucose 5 % doit être utilisée dans les 4 heures (selon le RCP). Le coût par dose (20 mg) est nettement inférieur à celui de l'ATG (qui nécessite 7 à 14 perfusions de 1–1,5 mg/kg chacune), ce qui rend le basiliximab plus économique malgré une efficacité comparable chez les patients à risque standard. Le choix entre basiliximab (2 doses, anti-CD25 non déplétant, bien toléré) et ATG (7 à 14 doses, polyclonal déplétant, plus toxique) dépend du risque immunologique du patient : basiliximab en première intention chez les patients à risque standard à modéré, ATG chez les patients à haut risque immunologique ou en cas de rejet aigu sévère.</w:t>
      </w:r>
    </w:p>
    <w:p>
      <w:r/>
      <w:r>
        <w:rPr>
          <w:b/>
        </w:rPr>
        <w:t>Instructions et Conseils au Patient :</w:t>
      </w:r>
      <w:r/>
    </w:p>
    <w:p>
      <w:pPr>
        <w:pStyle w:val="ListBullet"/>
      </w:pPr>
      <w:r>
        <w:t>Communication au comptoir : « Le basiliximab (Simulect) est un anticorps monoclonal qui bloque temporairement l'activation de certains globules blancs (lymphocytes T) responsables du rejet du greffon rénal. Il est administré en deux perfusions intraveineuses de 30 minutes, une juste avant la greffe et l'autre 4 jours après. Les effets indésirables les plus fréquents sont une fièvre modérée, des céphalées, une hypertension transitoire et un risque accru d'infections (urinaires, respiratoires, à CMV). Les réactions allergiques graves sont rares mais possibles (rash, gonflement, difficulté à respirer) — prévenez immédiatement l'équipe soignante. Une prophylaxie anti-infectieuse vous sera prescrite (valganciclovir, cotrimoxazole) pendant plusieurs mois. Les vaccins vivants sont contre-indiqués. »</w:t>
      </w:r>
    </w:p>
    <w:p>
      <w:pPr>
        <w:pStyle w:val="ListBullet"/>
      </w:pPr>
      <w:r>
        <w:t>Observance : ne jamais arrêter ou modifier le traitement immunosuppresseur d'entretien (tacrolimus, mycophénolate, prednisone) sans avis spécialisé ; signaler immédiatement tout signe d'infection (fièvre, brûlures urinaires, toux, dyspnée), tout signe de rejet (diminution de la diurèse, fièvre, douleur du greffon, hypertension), tout signe neurologique (tremblements, convulsions, confusion), tout syndrome tumoral (adénopathies, fièvre inexpliquée, amaigrissement).</w:t>
      </w:r>
    </w:p>
    <w:p>
      <w:pPr>
        <w:pStyle w:val="ListBullet"/>
      </w:pPr>
      <w:r>
        <w:t>Hygiène de vie : éviter le contact avec des personnes malades, lavage des mains fréquent, masque en cas de foule, alimentation sécurisée (éviter crudités, viandes saignantes, fromages au lait cru, œufs crus), protection solaire (risque accru de cancers cutanés sous immunosuppression au long cours).</w:t>
      </w:r>
    </w:p>
    <w:p>
      <w:pPr>
        <w:pStyle w:val="ListBullet"/>
      </w:pPr>
      <w:r>
        <w:t>Femmes en âge de procréer : contraception obligatoire pendant le traitement et 8 semaines après (le basiliximab étant administré en péri-transplantatoire, une grossesse devra être planifiée au moins 1 an après la transplantation stable, sous protocole immunosuppresseur adapté — tacrolimus + azathioprine + prednisone).</w:t>
      </w:r>
    </w:p>
    <w:p>
      <w:r/>
      <w:r>
        <w:rPr>
          <w:b/>
        </w:rPr>
        <w:t>Notes, Règles d'Or &amp; Pièges au Comptoir :</w:t>
      </w:r>
      <w:r/>
    </w:p>
    <w:p>
      <w:pPr>
        <w:pStyle w:val="ListBullet"/>
      </w:pPr>
      <w:r>
        <w:t>Règle d'or : le basiliximab s'administre exclusivement par voie IV en perfusion de 30 minutes — JAMAIS en bolus IV direct (risque de réaction anaphylactoïde).</w:t>
      </w:r>
    </w:p>
    <w:p>
      <w:pPr>
        <w:pStyle w:val="ListBullet"/>
      </w:pPr>
      <w:r>
        <w:t>Piège : la deuxième dose (J4) doit être ADMINISTRÉE même si une transplantation a été reportée — tant que le greffon fonctionne ; en revanche, elle est omise en cas de perte du greffon ou de réaction anaphylactique à la première dose.</w:t>
      </w:r>
    </w:p>
    <w:p>
      <w:pPr>
        <w:pStyle w:val="ListBullet"/>
      </w:pPr>
      <w:r>
        <w:t>Règle : ne pas initier un traitement par basiliximab si la sérologie EBV du receveur est négative (R− EBV) ET le donneur positif (D+ EBV) sans surveillance renforcée par PCR EBV — risque de PTLD accru.</w:t>
      </w:r>
    </w:p>
    <w:p>
      <w:pPr>
        <w:pStyle w:val="ListBullet"/>
      </w:pPr>
      <w:r>
        <w:t>Piège : la fièvre post-basiliximab (J0–J7) ne doit pas être systématiquement attribuée à une réaction médicamenteuse — rechercher une infection (bactériémie, infection du site opératoire, infection urinaire, infection à CMV).</w:t>
      </w:r>
    </w:p>
    <w:p>
      <w:pPr>
        <w:pStyle w:val="ListBullet"/>
      </w:pPr>
      <w:r>
        <w:t>Piège : une thrombopénie ou une leucopénie sous basiliximab n'est généralement pas due au basiliximab lui-même (non myélotoxic) — rechercher une autre cause (mycophénolate, ATG si associé, infection, hémodilution post-opératoire).</w:t>
      </w:r>
    </w:p>
    <w:p>
      <w:pPr>
        <w:pStyle w:val="ListBullet"/>
      </w:pPr>
      <w:r>
        <w:t>Règle : vaccins vivants CONTRE-INDIQUÉS pendant et 8 semaines après — pas de BCG, pas de ROR, pas de fièvre jaune, pas de varicelle. Vaccins inactivés autorisés (grippe saisonnière annuelle obligatoire, pneumocoque, hépatite B, hépatite A, HPV si indiqué) mais réponse réduite — vérifier les sérologies post-vaccinales.</w:t>
      </w:r>
    </w:p>
    <w:p>
      <w:pPr>
        <w:pStyle w:val="ListBullet"/>
      </w:pPr>
      <w:r>
        <w:t>Surveillance : attention aux patients sous antihypertenseurs (l'hypertension post-basiliximab peut nécessiter une titration temporaire) et aux patients diabétiques (hyperglycémie cortico-induite majorée).</w:t>
      </w:r>
    </w:p>
    <w:p>
      <w:pPr>
        <w:pStyle w:val="ListBullet"/>
      </w:pPr>
      <w:r>
        <w:t>Règle : en cas de switch basiliximab → ATG (en raison d'un rejet aigu précoce), surveiller la numération formule sanguine (cytopénies ATG-induites) et la CRP (syndrome de libération de cytokines ATG-induit).</w:t>
      </w:r>
    </w:p>
    <w:p>
      <w:pPr>
        <w:pStyle w:val="Heading2"/>
      </w:pPr>
      <w:r>
        <w:t>Sous-classe 2 — Anticorps polyclonaux anti-rejet déplétants</w:t>
      </w:r>
    </w:p>
    <w:p>
      <w:pPr>
        <w:pStyle w:val="Heading3"/>
      </w:pPr>
      <w:r>
        <w:t>Introduction de la sous-classe</w:t>
      </w:r>
    </w:p>
    <w:p>
      <w:r>
        <w:t xml:space="preserve">Les </w:t>
      </w:r>
      <w:r>
        <w:rPr>
          <w:b/>
        </w:rPr>
        <w:t>anticorps polyclonaux anti-thymocytes (ATG, anti-thymocyte globulins)</w:t>
      </w:r>
      <w:r>
        <w:t xml:space="preserve"> sont des préparations d'immunoglobulines polyclonales purifiées à partir du sérum d'animaux (lapin, cheval, mouton) immunisés contre des thymocytes humains (lymphocytes T matures extraits de thymus fœtal ou de thymus de patients opérés). Les anticorps obtenus sont dirigés contre un large éventail d'antigènes de surface des lymphocytes T (CD2, CD3, CD4, CD5, CD6, CD7, CD8, CD11a/CD18, CD28, CD44, CD45, CD52, HLA-DR), mais aussi contre d'autres cellules hématopoïétiques (plaquettes, hématies, granulocytes, cellules NK, monocytes) — d'où leur action </w:t>
      </w:r>
      <w:r>
        <w:rPr>
          <w:b/>
        </w:rPr>
        <w:t>déplétante large</w:t>
      </w:r>
      <w:r>
        <w:t xml:space="preserve"> et leur toxicité hématologique. Trois types d'ATG ont été développés au cours de l'histoire de la transplantation : (i) </w:t>
      </w:r>
      <w:r>
        <w:rPr>
          <w:b/>
        </w:rPr>
        <w:t>ATG de cheval</w:t>
      </w:r>
      <w:r>
        <w:t xml:space="preserve"> (ATGAM®, Upjohn/Pfizer — désormais retiré du marché européen depuis 2017 pour raisons commerciales, encore disponible aux États-Unis) ; (ii) </w:t>
      </w:r>
      <w:r>
        <w:rPr>
          <w:b/>
        </w:rPr>
        <w:t>ATG de lapin</w:t>
      </w:r>
      <w:r>
        <w:t xml:space="preserve"> (Thymoglobuline®, Genzyme/Sanofi — produit dominant en Europe et au Maghreb) ; (iii) ATG de mouton (historique, abandonné). En Algérie, seule la </w:t>
      </w:r>
      <w:r>
        <w:rPr>
          <w:b/>
        </w:rPr>
        <w:t>Thymoglobuline® (ATG de lapin)</w:t>
      </w:r>
      <w:r>
        <w:t xml:space="preserve"> est disponible.</w:t>
      </w:r>
    </w:p>
    <w:p>
      <w:r>
        <w:t xml:space="preserve">Le mécanisme d'action des ATG repose sur la </w:t>
      </w:r>
      <w:r>
        <w:rPr>
          <w:b/>
        </w:rPr>
        <w:t>déplétion lymphocytaire T</w:t>
      </w:r>
      <w:r>
        <w:t xml:space="preserve"> par cytotoxicité dépendante du complément (CDC) et par cytotoxicité à médiation cellulaire dépendante des anticorps (ADCC) médiée par les macrophages et les cellules NK via les récepteurs Fcγ. La fixation des ATG sur les antigènes lymphocytaires active la cascade du complément (C1q, C3, C5-C9, complexe d'attaque membranaire), entraînant la lyse osmotique des lymphocytes T circulants. Une lymphopénie majeure (CD3 &lt; 100/mm³) est observée en quelques heures après la première perfusion et persiste plusieurs semaines à mois après l'arrêt (récupération CD4 lente, parfois &gt; 1 an). À la déplétion s'ajoutent : (i) un blocage fonctionnel des lymphocytes T survivants (modulation antigénique — internalisation de CD3, CD4, CD8 — et inhibition de la signalisation TCR) ; (ii) une induction d'apoptose lymphocytaire T (via la voie Fas-FasL et Bcl-2) ; (iii) un effet immunorégulateur paradoxal par expansion relative des lymphocytes T régulateurs (Treg, CD4+CD25highFoxP3+) qui résistent mieux à la déplétion et participent à la tolérance au long cours.</w:t>
      </w:r>
    </w:p>
    <w:p>
      <w:r>
        <w:t xml:space="preserve">Les indications des ATG sont : (1) </w:t>
      </w:r>
      <w:r>
        <w:rPr>
          <w:b/>
        </w:rPr>
        <w:t>induction d'immunosuppression en transplantation</w:t>
      </w:r>
      <w:r>
        <w:t xml:space="preserve"> chez les patients à </w:t>
      </w:r>
      <w:r>
        <w:rPr>
          <w:b/>
        </w:rPr>
        <w:t>haut risque immunologique</w:t>
      </w:r>
      <w:r>
        <w:t xml:space="preserve"> (PRA &gt; 50 %, retransplantation, DSA préformés, mismatch HLA étendu, donneur à critères élargis ou donneur marginal, retard à la greffe, transplantation ABO-incompatible) — posologie 1–1,5 mg/kg/j pendant 3–10 jours en péri-transplantatoire, en perfusion IV de 6 à 12 heures via voie centrale ; (2) </w:t>
      </w:r>
      <w:r>
        <w:rPr>
          <w:b/>
        </w:rPr>
        <w:t>traitement du rejet aigu cellulaire corticorésistant</w:t>
      </w:r>
      <w:r>
        <w:t xml:space="preserve"> en transplantation rénale, hépatique, cardiaque, pulmonaire — posologie 1,5 mg/kg/j pendant 7–14 jours ; (3) </w:t>
      </w:r>
      <w:r>
        <w:rPr>
          <w:b/>
        </w:rPr>
        <w:t>traitement du rejet humoral aigu</w:t>
      </w:r>
      <w:r>
        <w:t xml:space="preserve"> en association avec les IgIV, le rituximab, la plasmaphérèse et le bortézomib ; (4) </w:t>
      </w:r>
      <w:r>
        <w:rPr>
          <w:b/>
        </w:rPr>
        <w:t>aplasie médullaire sévère</w:t>
      </w:r>
      <w:r>
        <w:t xml:space="preserve"> (réfractaire aux traitements conventionnels — ATG de cheval historique, remplacé par l'éltrombopag et la ciclosporine) ; (5) </w:t>
      </w:r>
      <w:r>
        <w:rPr>
          <w:b/>
        </w:rPr>
        <w:t>maladie du greffon contre l'hôte (GVH) aiguë</w:t>
      </w:r>
      <w:r>
        <w:t xml:space="preserve"> réfractaire aux corticoïdes en allo-greffe de cellules souches hématopoïétiques.</w:t>
      </w:r>
    </w:p>
    <w:p>
      <w:r>
        <w:t xml:space="preserve">Le profil de tolérance des ATG est nettement moins favorable que celui du basiliximab : (i) </w:t>
      </w:r>
      <w:r>
        <w:rPr>
          <w:b/>
        </w:rPr>
        <w:t>syndrome de libération de cytokines</w:t>
      </w:r>
      <w:r>
        <w:t xml:space="preserve"> (fièvre, frissons, myalgies, arthralgies, céphalées, hypotension — dans 80–90 % des cas à la première perfusion, parfois sévère) lié à l'activation des lymphocytes T et des monocytes par les anticorps (libération de TNF-α, IL-1, IL-6, IFN-γ) avant leur lyse — nécessite une pré-médication systématique (paracétamol, antihistaminique, corticoïde) ; (ii) </w:t>
      </w:r>
      <w:r>
        <w:rPr>
          <w:b/>
        </w:rPr>
        <w:t>maladie sérique</w:t>
      </w:r>
      <w:r>
        <w:t xml:space="preserve"> (5–10 %) liée à la formation d'anticorps anti-ATG de lapin (immune complex disease — fièvre, rash urticarien, arthralgies, glomérulonéphrite) ; (iii) </w:t>
      </w:r>
      <w:r>
        <w:rPr>
          <w:b/>
        </w:rPr>
        <w:t>cytopénies</w:t>
      </w:r>
      <w:r>
        <w:t xml:space="preserve"> — thrombopénie (40–50 %), leucopénie (40–60 %), anémie (modérée) — liées à l'action cytotoxique des ATG sur les précurseurs hématopoïétiques et les plaquettes (anticorps anti-plaquettes et anti-granulocytes) ; (iv) </w:t>
      </w:r>
      <w:r>
        <w:rPr>
          <w:b/>
        </w:rPr>
        <w:t>infections opportunistes</w:t>
      </w:r>
      <w:r>
        <w:t xml:space="preserve"> majorées — CMV (incidence 30–50 % sans prophylaxie), EBV/PTLD (risque multiplié par 3–5), herpès, zona, pneumocystose, candidose ; (v) réactions allergiques (anaphylaxie rare). La tolérance de l'ATG de lapin (Thymoglobuline) est supérieure à celle de l'ATG de cheval (ATGAM) — moins de maladie sérique, moins de thrombopénie — ce qui explique son hégémonie européenne.</w:t>
      </w:r>
    </w:p>
    <w:p>
      <w:r>
        <w:t>Les recommandations KDIGO 2009 placent l'ATG comme inducteur de premier choix chez les patients à haut risque immunologique, en alternative au basiliximab chez les patients à risque standard si l'ATG est moins coûteux (dépend des marchés). Cependant, en raison de son profil de tolérance inférieur, l'ATG n'est plus recommandé en première intention chez les patients à risque standard (l'efficacité étant comparable au basiliximab mais avec plus d'effets indésirables). Le rituximab (anti-CD20) et le bortézomib (anti-plasmocyte) sont désormais préférés à l'ATG dans le traitement du rejet humoral pur (sans composante cellulaire).</w:t>
      </w:r>
    </w:p>
    <w:p>
      <w:pPr>
        <w:pStyle w:val="Heading3"/>
      </w:pPr>
      <w:r>
        <w:t>172.2.1 DCI : Immunoglobuline anti-thymocytes (ATG)</w:t>
      </w:r>
    </w:p>
    <w:p>
      <w:r/>
      <w:r>
        <w:rPr>
          <w:b/>
        </w:rPr>
        <w:t>Liste des Catégories :</w:t>
      </w:r>
      <w:r>
        <w:t xml:space="preserve"> Immunosuppresseurs ; Immunoglobuline polyclonale d'origine animale (lapin) anti-thymocytes humains ; Anticorps déplétant lymphocytes T ; Induction en transplantation à haut risque et traitement du rejet aigu ; Liste I ; Réservé à l'usage hospitalier.</w:t>
      </w:r>
    </w:p>
    <w:p>
      <w:r>
        <w:t>L'immunoglobuline anti-thymocytes (ATG, Thymoglobuline®, Genzyme Europe B.V., filiale Sanofi) est une préparation d'immunoglobulines polyclonales purifiée à partir du sérum de lapins immunisés contre des thymocytes humains (lymphocytes T matures extraits de thymus fœtal humain). Elle est disponible en Algérie sous forme de poudre pour solution pour perfusion (25 mg/flacon, à reconstituer dans 5 mL de solvant pour obtenir une solution à 5 mg/mL). L'ATG de lapin a supplanté l'ATG de cheval (ATGAM) en Europe et au Maghreb en raison de son efficacité supérieure (à dose équivalente en mg/kg, l'ATG de lapin induit une lymphopénie plus profonde et plus prolongée) et de son meilleur profil de tolérance (moins de maladie sérique, moins de thrombopénie, moins de reactions allergiques). Le produit a obtenu son AMM européenne pour l'induction en transplantation rénale et le traitement du rejet aigu corticorésistant.</w:t>
      </w:r>
    </w:p>
    <w:p>
      <w:r>
        <w:t>L'ATG est composée principalement d'IgG polyclonales (IgG1, IgG2, IgG3, IgG4) dirigées contre un large éventail d'antigènes de surface des lymphocytes T (CD2, CD3, CD4, CD5, CD6, CD7, CD8, CD11a/CD18, CD28, CD44, CD45, HLA-DR), mais aussi des antigènes des plaquettes (anti-GPIIbIIIa), des granulocytes, des cellules NK, des monocytes, des hématies et des cellules endothéliales — d'où sa toxicité hématologique (thrombopénie, leucopénie, anémie hémolytique) et parfois vasculaire (ATG-induced vascular injury). Sa demi-vie d'élimination est longue (30–40 jours pour les IgG polyclonales), expliquant la prolongation de l'effet immunosuppresseur plusieurs semaines après l'arrêt. La lymphopénie CD4 peut persister plus de 1 an après une cure complète, justifiant une prophylaxie anti-pneumocystose prolongée (cotrimoxazole 6 mois minimum).</w:t>
      </w:r>
    </w:p>
    <w:p>
      <w:r/>
      <w:r>
        <w:rPr>
          <w:b/>
        </w:rPr>
        <w:t>Médicaments disponibles en Algérie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THYMOGLOBULINE</w:t>
            </w:r>
          </w:p>
        </w:tc>
        <w:tc>
          <w:tcPr>
            <w:tcW w:type="dxa" w:w="1559"/>
          </w:tcPr>
          <w:p>
            <w:r>
              <w:rPr>
                <w:sz w:val="20"/>
              </w:rPr>
              <w:t>GENZYME EUROPE BV</w:t>
            </w:r>
          </w:p>
        </w:tc>
        <w:tc>
          <w:tcPr>
            <w:tcW w:type="dxa" w:w="1559"/>
          </w:tcPr>
          <w:p>
            <w:r>
              <w:rPr>
                <w:sz w:val="20"/>
              </w:rPr>
              <w:t>Poudre pour solution pour perfusion IV — 25 mg/flacon (5 mg/mL après reconstitution)</w:t>
            </w:r>
          </w:p>
        </w:tc>
        <w:tc>
          <w:tcPr>
            <w:tcW w:type="dxa" w:w="1559"/>
          </w:tcPr>
          <w:p>
            <w:r>
              <w:rPr>
                <w:sz w:val="20"/>
              </w:rPr>
              <w:t>B/1 flacon de poudre</w:t>
            </w:r>
          </w:p>
        </w:tc>
        <w:tc>
          <w:tcPr>
            <w:tcW w:type="dxa" w:w="1559"/>
          </w:tcPr>
          <w:p>
            <w:r>
              <w:rPr>
                <w:sz w:val="20"/>
              </w:rPr>
              <w:t>Liste I</w:t>
            </w:r>
          </w:p>
        </w:tc>
        <w:tc>
          <w:tcPr>
            <w:tcW w:type="dxa" w:w="1559"/>
          </w:tcPr>
          <w:p>
            <w:r>
              <w:rPr>
                <w:sz w:val="20"/>
              </w:rPr>
              <w:t>Actif</w:t>
            </w:r>
          </w:p>
        </w:tc>
      </w:tr>
    </w:tbl>
    <w:p/>
    <w:p>
      <w:r>
        <w:t>La spécialité Thymoglobuline (Genzyme Europe B.V., groupe Sanofi) est disponible en Algérie en flacon unique de 25 mg de poudre lyophilisée (à reconstituer dans 5 mL d'eau pour préparations injectables pour obtenir une solution à 5 mg/mL). La délivrance est strictement hospitalière (service de transplantation, réanimation, hématologie clinique), sur prescription d'un médecin spécialiste. La conservation s'effectue au réfrigérateur (2–8 °C) dans l'emballage d'origine (ne pas congeler). Aucune alternative commerciale en Algérie : l'ATGAM (ATG de cheval, Upjohn/Pfizer) n'est pas disponible sur le marché algérien.</w:t>
      </w:r>
    </w:p>
    <w:p>
      <w:r/>
      <w:r>
        <w:rPr>
          <w:b/>
        </w:rPr>
        <w:t>Sous-classe et Mécanisme d'action :</w:t>
      </w:r>
      <w:r/>
    </w:p>
    <w:p>
      <w:pPr>
        <w:pStyle w:val="ListBullet"/>
      </w:pPr>
      <w:r>
        <w:t>Sous-classe : Immunoglobuline polyclonale d'origine animale (lapin), anticorps anti-thymocytes humains, AcM déplétant lymphocytes T. Chef de file et seul représentant disponible en Algérie.</w:t>
      </w:r>
    </w:p>
    <w:p>
      <w:pPr>
        <w:pStyle w:val="ListBullet"/>
      </w:pPr>
      <w:r>
        <w:t xml:space="preserve">Mécanisme d'action : combinaison de plusieurs mécanismes. (i) </w:t>
      </w:r>
      <w:r>
        <w:rPr>
          <w:b/>
        </w:rPr>
        <w:t>Déplétion lymphocytaire T par cytotoxicité dépendante du complément (CDC)</w:t>
      </w:r>
      <w:r>
        <w:t xml:space="preserve"> : les anticorps anti-CD2, anti-CD3, anti-CD5, anti-CD7, anti-CD45 fixent le composant C1q du complément, activant la cascade classique (C1q→C1r→C1s→C4→C2→C3→C5→C6-C9), aboutissant à la formation du complexe d'attaque membranaire (MAC) qui crée des pores transmembranaires et entraîne la lyse osmotique des lymphocytes T. Déplétion rapide (en quelques heures) et profonde (CD3 &lt; 100/mm³). (ii) </w:t>
      </w:r>
      <w:r>
        <w:rPr>
          <w:b/>
        </w:rPr>
        <w:t>Déplétion par ADCC (Antibody-Dependent Cellular Cytotoxicity)</w:t>
      </w:r>
      <w:r>
        <w:t xml:space="preserve"> : les cellules NK et les macrophages reconnaissent le fragment Fc des IgG de lapin fixés sur les lymphocytes T via leur récepteur FcγRIII (CD16), libérant perforine et granzyme B qui induisent l'apoptose. (iii) </w:t>
      </w:r>
      <w:r>
        <w:rPr>
          <w:b/>
        </w:rPr>
        <w:t>Modulation antigénique</w:t>
      </w:r>
      <w:r>
        <w:t xml:space="preserve"> : les anticorps provoquent l'internalisation et la dégradation des antigènes de surface CD3, CD4, CD8, CD2 (down-régulation), rendant les lymphocytes T survivants incapables de reconnaître l'antigène du greffon (immunosuppression fonctionnelle). (iv) </w:t>
      </w:r>
      <w:r>
        <w:rPr>
          <w:b/>
        </w:rPr>
        <w:t>Induction d'apoptose lymphocytaire T</w:t>
      </w:r>
      <w:r>
        <w:t xml:space="preserve"> via la voie Fas-FasL et la voie Bcl-2/Bax. (v) </w:t>
      </w:r>
      <w:r>
        <w:rPr>
          <w:b/>
        </w:rPr>
        <w:t>Effet immunorégulateur paradoxal</w:t>
      </w:r>
      <w:r>
        <w:t xml:space="preserve"> : les lymphocytes T régulateurs (Treg, CD4+CD25highFoxP3+) résistent mieux à la déplétion et se reconstituent plus rapidement, favorisant une tolérance au long cours. (vi) </w:t>
      </w:r>
      <w:r>
        <w:rPr>
          <w:b/>
        </w:rPr>
        <w:t>Déplétion partielle des cellules B, NK et monocytes</w:t>
      </w:r>
      <w:r>
        <w:t xml:space="preserve"> (anticorps anti-CD19, anti-CD16, anti-CD14 à titres plus faibles), contribuant à l'effet immunosuppresseur global.</w:t>
      </w:r>
    </w:p>
    <w:p>
      <w:pPr>
        <w:pStyle w:val="ListBullet"/>
      </w:pPr>
      <w:r>
        <w:t>Spécificité : la demi-vie d'élimination est longue (30–40 jours pour les IgG de lapin), avec une lymphopénie persistante plusieurs semaines à mois après l'arrêt (récupération CD3 en 3–6 mois, CD4 parfois &gt; 1 an), justifiant une prophylaxie anti-infectieuse prolongée.</w:t>
      </w:r>
    </w:p>
    <w:p>
      <w:r/>
      <w:r>
        <w:rPr>
          <w:b/>
        </w:rPr>
        <w:t>Profil Pharmacologique :</w:t>
      </w:r>
      <w:r/>
    </w:p>
    <w:p>
      <w:pPr>
        <w:pStyle w:val="ListBullet"/>
      </w:pPr>
      <w:r>
        <w:t xml:space="preserve">Indications : (1) </w:t>
      </w:r>
      <w:r>
        <w:rPr>
          <w:b/>
        </w:rPr>
        <w:t>Induction d'immunosuppression en transplantation</w:t>
      </w:r>
      <w:r>
        <w:t xml:space="preserve"> chez les patients à </w:t>
      </w:r>
      <w:r>
        <w:rPr>
          <w:b/>
        </w:rPr>
        <w:t>haut risque immunologique</w:t>
      </w:r>
      <w:r>
        <w:t xml:space="preserve"> (PRA &gt; 50 %, retransplantation, DSA préformés, mismatch HLA étendu, donneur à critères élargis, transplantation ABO-incompatible) — posologie 1–1,5 mg/kg/j pendant 3–10 jours en péri-transplantatoire, en perfusion IV prolongée (6–12 h) via voie centrale, avec une pré-médication systématique. (2) </w:t>
      </w:r>
      <w:r>
        <w:rPr>
          <w:b/>
        </w:rPr>
        <w:t>Traitement du rejet aigu cellulaire corticorésistant</w:t>
      </w:r>
      <w:r>
        <w:t xml:space="preserve"> en transplantation rénale, hépatique, cardiaque, pulmonaire — posologie 1,5 mg/kg/j pendant 7–14 jours, en association avec la trithérapie conventionnelle majorée. (3) </w:t>
      </w:r>
      <w:r>
        <w:rPr>
          <w:b/>
        </w:rPr>
        <w:t>Traitement du rejet humoral aigu</w:t>
      </w:r>
      <w:r>
        <w:t xml:space="preserve"> en association avec les IgIV, le rituximab, la plasmaphérèse et le bortézomib (selon protocoles de centre). (4) </w:t>
      </w:r>
      <w:r>
        <w:rPr>
          <w:b/>
        </w:rPr>
        <w:t>Aplasie médullaire sévère</w:t>
      </w:r>
      <w:r>
        <w:t xml:space="preserve"> (non réfractaire — protocole standard ATG de cheval + ciclosporine, parfois substitué par l'ATG de lapin en Europe) — posologie 2,5–3,75 mg/kg/j pendant 4 jours (hors AMM, en hématologie clinique). (5) </w:t>
      </w:r>
      <w:r>
        <w:rPr>
          <w:b/>
        </w:rPr>
        <w:t>Maladie du greffon contre l'hôte (GVH) aiguë</w:t>
      </w:r>
      <w:r>
        <w:t xml:space="preserve"> réfractaire aux corticoïdes en allo-greffe de CSH — posologie variable selon protocole.</w:t>
      </w:r>
    </w:p>
    <w:p>
      <w:pPr>
        <w:pStyle w:val="ListBullet"/>
      </w:pPr>
      <w:r>
        <w:t>Contre-indications : Hypersensibilité à l'ATG, aux protéines de lapin ou à l'un des excipients. Grossesse (CI relative — voir section Grossesse). Allaitement. Infections sévères non contrôlées (septicémie, tuberculose active, infections opportunistes évolutives — CI relative jusqu'à contrôle). Thrombopénie sévère préexistante &lt; 50 G/L (à corriger avant initiation). Leucopénie sévère &lt; 1,5 G/L. Précautions : antécédents de maladie sérique, asthme sévère, hypersensibilité aux protéines animales (cheval, mouton), vaccination par vaccin vivant (contre-indiquée pendant et 6 mois après), patients porteurs du VIH ou VHC (surveillance hématologique renforcée).</w:t>
      </w:r>
    </w:p>
    <w:p>
      <w:pPr>
        <w:pStyle w:val="ListBullet"/>
      </w:pPr>
      <w:r>
        <w:t xml:space="preserve">Effets Indésirables : Très fréquents (&gt; 10 %) : </w:t>
      </w:r>
      <w:r>
        <w:rPr>
          <w:b/>
        </w:rPr>
        <w:t>syndrome de libération de cytokines</w:t>
      </w:r>
      <w:r>
        <w:t xml:space="preserve"> (80–90 % à la première perfusion — fièvre jusqu'à 39–40 °C, frissons intenses, myalgies, arthralgies, céphalées, hypotension transitoire, tachycardie, dyspnée modérée — lié à la libération de TNF-α, IL-1, IL-6, IFN-γ par les lymphocytes T et monocytes activés avant leur lyse — généralement 1–4 heures après le début de la perfusion), thrombopénie (40–50 %, parfois grade 3–4 &lt; 50 G/L — anticorps anti-plaquettes), leucopénie (40–60 %, lymphopénie profonde et prolongée, neutropénie modérée), anémie modérée, rash maculopapuleux ou urticarien (30–40 %), prurit, hypersudation, douleur au site de perfusion. Fréquents (1–10 %) : </w:t>
      </w:r>
      <w:r>
        <w:rPr>
          <w:b/>
        </w:rPr>
        <w:t>maladie sérique</w:t>
      </w:r>
      <w:r>
        <w:t xml:space="preserve"> (5–10 %, apparaissant J7–J14 — fièvre, rash urticarien diffus, arthralgies, myalgies, adénopathies, parfois glomérulonéphrite — liée à la formation d'anticorps anti-ATG de lapin — immune complex disease), réaction allergique sévère (anaphylaxie &lt; 1 %), hypotension sévère, tachycardie, bronchospasme, angio-œdème, dyspnée sévère, infection à CMV (incidence 30–50 % sans prophylaxie — pneumopathie, colite, hépatite), infection herpétique (herpès labial, génital, zona — 20–30 %), pneumocystose, candidose, septicémie, infections bactériennes opportunistes, syndrome lymphoprolifératif post-transplantation (PTLD EBV-induit — risque multiplié par 3–5 vs basiliximab, particulièrement si receveur EBV−), hypogammaglobulinémie transitoire, hémolyse (anémie hémolytique autoimmune — anticorps anti-ATG réagissant avec les hématies humaines), hyperbilirubinémie, transaminases élevées, hypocalcémie, hypomagnésémie. Peu fréquents (&lt; 1 %) : vascularite leucocytoclasique, purpura thrombopénique thrombotique (rare mais grave), microangiopathie thrombotique, syndrome hémolytique et urémique, encéphalopathie, convulsions, méningite aseptique (réaction immune), néphropathie interstitielle, pneumopathie interstitielle.</w:t>
      </w:r>
    </w:p>
    <w:p>
      <w:r/>
      <w:r>
        <w:rPr>
          <w:b/>
        </w:rPr>
        <w:t>Prévention et Gestion des Effets Indésirables :</w:t>
      </w:r>
      <w:r/>
    </w:p>
    <w:p>
      <w:pPr>
        <w:pStyle w:val="ListBullet"/>
      </w:pPr>
      <w:r>
        <w:t>Mesures Préventives : Bilan pré-thérapeutique complet incluant sérologies virales (VIH, VHB, VHC, CMV, EBV, VHH-6, VZV, herpès, HSV-1, HSV-2), typage HLA, PRA, cross-match, NFS-plaquettes, bilan hépatique, fonction rénale, ionogramme, dosage des immunoglobulines sériques (IgG, IgA, IgM). Test cutané ou intradermoréaction à l'ATG de lapin (1/100 dilution) à discuter en première intention chez les patients ayant des antécédents allergiques (asthme sévère, allergie aux protéines animales) — bien que la valeur prédictive soit faible (faux négatifs fréquents). Pré-médication systématique 30 minutes avant la perfusion : paracétamol 1 g per os, antihistaminique H1 (chlorphénamine 10 mg IM ou cétirizine 10 mg per os), antihistaminique H2 (ranitidine 50 mg IV — discuté), corticoïde IV (méthylprednisolone 1 mg/kg ou hydrocortisone 100 mg). Prophylaxie anti-infectieuse systématique : valganciclovir 900 mg/j (D+/R− CMV) ou 450 mg/j (R+ CMV) pendant 3–6 mois ; cotrimoxazole 400/80 mg 3×/semaine (ou aérosol pentamidine 300 mg mensuel en cas d'allergie) pendant 6 mois minimum ; nystatine orale 1–3 millions UI/j ou fluconazole 50–100 mg/j pendant 1–3 mois.</w:t>
      </w:r>
    </w:p>
    <w:p>
      <w:pPr>
        <w:pStyle w:val="ListBullet"/>
      </w:pPr>
      <w:r>
        <w:t>Conduite à Tenir : Syndrome de libération de cytokines grade 1–2 (fièvre modérée, frissons tolérables) : ralentir la perfusion de 50 %, majorer la pré-médication (paracétamol + antihistaminique), surveillance. Grade 3 (fièvre &gt; 39 °C, hypotension, dyspnée) :暂停 perfusion, antipyrétique IV (paracétamol 1 g), antihistaminique IV, corticoïde IV (méthylprednisolone 1 mg/kg), remplissage vasculaire (NaCl 0,9 % 500 mL), oxygénothérapie, reprise à vitesse réduite après sédation des symptômes. Grade 4 (choc, hypoxémie sévère) : arrêt immédiat, réanimation, transfert en soins intensifs. Thrombopénie &lt; 100 G/L : surveillance rapprochée (NFS-plaquettes toutes les 48 h) ; &lt; 50 G/L : arrêt transitoire ou réduction posologique (50 %), transfusion de plaquettes si saignement ; &lt; 30 G/L ou saignement : arrêt définitif, transfusion. Leucopénie &lt; 1,5 G/L ou neutropénie &lt; 0,5 G/L : arrêt transitoire, G-CSF (filgrastim 5 μg/kg/j) si neutropénie fébrile. Maladie sérique (fièvre + rash urticarien + arthralgies) : corticothérapie orale (prednisone 0,5–1 mg/kg/j dégressif sur 2 semaines), antihistaminique, arrêt de l'ATG si sévère. Infection à CMV (PCR CMV &gt; seuil prédéfini) : valganciclovir 900 mg × 2/j pendant 2–4 semaines jusqu'à négativation de la PCR. PTLD ( suspicion : fièvre prolongée, adénopathies, syndrome tumoral, cytolyse hépatique, hyper LDH) : biopsie ganglionnaire ou lésionnelle, recherche EBV PCR sanguine, arrêt ou allègement de l'immunosuppression d'entretien (tacrolimus → dose réduite, arrêt du mycophénolate), consultation hémato-oncologique, traitement spécifique (rituximab ± chimiothérapie type CHOP).</w:t>
      </w:r>
    </w:p>
    <w:p>
      <w:r/>
      <w:r>
        <w:rPr>
          <w:b/>
        </w:rPr>
        <w:t>Interactions Médicamenteuses :</w:t>
      </w:r>
      <w:r/>
    </w:p>
    <w:p>
      <w:pPr>
        <w:pStyle w:val="ListBullet"/>
      </w:pPr>
      <w:r>
        <w:t>Vaccins vivants atténués (BCG, rougeole-oreillons-rubéole, varicelle, fièvre jaune, rotavirus, oral polio, oral typhoïde) : CONTRE-INDICATION pendant le traitement et 6 mois après (immunodépression profonde, lymphopénie CD4 durable). Vaccins inactivés autorisés mais réponse immunitaire très réduite — vérifier les sérologies post-vaccinales.</w:t>
      </w:r>
    </w:p>
    <w:p>
      <w:pPr>
        <w:pStyle w:val="ListBullet"/>
      </w:pPr>
      <w:r>
        <w:t>Inhibiteurs de la calcineururine (ciclosporine, tacrolimus) : association usuelle et nécessaire en induction. Pas d'interaction pharmacocinétique directe mais potentialisation de l'immunosuppression et majoration du risque infectieux (CMV, EBV) et néphrotoxique (ciclosporine). Surveillance des concentrations résiduelles (ciclosporine cible 150–250 ng/mL, tacrolimus cible 8–12 ng/mL en transplantation rénale).</w:t>
      </w:r>
    </w:p>
    <w:p>
      <w:pPr>
        <w:pStyle w:val="ListBullet"/>
      </w:pPr>
      <w:r>
        <w:t>Mycophénolate mofétil : association usuelle, majoration du risque hématologique (leucopénie, thrombopénie cumulative) — surveillance NFS-plaquettes hebdomadaire.</w:t>
      </w:r>
    </w:p>
    <w:p>
      <w:pPr>
        <w:pStyle w:val="ListBullet"/>
      </w:pPr>
      <w:r>
        <w:t>Corticoïdes (prednisone, méthylprednisolone) : association usuelle, potentialisation de l'immunosuppression et de l'effet anti-inflammatoire (utile contre le syndrome de libération de cytokines).</w:t>
      </w:r>
    </w:p>
    <w:p>
      <w:pPr>
        <w:pStyle w:val="ListBullet"/>
      </w:pPr>
      <w:r>
        <w:t>Basiliximab : pas d'association recommandée (les deux inducteurs ne sont pas combinés).</w:t>
      </w:r>
    </w:p>
    <w:p>
      <w:pPr>
        <w:pStyle w:val="ListBullet"/>
      </w:pPr>
      <w:r>
        <w:t>Plasmaphérèse : si recours à la plasmaphérèse (rejet humoral aigu), l'ATG peut être éliminé prématurément — discuter l'administration d'une dose supplémentaire après la séance.</w:t>
      </w:r>
    </w:p>
    <w:p>
      <w:pPr>
        <w:pStyle w:val="ListBullet"/>
      </w:pPr>
      <w:r>
        <w:t>Anticoagulants (warfarine, HBPM, AOD) : risque hémorragique majoré en cas de thrombopénie ATG-induite. Surveillance INR et plaquettes, arrêt transitoire si thrombopénie &lt; 50 G/L.</w:t>
      </w:r>
    </w:p>
    <w:p>
      <w:pPr>
        <w:pStyle w:val="ListBullet"/>
      </w:pPr>
      <w:r>
        <w:t>Aucune interaction métabolique significative (les IgG de lapin sont dégradées par le système réticulo-endothélial — pas de métabolisme hépatique CYP, pas d'interaction avec les inducteurs/inhibiteurs enzymatiques).</w:t>
      </w:r>
    </w:p>
    <w:p>
      <w:pPr>
        <w:pStyle w:val="ListBullet"/>
      </w:pPr>
      <w:r>
        <w:t>Aminoglycosides, vancomycine, AINS : majoration du risque néphrotoxique en association avec la ciclosporine (qui est co-prescrite) — surveillance créatinine.</w:t>
      </w:r>
    </w:p>
    <w:p>
      <w:r/>
      <w:r>
        <w:rPr>
          <w:b/>
        </w:rPr>
        <w:t>Grossesse et Allaitement :</w:t>
      </w:r>
      <w:r/>
    </w:p>
    <w:p>
      <w:pPr>
        <w:pStyle w:val="ListBullet"/>
      </w:pPr>
      <w:r>
        <w:t>Grossesse : à ÉVITER par principe (données animales limitées, IgG de lapin traversant probablement le placenta — effet immunosuppresseur sur le fœtus et risque théorique de rejet du fœtus semi-allogénique par l'immunisation maternelle contre les antigènes paternels). Le statut immunosupprimé de la patiente rend la grossesse à haut risque. Chez une patiente transplantée, une grossesse ne sera envisagée qu'au moins 1 an après une transplantation stable, sous protocole immunosuppresseur adapté (tacrolimus + azathioprine + prednisone — arrêt du mycophénolate et du sirolimus/évérolimus), et le recours à l'ATG est exceptionnel pendant la grossesse. En cas de rejet aigu pendant la grossesse, privilégier les bolus de corticoïdes IV (méthylprednisolone 500 mg × 3 jours), éventuellement le basiliximab (données limitées mais moins toxique). L'ATG sera réservé aux situations de sauvetage (rejet menaçant le greffon avec menace vitale maternelle). CRAT : « données limitées chez l'animal, à éviter par principe ».</w:t>
      </w:r>
    </w:p>
    <w:p>
      <w:pPr>
        <w:pStyle w:val="ListBullet"/>
      </w:pPr>
      <w:r>
        <w:t>Allaitement : CONTRE-INDICATION pendant et 6 mois après (passage probable des IgG de lapin dans le lait — immaturité immunitaire du nouveau-né ; risque immunologique et allergique non évalué).</w:t>
      </w:r>
    </w:p>
    <w:p>
      <w:pPr>
        <w:pStyle w:val="ListBullet"/>
      </w:pPr>
      <w:r>
        <w:t>Fertilité : pas d'effet délétère direct documenté sur la fertilité masculine ou féminine, mais l'immunosuppression prolongée peut favoriser certaines infections (HPV — dysplasie cervicale ; CMV — atteinte tubaire) à retentissement indirect.</w:t>
      </w:r>
    </w:p>
    <w:p>
      <w:r/>
      <w:r>
        <w:rPr>
          <w:b/>
        </w:rPr>
        <w:t>Posologie et Mode d'administration (Standard) :</w:t>
      </w:r>
      <w:r/>
    </w:p>
    <w:p>
      <w:pPr>
        <w:pStyle w:val="ListBullet"/>
      </w:pPr>
      <w:r>
        <w:t>Adulte : 1–1,5 mg/kg/j en induction (transplantation à haut risque), en perfusion IV prolongée de 6 à 12 heures via voie centrale (cathéter central type PICC, KICC ou cathéter de dialyse — la voie périphérique est possible mais expose à un risque de phlébite et de réaction locale). Durée : 3–10 jours selon le risque immunologique (3–5 jours pour un risque modéré, 7–10 jours pour un risque élevé). En traitement du rejet aigu : 1,5 mg/kg/j pendant 7–14 jours selon la sévérité et la réponse clinique. En aplasie médullaire : 2,5–3,75 mg/kg/j pendant 4 jours (hors AMM, hématologie clinique).</w:t>
      </w:r>
    </w:p>
    <w:p>
      <w:pPr>
        <w:pStyle w:val="ListBullet"/>
      </w:pPr>
      <w:r>
        <w:t>Enfant : 1,5–2 mg/kg/j (dose par kg légèrement supérieure à l'adulte en raison d'une clairance plus rapide chez l'enfant).</w:t>
      </w:r>
    </w:p>
    <w:p>
      <w:pPr>
        <w:pStyle w:val="ListBullet"/>
      </w:pPr>
      <w:r>
        <w:t>Préparation : reconstitution de la poudre lyophilisée avec 5 mL d'eau pour préparations injectables (solution à 5 mg/mL) en respectant l'asepsie. Dilution ensuite dans 250–500 mL de NaCl 0,9 % (jamais glucose — risque de précipitation), en respectant un volume adapté au poids (concentration finale &lt; 1 mg/mL recommandée). Ne pas agiter vigoureusement (risque de dénaturation des protéines).</w:t>
      </w:r>
    </w:p>
    <w:p>
      <w:pPr>
        <w:pStyle w:val="ListBullet"/>
      </w:pPr>
      <w:r>
        <w:t>Mode d'administration : perfusion IV stricte sur 6–12 heures via cathéter central, avec filtre de 0,22 μm obligatoire. Pré-médication 30 minutes avant (paracétamol + antihistaminique + corticoïde). Surveillance continue pendant la perfusion (scope, tension artérielle toutes les 30 minutes, fréquence cardiaque, saturation O₂, température).</w:t>
      </w:r>
    </w:p>
    <w:p>
      <w:pPr>
        <w:pStyle w:val="ListBullet"/>
      </w:pPr>
      <w:r>
        <w:t>Insuffisance rénale : pas d'adaptation posologique formelle mais surveillance créatinine (l'ATG n'est pas éliminée par le rein — métabolisme réticulo-endothélial).</w:t>
      </w:r>
    </w:p>
    <w:p>
      <w:pPr>
        <w:pStyle w:val="ListBullet"/>
      </w:pPr>
      <w:r>
        <w:t>Insuffisance hépatique : pas d'adaptation posologique formelle mais surveillance du bilan hépatique (les IgG de lapin sont dégradées par le foie mais sans accumulation significative).</w:t>
      </w:r>
    </w:p>
    <w:p>
      <w:pPr>
        <w:pStyle w:val="ListBullet"/>
      </w:pPr>
      <w:r>
        <w:t>Sujet âgé : pas d'adaptation posologique formelle mais surveillance renforcée des comorbidités (insuffisance rénale, hypertension, dysautonomie, fragilité cardiovasculaire).</w:t>
      </w:r>
    </w:p>
    <w:p>
      <w:r/>
      <w:r>
        <w:rPr>
          <w:b/>
        </w:rPr>
        <w:t>Surveillance Biologique et Suivi Clinique :</w:t>
      </w:r>
      <w:r/>
    </w:p>
    <w:p>
      <w:pPr>
        <w:pStyle w:val="ListBullet"/>
      </w:pPr>
      <w:r>
        <w:t>Avant la première perfusion : NFS-plaquettes, ionogramme, créatinine, bilan hépatique complet, glycémie, uricémie, magnésémie, calcémie, phosphatémie, sérologies virales (CMV, EBV, VHB, VHC, VIH, VHH-6, VZV, HSV), dosage des immunoglobulines sériques (IgG, IgA, IgM), ECG, examen cardiovasculaire, examen neurologique de référence.</w:t>
      </w:r>
    </w:p>
    <w:p>
      <w:pPr>
        <w:pStyle w:val="ListBullet"/>
      </w:pPr>
      <w:r>
        <w:t>Pendant la perfusion : surveillance continue (scope), tension artérielle toutes les 30 minutes, fréquence cardiaque, saturation en O₂, température toutes les heures, état cutané (rash, flush), état respiratoire (dyspnée, sibilants), état neurologique (céphalées, confusion).</w:t>
      </w:r>
    </w:p>
    <w:p>
      <w:pPr>
        <w:pStyle w:val="ListBullet"/>
      </w:pPr>
      <w:r>
        <w:t>Pendant la cure (J0–J14) : NFS-plaquettes quotidiennes (seuil plaquettes &gt; 50 G/L, leucocytes &gt; 2 G/L, PNN &gt; 1 G/L), créatinine quotidienne, bilan hépatique tous les 2 jours, ionogramme quotidien, magnésémie tous les 2 jours, calcémie, glycémie. Adaptation posologique selon les seuils : si plaquettes &lt; 100 G/L → surveillance rapprochée ; si &lt; 75 G/L → réduction de 50 % ; si &lt; 50 G/L → arrêt transitoire. Si leucocytes &lt; 1,5 G/L ou PNN &lt; 0,5 G/L → arrêt transitoire ± G-CSF.</w:t>
      </w:r>
    </w:p>
    <w:p>
      <w:pPr>
        <w:pStyle w:val="ListBullet"/>
      </w:pPr>
      <w:r>
        <w:t>Après la cure : NFS-plaquettes hebdomadaires pendant 1 mois puis mensuelles pendant 6 mois (récupération lente CD4) ; PCR CMV sanguine hebdomadaire pendant 3 mois (D+/R−) ; PCR EBV sanguine trimestrielle pendant la première année (si R− EBV) ; bilan hépatique mensuel ; créatinine mensuelle ; électrophorèse des protéines sériques (dosage IgG) tous les 3 mois.</w:t>
      </w:r>
    </w:p>
    <w:p>
      <w:pPr>
        <w:pStyle w:val="ListBullet"/>
      </w:pPr>
      <w:r>
        <w:t>Clinique : fièvre quotidienne (rechercher infection), aspect de la plaie opératoire, diurèse, état respiratoire, état neurologique (tremblements, convulsions, syndrome tumoral, adénopathies), tension artérielle, poids, examen cutané (rash, ecchymoses, purpura). Échographie du greffon à J1, J7, J1, M3, M6.</w:t>
      </w:r>
    </w:p>
    <w:p>
      <w:pPr>
        <w:pStyle w:val="ListBullet"/>
      </w:pPr>
      <w:r>
        <w:t>Suivi carcinologique : surveillance PTLD à long terme (5 ans minimum) : examen clinique (adénopathies, hépato-splénomégalie) à chaque consultation, TDM TAP annuelle pendant les 5 premières années, biopsie ganglionnaire ou lésionnelle en cas de suspicion, consultation hémato-oncologique.</w:t>
      </w:r>
    </w:p>
    <w:p>
      <w:pPr>
        <w:pStyle w:val="ListBullet"/>
      </w:pPr>
      <w:r>
        <w:t>Suivi infectieux : prophylaxie prolongée cotrimoxazole 6 mois minimum (parfois 12 mois en cas de lymphopénie CD4 persistante) ; valganciclovir 3–6 mois selon le risque CMV ; valaciclovir 3 mois en prophylaxie herpès/zona ; surveillance clinique et PCR des infections opportunistes.</w:t>
      </w:r>
    </w:p>
    <w:p>
      <w:r/>
      <w:r>
        <w:rPr>
          <w:b/>
        </w:rPr>
        <w:t>Arbitrage et Bénéfices des Formes Galéniques :</w:t>
      </w:r>
      <w:r/>
    </w:p>
    <w:p>
      <w:r>
        <w:t>L'ATG est disponible uniquement en forme IV lyophilisée à reconstituer (flacon de 25 mg de poudre + solvant). Pas de forme SC, pas de biosimilaire (l'ATG n'est pas un biomédicament recombinant mais une préparation d'immunoglobulines polyclonales animales — la notion de biosimilaire ne s'applique pas). La reconstitution doit être faite extemporanément en environnement de pharmacie hospitalière (hotte à flux laminaire, gants stériles). La solution reconstituée (5 mg/mL) doit être diluée en 250–500 mL de NaCl 0,9 % (jamais glucose). La stabilité après dilution est de 24 heures à 2–8 °C ou 12 heures à température ambiante (selon le RCP). La conservation au réfrigérateur (2–8 °C) est obligatoire — ne pas congeler. Le coût par cure est nettement supérieur à celui du basiliximab (7–14 perfusions vs 2), mais l'efficacité est supérieure chez les patients à haut risque immunologique. Le choix entre ATG (déplétant, toxique, 7–14 doses, haut risque) et basiliximab (non déplétant, bien toléré, 2 doses, risque standard à modéré) est guidé par le risque immunologique du patient.</w:t>
      </w:r>
    </w:p>
    <w:p>
      <w:r/>
      <w:r>
        <w:rPr>
          <w:b/>
        </w:rPr>
        <w:t>Instructions et Conseils au Patient :</w:t>
      </w:r>
      <w:r/>
    </w:p>
    <w:p>
      <w:pPr>
        <w:pStyle w:val="ListBullet"/>
      </w:pPr>
      <w:r>
        <w:t>Communication au comptoir : « La Thymoglobuline (ATG de lapin) est un anticorps polyclonal qui détruit sélectivement les lymphocytes T responsables du rejet du greffon, mais qui a un effet immunosuppresseur plus puissant et plus prolongé que le basiliximab. Elle est administrée en perfusions intraveineuses prolongées (6–12 heures) via un cathéter central, pendant 3 à 14 jours selon votre situation. Les effets indésirables les plus fréquents sont la fièvre (80 %), les frissons, des douleurs articulaires et musculaires, une baisse des plaquettes et des globules blancs (surveillance sanguine régulière), et un risque accru d'infections opportunistes (CMV, herpès, pneumocystose — prophylaxie systématique). Une maladie sérique (fièvre, rash, douleurs articulaires J7–J14) est possible. Prévenez immédiatement l'équipe soignante en cas de fièvre élevée, d'essoufflement, de saignement, de rash étendu ou de douleurs articulaires. »</w:t>
      </w:r>
    </w:p>
    <w:p>
      <w:pPr>
        <w:pStyle w:val="ListBullet"/>
      </w:pPr>
      <w:r>
        <w:t>Observance : ne jamais arrêter le traitement immunosuppresseur d'entretien (tacrolimus, mycophénolate, prednisone) sans avis spécialisé ; signaler tout signe d'infection (fièvre, brûlures urinaires, toux, dyspnée, herpès), tout signe de rejet (diminution de la diurèse, fièvre, douleur du greffon, hypertension), tout signe neurologique (tremblements, convulsions, confusion), tout syndrome tumoral (adénopathies, fièvre inexpliquée, amaigrissement), tout saignement anormal (gingivorragies, épistaxis, ecchymoses, selles noires).</w:t>
      </w:r>
    </w:p>
    <w:p>
      <w:pPr>
        <w:pStyle w:val="ListBullet"/>
      </w:pPr>
      <w:r>
        <w:t>Hygiène de vie : éviter le contact avec des personnes malades, lavage des mains fréquent, masque en cas de foule, alimentation sécurisée (éviter crudités, viandes saignantes, fromages au lait cru, œufs crus), protection solaire stricte (risque accru de cancers cutanés — photoprotection SPF 50+, examen dermatologique annuel), éviter les activités à risque de saignement en cas de thrombopénie (rasage, sports de contact).</w:t>
      </w:r>
    </w:p>
    <w:p>
      <w:pPr>
        <w:pStyle w:val="ListBullet"/>
      </w:pPr>
      <w:r>
        <w:t>Femmes en âge de procréer : contraception obligatoire pendant le traitement et 6 mois après (le basiliximab et l'ATG étant administrés en péri-transplantatoire, une grossesse devra être planifiée au moins 1 an après la transplantation stable, sous protocole immunosuppresseur adapté).</w:t>
      </w:r>
    </w:p>
    <w:p>
      <w:r/>
      <w:r>
        <w:rPr>
          <w:b/>
        </w:rPr>
        <w:t>Notes, Règles d'Or &amp; Pièges au Comptoir :</w:t>
      </w:r>
      <w:r/>
    </w:p>
    <w:p>
      <w:pPr>
        <w:pStyle w:val="ListBullet"/>
      </w:pPr>
      <w:r>
        <w:t>Règle d'or : l'ATG s'administre exclusivement par voie IV prolongée sur 6–12 heures via cathéter central — JAMAIS en bolus IV direct ni en perfusion courte (risque de syndrome de libération de cytokines sévère et d'anaphylaxie).</w:t>
      </w:r>
    </w:p>
    <w:p>
      <w:pPr>
        <w:pStyle w:val="ListBullet"/>
      </w:pPr>
      <w:r>
        <w:t>Piège : la première perfusion est toujours la plus mal tolérée (syndrome de libération de cytokines maximal) — pré-médication systématique obligatoire. Les perfusions suivantes sont mieux tolérées en raison de la déplétion lymphocytaire progressive.</w:t>
      </w:r>
    </w:p>
    <w:p>
      <w:pPr>
        <w:pStyle w:val="ListBullet"/>
      </w:pPr>
      <w:r>
        <w:t>Règle : ne pas initier un traitement par ATG si la sérologie EBV du receveur est négative (R− EBV) ET le donneur positif (D+ EBV) sans surveillance renforcée par PCR EBV — risque de PTLD majeur (jusqu'à 20 % à 1 an dans certaines séries).</w:t>
      </w:r>
    </w:p>
    <w:p>
      <w:pPr>
        <w:pStyle w:val="ListBullet"/>
      </w:pPr>
      <w:r>
        <w:t>Piège : une thrombopénie ou une leucopénie sous ATG n'est pas systématiquement due au seul ATG — rechercher une autre cause (mycophénolate, infection, hémodilution, microangiopathie thrombotique — à différencier).</w:t>
      </w:r>
    </w:p>
    <w:p>
      <w:pPr>
        <w:pStyle w:val="ListBullet"/>
      </w:pPr>
      <w:r>
        <w:t>Règle : la fièvre sous ATG dans les premières 48 heures est souvent liée au syndrome de libération de cytokines (autorisant la perfusion) — au-delà de J3, rechercher systématiquement une infection (hémocultures, ECBU, radiographie thoracique, PCR CMV).</w:t>
      </w:r>
    </w:p>
    <w:p>
      <w:pPr>
        <w:pStyle w:val="ListBullet"/>
      </w:pPr>
      <w:r>
        <w:t>Piège : la maladie sérique (J7–J14) peut être confondue avec une infection (fièvre + rash + arthralgies) — diagnostic différentiel difficile, recherche d'immun-complexes circulants, complément C3/C4 abaissé, arrêt de l'ATG si sévère.</w:t>
      </w:r>
    </w:p>
    <w:p>
      <w:pPr>
        <w:pStyle w:val="ListBullet"/>
      </w:pPr>
      <w:r>
        <w:t>Règle : vaccins vivants CONTRE-INDIQUÉS pendant et 6 mois après — pas de BCG, pas de ROR, pas de fièvre jaune, pas de varicelle. Vaccins inactivés autorisés mais réponse très réduite — vérifier les sérologies post-vaccinales.</w:t>
      </w:r>
    </w:p>
    <w:p>
      <w:pPr>
        <w:pStyle w:val="ListBullet"/>
      </w:pPr>
      <w:r>
        <w:t>Surveillance : attention particulière à la lymphopénie CD4 persistante (&gt; 1 an) qui justifie une prophylaxie anti-pneumocystose prolongée (cotrimoxazole 6–12 mois) et une surveillance clinique rapprochée.</w:t>
      </w:r>
    </w:p>
    <w:p>
      <w:pPr>
        <w:pStyle w:val="ListBullet"/>
      </w:pPr>
      <w:r>
        <w:t>Règle : en cas de switch ATG → basiliximab (en raison d'une thrombopénie ou d'une maladie séreuse), surveiller la numération formule sanguine (récupération lymphocytaire progressive) et l'efficacité (risque de rejet aigu à distance).</w:t>
      </w:r>
    </w:p>
    <w:p>
      <w:pPr>
        <w:pStyle w:val="Heading2"/>
      </w:pPr>
      <w:r>
        <w:t>Sous-classe 3 — Immunoglobulines thérapeutiques (IgIV)</w:t>
      </w:r>
    </w:p>
    <w:p>
      <w:pPr>
        <w:pStyle w:val="Heading3"/>
      </w:pPr>
      <w:r>
        <w:t>Introduction de la sous-classe</w:t>
      </w:r>
    </w:p>
    <w:p>
      <w:r>
        <w:t xml:space="preserve">Les </w:t>
      </w:r>
      <w:r>
        <w:rPr>
          <w:b/>
        </w:rPr>
        <w:t>immunoglobulines humaines normales par voie intraveineuse (IgIV)</w:t>
      </w:r>
      <w:r>
        <w:t xml:space="preserve"> sont des préparations thérapeutiques purifiées à partir de plasma humain collecté auprès de pools de donneurs sains (≥ 3 000 à 10 000 donneurs par lot selon les spécialités). Elles contiennent un large éventail d'anticorps IgG dirigés contre de multiples antigènes viraux, bactériens, fongiques et parasitaires, avec une distribution de sous-classes d'IgG (IgG1 60 %, IgG2 30 %, IgG3 5 %, IgG4 5 %) proche de celle du plasma humain normal. La purification comprend plusieurs étapes de fractionnement (méthode Cohn-Oncley à l'éthanol froid, chromatographie d'affinité, ultrafiltration, inactivation virale par solvant-détergent S/D, nanofiltration 20 nm) garantissant l'élimination des virus enveloppés (VIH, VHB, VHC) et non enveloppés (VHA, parvovirus B19). La sécurité virale des IgIV modernes est extrêmement élevée — aucun cas de transmission virale n'a été rapporté depuis 1990 avec les procédés actuels. Les IgIV sont classées en </w:t>
      </w:r>
      <w:r>
        <w:rPr>
          <w:b/>
        </w:rPr>
        <w:t>médicaments dérivés du sang</w:t>
      </w:r>
      <w:r>
        <w:t xml:space="preserve"> (MDDS), soumis à une traçabilité nominative renforcée (registre national des receveurs de produits sanguins labiles et MDMS) et à un retrait de lot rapide en cas de signal pharmacovigilance.</w:t>
      </w:r>
    </w:p>
    <w:p>
      <w:r>
        <w:t xml:space="preserve">Sept spécialités d'IgIV sont disponibles en Algérie, correspondant à deux formulations galéniques : (i) </w:t>
      </w:r>
      <w:r>
        <w:rPr>
          <w:b/>
        </w:rPr>
        <w:t>IgIV liquides prêtes à l'emploi</w:t>
      </w:r>
      <w:r>
        <w:t xml:space="preserve"> à 100 mg/mL (KIOVIG® — Baxter, PRIVIGEN® — CSL Behring) ; (ii) </w:t>
      </w:r>
      <w:r>
        <w:rPr>
          <w:b/>
        </w:rPr>
        <w:t>IgIV liquides</w:t>
      </w:r>
      <w:r>
        <w:t xml:space="preserve"> à 50 mg/mL (FLEBOGAMMA DIF® — Grifols, CLAIRYG® — LFB Biomédicaments, INTRATECT® — Biotest, OCTAGAM® — Octapharma) ; (iii) </w:t>
      </w:r>
      <w:r>
        <w:rPr>
          <w:b/>
        </w:rPr>
        <w:t>IgIV lyophilisées à reconstituer</w:t>
      </w:r>
      <w:r>
        <w:t xml:space="preserve"> à 50 mg/mL (TELGENE® — LFB Biomédicaments). Les IgIV à 100 mg/mL (KIOVIG, PRIVIGEN) ont l'avantage d'une perfusion plus concentrée (volume réduit de moitié), particulièrement intéressante chez le patient à risque de surcharge volémique (insuffisance cardiaque, sujet âgé) ou de thrombose (hyperviscosité). Les IgIV à 50 mg/mL sont une alternative classique et économique. Les excipients varient selon les spécialités (sucrose, maltose, sorbitol, glycine, proline, polysorbate 80) — ce qui peut influencer la tolérance (sucrose = risque d'insuffisance rénale aiguë osmotique ; maltose = interférence avec la glycémie capillaire ; proline = meilleure tolérance rénale).</w:t>
      </w:r>
    </w:p>
    <w:p>
      <w:r>
        <w:t xml:space="preserve">Les IgIV exercent leurs effets thérapeutiques par deux mécanismes principaux : (1) </w:t>
      </w:r>
      <w:r>
        <w:rPr>
          <w:b/>
        </w:rPr>
        <w:t>substitution</w:t>
      </w:r>
      <w:r>
        <w:t xml:space="preserve"> (en cas de déficit immunitaire humoral — hypogammaglobulinémie congénitale, déficit immunitaire commun variable DICV, agammaglobulinémie de Bruton X-liée, myélome multiple avec hypogammaglobulinémie, post-greffe de cellules souches hématopoïétiques, leucémie lymphoïde chronique) à une dose de remplacement de 0,4–0,6 g/kg toutes les 3–4 semaines ; (2) </w:t>
      </w:r>
      <w:r>
        <w:rPr>
          <w:b/>
        </w:rPr>
        <w:t>immunomodulation</w:t>
      </w:r>
      <w:r>
        <w:t xml:space="preserve"> (en cas de maladie auto-immune ou dysimmunitaire) à une dose immunomodulatrice de 0,4 g/kg/jour pendant 5 jours (soit 2 g/kg total) ou 1–2 g/kg en dose unique, avec des indications multiples : neurologie (Guillain-Barré, CIDP, myasthénie auto-immune sévère, syndrome de Lambert-Eaton, certaines encéphalites auto-immunes anti-NMDA), hématologie (purpura thrombopénique immunologique ITP en phase aiguë, anémie hémolytique auto-immune), dermatologie (maladie de Kawasaki, dermatomyosite réfractaire, pemphigoïde bulleuse réfractaire), infectiologie (choc toxique streptococcique ou staphylococcique réfractaire, sepsis sévère avec hypogammaglobulinémie), transplantation (désensibilisation pré-greffe des patients hyperimmunisés, traitement du rejet humoral aigu en association avec plasmaphérèse ± rituximab ± bortézomib, transplantation ABO-incompatible en association avec rituximab), et immunologie clinique (certaines auto-inflammatoires, déficits immunitaires secondaires post-traumatiques ou post-chimiothérapie).</w:t>
      </w:r>
    </w:p>
    <w:p>
      <w:r>
        <w:t xml:space="preserve">Les mécanismes immunomodulateurs des IgIV sont multiples et complémentaires : (i) </w:t>
      </w:r>
      <w:r>
        <w:rPr>
          <w:b/>
        </w:rPr>
        <w:t>blocage du récepteur néonatal Fc (FcRn)</w:t>
      </w:r>
      <w:r>
        <w:t xml:space="preserve"> — les IgIV saturent le FcRn des cellules endothéliales qui recycle normalement les IgG endogènes (y compris les auto-anticorps pathogènes) en les protégeant de la dégradation lysosomale ; la saturation du FcRn accélère la dégradation des auto-anticorps pathogènes (effet maximal à 1–2 semaines après perfusion, durée ~3–4 semaines) ; (ii) </w:t>
      </w:r>
      <w:r>
        <w:rPr>
          <w:b/>
        </w:rPr>
        <w:t>neutralisation par anti-idiotypes</w:t>
      </w:r>
      <w:r>
        <w:t xml:space="preserve"> — les IgIV contiennent des anticorps anti-idiotypes dirigés contre les régions variables des auto-anticorps, formant des complexes immuns neutralisants ; (iii) </w:t>
      </w:r>
      <w:r>
        <w:rPr>
          <w:b/>
        </w:rPr>
        <w:t>blocage des récepteurs Fc des macrophages</w:t>
      </w:r>
      <w:r>
        <w:t xml:space="preserve"> (FcγRI, FcγRIII) — compétition avec les auto-anticorps opsonisants (par exemple anti-plaquettes dans l'ITP) empêchant la phagocytose ; (iv) </w:t>
      </w:r>
      <w:r>
        <w:rPr>
          <w:b/>
        </w:rPr>
        <w:t>modulation de la cascade du complément</w:t>
      </w:r>
      <w:r>
        <w:t xml:space="preserve"> — les IgIV scavenger les composants activés C3b et C4b, inhibent la formation du complexe d'attaque membranaire C5b-C9 ; (v) </w:t>
      </w:r>
      <w:r>
        <w:rPr>
          <w:b/>
        </w:rPr>
        <w:t>induction des lymphocytes T régulateurs (Treg)</w:t>
      </w:r>
      <w:r>
        <w:t xml:space="preserve"> et modulation de la balance Th1/Th2/Th17 ; (vi) </w:t>
      </w:r>
      <w:r>
        <w:rPr>
          <w:b/>
        </w:rPr>
        <w:t>neutralisation des superantigènes</w:t>
      </w:r>
      <w:r>
        <w:t xml:space="preserve"> bactériens (TSST-1 staphylococcique, exotoxines streptococciques) ; (vii) modulation de la maturation et de la présentation des cellules dendritiques.</w:t>
      </w:r>
    </w:p>
    <w:p>
      <w:r>
        <w:t xml:space="preserve">Le profil de tolérance des IgIV est globalement bon mais des effets indésirables graves sont possibles : (a) </w:t>
      </w:r>
      <w:r>
        <w:rPr>
          <w:b/>
        </w:rPr>
        <w:t>réactions liées à la perfusion</w:t>
      </w:r>
      <w:r>
        <w:t xml:space="preserve"> (RLP — 5–20 %, frissons, fièvre, myalgies, céphalées, flush — généralement bénignes et prévenues par ralentissement de la perfusion et pré-médication) ; (b) </w:t>
      </w:r>
      <w:r>
        <w:rPr>
          <w:b/>
        </w:rPr>
        <w:t>thromboses artérielles et veineuses</w:t>
      </w:r>
      <w:r>
        <w:t xml:space="preserve"> (infarctus du myocarde, AVC ischémique, embolie pulmonaire, thrombose veineuse profonde — rares mais graves — liées à l'hyperviscosité, à l'activation plaquettaire et à la pro-coagulabilité des IgIV — risque majoré chez le sujet âgé, en cas d'athérosclérose, d'hyperviscosité préexistante, de doses élevées ≥ 2 g/kg, de débit de perfusion rapide) ; (c) </w:t>
      </w:r>
      <w:r>
        <w:rPr>
          <w:b/>
        </w:rPr>
        <w:t>insuffisance rénale aiguë</w:t>
      </w:r>
      <w:r>
        <w:t xml:space="preserve"> (IRA — surtout avec les IgIV contenant du sucrose comme stabilisant — nécrose tubulaire aiguë osmotique — risque majoré chez le sujet âgé, diabétique, insuffisant rénal préalable, déshydraté, dose ≥ 2 g/kg — prévention par hydratation, choix d'IgIV sans sucrose) ; (d) </w:t>
      </w:r>
      <w:r>
        <w:rPr>
          <w:b/>
        </w:rPr>
        <w:t>méningite aseptique</w:t>
      </w:r>
      <w:r>
        <w:t xml:space="preserve"> (1–5 %, surtout avec les doses immunomodulatrices élevées — fièvre, céphalées intenses, raideur de la nuque, photophobie, sans germe à l'examen du LCR — réaction immune transitoire, généralement régressive en 2–5 jours) ; (e) </w:t>
      </w:r>
      <w:r>
        <w:rPr>
          <w:b/>
        </w:rPr>
        <w:t>hémolyse</w:t>
      </w:r>
      <w:r>
        <w:t xml:space="preserve"> (anticorps anti-A et anti-B isoagglutinines présents dans les IgIV — hémolyse extravasculaire surtout chez les patients de groupe A, B ou AB après doses immunomodulatrices ≥ 2 g/kg — recherche d'IgG anti-A et anti-B à titre élevé) ; (f) </w:t>
      </w:r>
      <w:r>
        <w:rPr>
          <w:b/>
        </w:rPr>
        <w:t>syndrome de détresse respiratoire aiguë transfusionnel (TRALI)</w:t>
      </w:r>
      <w:r>
        <w:t xml:space="preserve"> (très rare — œdème pulmonaire lésionnel non cardiogénique dans les 6 heures suivant la perfusion — réaction immune aux anticorps anti-HLA du donneur) ; (g) </w:t>
      </w:r>
      <w:r>
        <w:rPr>
          <w:b/>
        </w:rPr>
        <w:t>hyperviscosité</w:t>
      </w:r>
      <w:r>
        <w:t xml:space="preserve"> (risque majoré chez les patients âgés, en cas de gammapathie monoclonale, de cryoglobulinémie, de doses ≥ 2 g/kg — viscosité sanguine augmentée pouvant précipiter une thrombose ou une encéphalopathie) ; (h) </w:t>
      </w:r>
      <w:r>
        <w:rPr>
          <w:b/>
        </w:rPr>
        <w:t>réactions allergiques</w:t>
      </w:r>
      <w:r>
        <w:t xml:space="preserve"> (anaphylaxie rare — surtout chez les patients avec déficit en IgA — formation d'anti-IgA contre les traces d'IgA des IgIV — choisir des IgIV à très faible teneur en IgA, ex. KIOVIG).</w:t>
      </w:r>
    </w:p>
    <w:p>
      <w:r>
        <w:t>Les contre-indications principales sont : hypersensibilité aux IgIV ou aux excipients ; déficit en IgA avec anticorps anti-IgA (anaphylaxie) ; hyperprolinémie (CI relative aux IgIV contenant de la proline comme stabilisant) ; antécédents de thrombose sous IgIV (CI relative) ; hyperviscosité préexistante (gammapathie monoclonale IgM, cryoglobulinémie) ; insuffisance rénale sévère (CI relative aux IgIV avec sucrose) ; décompensation cardiaque sévère (surcharge volémique).</w:t>
      </w:r>
    </w:p>
    <w:p>
      <w:r>
        <w:t>La prescription d'IgIV est strictement hospitalière (liste des Médicaments Dérivés du Sang — traçabilité nominative obligatoire), et la délivrance est assurée par la pharmacie hospitalière à usage intérieur. Le pharmacien d'officine algérien peut être sollicité pour des conseils de vigilance (reconnaissance des signes d'alerte — fièvre, dyspnée, œdème, céphalées intenses, ecchymoses, ictère, urines foncées) chez les patients traités en ambulatoire (substitution au long cours des déficits immunitaires primitifs — IgIV à domicile, perfusion par infirmier libéral).</w:t>
      </w:r>
    </w:p>
    <w:p>
      <w:pPr>
        <w:pStyle w:val="Heading3"/>
      </w:pPr>
      <w:r>
        <w:t>172.3.1 DCI : Immunoglobuline humaine normale (IgIV)</w:t>
      </w:r>
    </w:p>
    <w:p>
      <w:r/>
      <w:r>
        <w:rPr>
          <w:b/>
        </w:rPr>
        <w:t>Liste des Catégories :</w:t>
      </w:r>
      <w:r>
        <w:t xml:space="preserve"> Immunothérapie substitutive et immunomodulatrice ; Médicament dérivé du sang (MDS) ; Immunoglobuline humaine normale polyvalente purifiée à partir de plasma de donneurs sains ; Liste I ; Réservé à l'usage hospitalier (traçabilité nominative obligatoire).</w:t>
      </w:r>
    </w:p>
    <w:p>
      <w:r>
        <w:t>Les immunoglobulines humaines normales par voie intraveineuse (IgIV) sont des préparations d'immunoglobulines G (IgG) polyvalentes purifiées à partir de pools de plasma humain provenant de plusieurs milliers de donneurs sains (≥ 3 000 donneurs par lot). Elles contiennent un large spectre d'anticorps dirigés contre de multiples antigènes viraux (rougeole, rubéole, herpès, varicelle, VHA, VHB, VHC, EBV, CMV, parvovirus B19, VIH — neutralisants), bactériens (streptocoque, staphylocoque, pneumocoque, tétanos, diphtérie, bordetella, hemophilus), fongiques et parasitaires, avec une distribution de sous-classes d'IgG proche de celle du plasma humain normal (IgG1 60 %, IgG2 30 %, IgG3 5 %, IgG4 5 %). La purification comprend plusieurs étapes de fractionnement (méthode Cohn-Oncley à l'éthanol froid, chromatographie d'affinité, ultrafiltration, inactivation virale par solvant-détergent S/D, nanofiltration 20 nm) garantissant l'élimination des virus enveloppés (VIH, VHB, VHC) et non enveloppés (VHA, parvovirus B19). La sécurité virale des IgIV modernes est extrêmement élevée — aucun cas de transmission virale n'a été rapporté depuis 1990 avec les procédés actuels.</w:t>
      </w:r>
    </w:p>
    <w:p>
      <w:r>
        <w:t>Sept spécialités d'IgIV sont disponibles en Algérie, correspondant à différents laboratoires fabricants, différents dosages (50 mg/mL ou 100 mg/mL), différentes formulations (liquide prêt à l'emploi ou poudre lyophilisée à reconstituer) et différents excipients (sucrose, maltose, sorbitol, glycine, proline). Le choix de la spécialité dépend du contexte clinique (insuffisance rénale, sujet âgé, hyperviscosité, déficit en IgA) et de la disponibilité locale. Toutes les IgIV ont les mêmes indications (substitution des déficits immunitaires humoraux primitifs et secondaires ; immunomodulation dans les maladies auto-immunes et dysimmunitaires), mais des précautions d'emploi spécifiques selon l'excipient : sucrose (IRA osmotique), maltose (interférence avec la glycémie capillaire — glucose-déshydrogénase pyrroloquinoline-quinone GDH-PQQ), proline (hyperprolinémie CI), glycine (bien tolérée).</w:t>
      </w:r>
    </w:p>
    <w:p>
      <w:r/>
      <w:r>
        <w:rPr>
          <w:b/>
        </w:rPr>
        <w:t>Médicaments disponibles en Algérie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KIOVIG</w:t>
            </w:r>
          </w:p>
        </w:tc>
        <w:tc>
          <w:tcPr>
            <w:tcW w:type="dxa" w:w="1559"/>
          </w:tcPr>
          <w:p>
            <w:r>
              <w:rPr>
                <w:sz w:val="20"/>
              </w:rPr>
              <w:t>BAXTER AG</w:t>
            </w:r>
          </w:p>
        </w:tc>
        <w:tc>
          <w:tcPr>
            <w:tcW w:type="dxa" w:w="1559"/>
          </w:tcPr>
          <w:p>
            <w:r>
              <w:rPr>
                <w:sz w:val="20"/>
              </w:rPr>
              <w:t>Solution pour perfusion IV — 100 mg/mL (2,5 g/25 mL, 5 g/50 mL, 10 g/100 mL)</w:t>
            </w:r>
          </w:p>
        </w:tc>
        <w:tc>
          <w:tcPr>
            <w:tcW w:type="dxa" w:w="1559"/>
          </w:tcPr>
          <w:p>
            <w:r>
              <w:rPr>
                <w:sz w:val="20"/>
              </w:rPr>
              <w:t>FL/25 mL — FL/50 mL — FL/100 mL</w:t>
            </w:r>
          </w:p>
        </w:tc>
        <w:tc>
          <w:tcPr>
            <w:tcW w:type="dxa" w:w="1559"/>
          </w:tcPr>
          <w:p>
            <w:r>
              <w:rPr>
                <w:sz w:val="20"/>
              </w:rPr>
              <w:t>Liste I</w:t>
            </w:r>
          </w:p>
        </w:tc>
        <w:tc>
          <w:tcPr>
            <w:tcW w:type="dxa" w:w="1559"/>
          </w:tcPr>
          <w:p>
            <w:r>
              <w:rPr>
                <w:sz w:val="20"/>
              </w:rPr>
              <w:t>Actif</w:t>
            </w:r>
          </w:p>
        </w:tc>
      </w:tr>
      <w:tr>
        <w:tc>
          <w:tcPr>
            <w:tcW w:type="dxa" w:w="1559"/>
          </w:tcPr>
          <w:p>
            <w:r>
              <w:rPr>
                <w:sz w:val="20"/>
              </w:rPr>
              <w:t>PRIVIGEN</w:t>
            </w:r>
          </w:p>
        </w:tc>
        <w:tc>
          <w:tcPr>
            <w:tcW w:type="dxa" w:w="1559"/>
          </w:tcPr>
          <w:p>
            <w:r>
              <w:rPr>
                <w:sz w:val="20"/>
              </w:rPr>
              <w:t>CSL BEHRING AG</w:t>
            </w:r>
          </w:p>
        </w:tc>
        <w:tc>
          <w:tcPr>
            <w:tcW w:type="dxa" w:w="1559"/>
          </w:tcPr>
          <w:p>
            <w:r>
              <w:rPr>
                <w:sz w:val="20"/>
              </w:rPr>
              <w:t>Solution pour perfusion IV — 100 mg/mL</w:t>
            </w:r>
          </w:p>
        </w:tc>
        <w:tc>
          <w:tcPr>
            <w:tcW w:type="dxa" w:w="1559"/>
          </w:tcPr>
          <w:p>
            <w:r>
              <w:rPr>
                <w:sz w:val="20"/>
              </w:rPr>
              <w:t>FL/25 mL (2,5 g) + FL/50 mL (5 g) + FL/100 mL (10 g)</w:t>
            </w:r>
          </w:p>
        </w:tc>
        <w:tc>
          <w:tcPr>
            <w:tcW w:type="dxa" w:w="1559"/>
          </w:tcPr>
          <w:p>
            <w:r>
              <w:rPr>
                <w:sz w:val="20"/>
              </w:rPr>
              <w:t>Liste I</w:t>
            </w:r>
          </w:p>
        </w:tc>
        <w:tc>
          <w:tcPr>
            <w:tcW w:type="dxa" w:w="1559"/>
          </w:tcPr>
          <w:p>
            <w:r>
              <w:rPr>
                <w:sz w:val="20"/>
              </w:rPr>
              <w:t>Actif</w:t>
            </w:r>
          </w:p>
        </w:tc>
      </w:tr>
      <w:tr>
        <w:tc>
          <w:tcPr>
            <w:tcW w:type="dxa" w:w="1559"/>
          </w:tcPr>
          <w:p>
            <w:r>
              <w:rPr>
                <w:sz w:val="20"/>
              </w:rPr>
              <w:t>FLEBOGAMMA DIF</w:t>
            </w:r>
          </w:p>
        </w:tc>
        <w:tc>
          <w:tcPr>
            <w:tcW w:type="dxa" w:w="1559"/>
          </w:tcPr>
          <w:p>
            <w:r>
              <w:rPr>
                <w:sz w:val="20"/>
              </w:rPr>
              <w:t>INSTITUTO GRIFOLS S.A.</w:t>
            </w:r>
          </w:p>
        </w:tc>
        <w:tc>
          <w:tcPr>
            <w:tcW w:type="dxa" w:w="1559"/>
          </w:tcPr>
          <w:p>
            <w:r>
              <w:rPr>
                <w:sz w:val="20"/>
              </w:rPr>
              <w:t>Solution pour perfusion IV — 50 mg/mL (2,5 g/50 mL, 5 g/100 mL, 10 g/200 mL)</w:t>
            </w:r>
          </w:p>
        </w:tc>
        <w:tc>
          <w:tcPr>
            <w:tcW w:type="dxa" w:w="1559"/>
          </w:tcPr>
          <w:p>
            <w:r>
              <w:rPr>
                <w:sz w:val="20"/>
              </w:rPr>
              <w:t>B/1 flacon 50 mL, B/1 flacon 100 mL, B/1 flacon 200 mL</w:t>
            </w:r>
          </w:p>
        </w:tc>
        <w:tc>
          <w:tcPr>
            <w:tcW w:type="dxa" w:w="1559"/>
          </w:tcPr>
          <w:p>
            <w:r>
              <w:rPr>
                <w:sz w:val="20"/>
              </w:rPr>
              <w:t>Liste I</w:t>
            </w:r>
          </w:p>
        </w:tc>
        <w:tc>
          <w:tcPr>
            <w:tcW w:type="dxa" w:w="1559"/>
          </w:tcPr>
          <w:p>
            <w:r>
              <w:rPr>
                <w:sz w:val="20"/>
              </w:rPr>
              <w:t>Actif</w:t>
            </w:r>
          </w:p>
        </w:tc>
      </w:tr>
      <w:tr>
        <w:tc>
          <w:tcPr>
            <w:tcW w:type="dxa" w:w="1559"/>
          </w:tcPr>
          <w:p>
            <w:r>
              <w:rPr>
                <w:sz w:val="20"/>
              </w:rPr>
              <w:t>CLAIRYG</w:t>
            </w:r>
          </w:p>
        </w:tc>
        <w:tc>
          <w:tcPr>
            <w:tcW w:type="dxa" w:w="1559"/>
          </w:tcPr>
          <w:p>
            <w:r>
              <w:rPr>
                <w:sz w:val="20"/>
              </w:rPr>
              <w:t>LFB BIOMEDICAMENTS</w:t>
            </w:r>
          </w:p>
        </w:tc>
        <w:tc>
          <w:tcPr>
            <w:tcW w:type="dxa" w:w="1559"/>
          </w:tcPr>
          <w:p>
            <w:r>
              <w:rPr>
                <w:sz w:val="20"/>
              </w:rPr>
              <w:t>Solution pour perfusion IV — 50 mg/mL (2,5 g/50 mL, 5 g/100 mL, 10 g/200 mL)</w:t>
            </w:r>
          </w:p>
        </w:tc>
        <w:tc>
          <w:tcPr>
            <w:tcW w:type="dxa" w:w="1559"/>
          </w:tcPr>
          <w:p>
            <w:r>
              <w:rPr>
                <w:sz w:val="20"/>
              </w:rPr>
              <w:t>B/01 flacon muni d'un bouchon et d'une capsule</w:t>
            </w:r>
          </w:p>
        </w:tc>
        <w:tc>
          <w:tcPr>
            <w:tcW w:type="dxa" w:w="1559"/>
          </w:tcPr>
          <w:p>
            <w:r>
              <w:rPr>
                <w:sz w:val="20"/>
              </w:rPr>
              <w:t>Liste I</w:t>
            </w:r>
          </w:p>
        </w:tc>
        <w:tc>
          <w:tcPr>
            <w:tcW w:type="dxa" w:w="1559"/>
          </w:tcPr>
          <w:p>
            <w:r>
              <w:rPr>
                <w:sz w:val="20"/>
              </w:rPr>
              <w:t>Actif</w:t>
            </w:r>
          </w:p>
        </w:tc>
      </w:tr>
      <w:tr>
        <w:tc>
          <w:tcPr>
            <w:tcW w:type="dxa" w:w="1559"/>
          </w:tcPr>
          <w:p>
            <w:r>
              <w:rPr>
                <w:sz w:val="20"/>
              </w:rPr>
              <w:t>INTRATECT</w:t>
            </w:r>
          </w:p>
        </w:tc>
        <w:tc>
          <w:tcPr>
            <w:tcW w:type="dxa" w:w="1559"/>
          </w:tcPr>
          <w:p>
            <w:r>
              <w:rPr>
                <w:sz w:val="20"/>
              </w:rPr>
              <w:t>BIOTEST PHARMA GMBH</w:t>
            </w:r>
          </w:p>
        </w:tc>
        <w:tc>
          <w:tcPr>
            <w:tcW w:type="dxa" w:w="1559"/>
          </w:tcPr>
          <w:p>
            <w:r>
              <w:rPr>
                <w:sz w:val="20"/>
              </w:rPr>
              <w:t>Solution pour perfusion IV — 50 mg/mL (2,5 g/50 mL, 5 g/100 mL, 10 g/200 mL)</w:t>
            </w:r>
          </w:p>
        </w:tc>
        <w:tc>
          <w:tcPr>
            <w:tcW w:type="dxa" w:w="1559"/>
          </w:tcPr>
          <w:p>
            <w:r>
              <w:rPr>
                <w:sz w:val="20"/>
              </w:rPr>
              <w:t>B/01 flacon muni d'un bouchon et d'une capsule</w:t>
            </w:r>
          </w:p>
        </w:tc>
        <w:tc>
          <w:tcPr>
            <w:tcW w:type="dxa" w:w="1559"/>
          </w:tcPr>
          <w:p>
            <w:r>
              <w:rPr>
                <w:sz w:val="20"/>
              </w:rPr>
              <w:t>Liste I</w:t>
            </w:r>
          </w:p>
        </w:tc>
        <w:tc>
          <w:tcPr>
            <w:tcW w:type="dxa" w:w="1559"/>
          </w:tcPr>
          <w:p>
            <w:r>
              <w:rPr>
                <w:sz w:val="20"/>
              </w:rPr>
              <w:t>Actif</w:t>
            </w:r>
          </w:p>
        </w:tc>
      </w:tr>
      <w:tr>
        <w:tc>
          <w:tcPr>
            <w:tcW w:type="dxa" w:w="1559"/>
          </w:tcPr>
          <w:p>
            <w:r>
              <w:rPr>
                <w:sz w:val="20"/>
              </w:rPr>
              <w:t>OCTAGAM</w:t>
            </w:r>
          </w:p>
        </w:tc>
        <w:tc>
          <w:tcPr>
            <w:tcW w:type="dxa" w:w="1559"/>
          </w:tcPr>
          <w:p>
            <w:r>
              <w:rPr>
                <w:sz w:val="20"/>
              </w:rPr>
              <w:t>OCTAPHARMA PHARMAZEUTIKA PRODUKTIONSGES. M.B.H.</w:t>
            </w:r>
          </w:p>
        </w:tc>
        <w:tc>
          <w:tcPr>
            <w:tcW w:type="dxa" w:w="1559"/>
          </w:tcPr>
          <w:p>
            <w:r>
              <w:rPr>
                <w:sz w:val="20"/>
              </w:rPr>
              <w:t>Solution pour perfusion IV — 50 mg/mL (2,5 g/50 mL, 5 g/100 mL, 10 g/200 mL)</w:t>
            </w:r>
          </w:p>
        </w:tc>
        <w:tc>
          <w:tcPr>
            <w:tcW w:type="dxa" w:w="1559"/>
          </w:tcPr>
          <w:p>
            <w:r>
              <w:rPr>
                <w:sz w:val="20"/>
              </w:rPr>
              <w:t>B/1 flacon 50 mL (2,5 g), B/1 flacon 100 mL (5 g), B/1 flacon 200 mL (10 g)</w:t>
            </w:r>
          </w:p>
        </w:tc>
        <w:tc>
          <w:tcPr>
            <w:tcW w:type="dxa" w:w="1559"/>
          </w:tcPr>
          <w:p>
            <w:r>
              <w:rPr>
                <w:sz w:val="20"/>
              </w:rPr>
              <w:t>Liste I</w:t>
            </w:r>
          </w:p>
        </w:tc>
        <w:tc>
          <w:tcPr>
            <w:tcW w:type="dxa" w:w="1559"/>
          </w:tcPr>
          <w:p>
            <w:r>
              <w:rPr>
                <w:sz w:val="20"/>
              </w:rPr>
              <w:t>Actif</w:t>
            </w:r>
          </w:p>
        </w:tc>
      </w:tr>
      <w:tr>
        <w:tc>
          <w:tcPr>
            <w:tcW w:type="dxa" w:w="1559"/>
          </w:tcPr>
          <w:p>
            <w:r>
              <w:rPr>
                <w:sz w:val="20"/>
              </w:rPr>
              <w:t>TELGENE</w:t>
            </w:r>
          </w:p>
        </w:tc>
        <w:tc>
          <w:tcPr>
            <w:tcW w:type="dxa" w:w="1559"/>
          </w:tcPr>
          <w:p>
            <w:r>
              <w:rPr>
                <w:sz w:val="20"/>
              </w:rPr>
              <w:t>LFB BIOMEDICAMENTS</w:t>
            </w:r>
          </w:p>
        </w:tc>
        <w:tc>
          <w:tcPr>
            <w:tcW w:type="dxa" w:w="1559"/>
          </w:tcPr>
          <w:p>
            <w:r>
              <w:rPr>
                <w:sz w:val="20"/>
              </w:rPr>
              <w:t>Poudre + solvant pour préparation injectable pour perfusion — 50 mg/mL (2,5 g/50 mL, 5 g/100 mL, 10 g/200 mL)</w:t>
            </w:r>
          </w:p>
        </w:tc>
        <w:tc>
          <w:tcPr>
            <w:tcW w:type="dxa" w:w="1559"/>
          </w:tcPr>
          <w:p>
            <w:r>
              <w:rPr>
                <w:sz w:val="20"/>
              </w:rPr>
              <w:t>Flacon de poudre de 5 g ou 10 g + flacon de solvant de 100 mL ou 200 mL avec système de transfert muni d'un event à filtre stérilisant</w:t>
            </w:r>
          </w:p>
        </w:tc>
        <w:tc>
          <w:tcPr>
            <w:tcW w:type="dxa" w:w="1559"/>
          </w:tcPr>
          <w:p>
            <w:r>
              <w:rPr>
                <w:sz w:val="20"/>
              </w:rPr>
              <w:t>Liste I</w:t>
            </w:r>
          </w:p>
        </w:tc>
        <w:tc>
          <w:tcPr>
            <w:tcW w:type="dxa" w:w="1559"/>
          </w:tcPr>
          <w:p>
            <w:r>
              <w:rPr>
                <w:sz w:val="20"/>
              </w:rPr>
              <w:t>Actif</w:t>
            </w:r>
          </w:p>
        </w:tc>
      </w:tr>
    </w:tbl>
    <w:p/>
    <w:p>
      <w:r>
        <w:t>La délivrance des IgIV est strictement hospitalière (médicaments dérivés du sang — MDS), avec traçabilité nominative obligatoire (registre national des receveurs de produits sanguins labiles et MDMS — déclaration obligatoire du nom, prénom, date de naissance, lot du produit). La conservation s'effectue au réfrigérateur (2–8 °C) dans l'emballage d'origine (ne pas congeler). La perfusion doit être réalisée dans les 24 heures suivant la première ouverture du flacon. Sept spécialités sont disponibles en Algérie : KIOVIG (Baxter, IgIV à 100 mg/mL liquide, glycine comme stabilisant), PRIVIGEN (CSL Behring, IgIV à 100 mg/mL liquide, proline comme stabilisant), FLEBOGAMMA DIF (Grifols, IgIV à 50 mg/mL liquide, sorbitol), CLAIRYG (LFB Biomédicaments, IgIV à 50 mg/mL liquide, glycine), INTRATECT (Biotest, IgIV à 50 mg/mL liquide, glycine), OCTAGAM (Octapharma, IgIV à 50 mg/mL liquide, maltose), TELGENE (LFB Biomédicaments, IgIV à 50 mg/mL lyophilisée à reconstituer, glycine).</w:t>
      </w:r>
    </w:p>
    <w:p>
      <w:r/>
      <w:r>
        <w:rPr>
          <w:b/>
        </w:rPr>
        <w:t>Sous-classe et Mécanisme d'action :</w:t>
      </w:r>
      <w:r/>
    </w:p>
    <w:p>
      <w:pPr>
        <w:pStyle w:val="ListBullet"/>
      </w:pPr>
      <w:r>
        <w:t>Sous-classe : Immunoglobuline humaine normale polyvalente, médicament dérivé du sang (MDS), IgG purifiées à partir de plasma de donneurs sains (≥ 3 000 à 10 000 donneurs par lot selon les spécialités). Sept spécialités disponibles en Algérie correspondant à deux formulations galéniques (liquide 50 ou 100 mg/mL, ou poudre lyophilisée) et différents excipients/stabilisants.</w:t>
      </w:r>
    </w:p>
    <w:p>
      <w:pPr>
        <w:pStyle w:val="ListBullet"/>
      </w:pPr>
      <w:r>
        <w:t xml:space="preserve">Mécanisme d'action : combinaison de plusieurs mécanismes complémentaires. (1) </w:t>
      </w:r>
      <w:r>
        <w:rPr>
          <w:b/>
        </w:rPr>
        <w:t>Substitution</w:t>
      </w:r>
      <w:r>
        <w:t xml:space="preserve"> (en cas de déficit immunitaire humoral) : les anticorps IgG polyvalents (anti-viraux, anti-bactériens, anti-toxines) suppléent le déficit quantitatif et qualitatif en IgG du patient, assurant une protection humorale contre les pathogènes. Demi-vie des IgG exogènes ~21–28 jours (perfusion toutes les 3–4 semaines en substitution). (2) </w:t>
      </w:r>
      <w:r>
        <w:rPr>
          <w:b/>
        </w:rPr>
        <w:t>Immunomodulation</w:t>
      </w:r>
      <w:r>
        <w:t xml:space="preserve"> (en cas de maladie auto-immune ou dysimmunitaire) par six mécanismes complémentaires : (i) </w:t>
      </w:r>
      <w:r>
        <w:rPr>
          <w:b/>
        </w:rPr>
        <w:t>blocage du récepteur néonatal Fc (FcRn)</w:t>
      </w:r>
      <w:r>
        <w:t xml:space="preserve"> — les IgIV saturent le FcRn des cellules endothéliales qui recycle normalement les IgG endogènes (y compris les auto-anticorps pathogènes — anti-acétylcholine receptor myasthénie, anti-MAG, anti-GM1, anti-gangliosides, anti-plaquettes) en les protégeant de la dégradation lysosomale ; la saturation du FcRn accélère la dégradation des auto-anticorps pathogènes (effet maximal à 1–2 semaines après perfusion, durée ~3–4 semaines). (ii) </w:t>
      </w:r>
      <w:r>
        <w:rPr>
          <w:b/>
        </w:rPr>
        <w:t>Neutralisation par anti-idiotypes</w:t>
      </w:r>
      <w:r>
        <w:t xml:space="preserve"> — les IgIV contiennent des anticorps anti-idiotypes (dirigés contre les régions variables des auto-anticorps), formant des complexes immuns neutralisants éliminés par le système réticulo-endothélial. (iii) </w:t>
      </w:r>
      <w:r>
        <w:rPr>
          <w:b/>
        </w:rPr>
        <w:t>Blocage des récepteurs Fc des macrophages</w:t>
      </w:r>
      <w:r>
        <w:t xml:space="preserve"> (FcγRI, FcγRIII) — compétition avec les auto-anticorps opsonisants (par exemple anti-plaquettes dans l'ITP) empêchant la phagocytose des cellules cibles. (iv) </w:t>
      </w:r>
      <w:r>
        <w:rPr>
          <w:b/>
        </w:rPr>
        <w:t>Modulation de la cascade du complément</w:t>
      </w:r>
      <w:r>
        <w:t xml:space="preserve"> — les IgIV scavenger les composants activés C3b et C4b, inhibent la formation du complexe d'attaque membranaire C5b-C9 (utile dans la dermatomyosite et certaines vascularites à complément). (v) </w:t>
      </w:r>
      <w:r>
        <w:rPr>
          <w:b/>
        </w:rPr>
        <w:t>Induction des lymphocytes T régulateurs (Treg, CD4+CD25highFoxP3+)</w:t>
      </w:r>
      <w:r>
        <w:t xml:space="preserve"> et modulation de la balance Th1/Th2/Th17 (effet anti-inflammatoire global). (vi) </w:t>
      </w:r>
      <w:r>
        <w:rPr>
          <w:b/>
        </w:rPr>
        <w:t>Neutralisation des superantigènes</w:t>
      </w:r>
      <w:r>
        <w:t xml:space="preserve"> bactériens (TSST-1 staphylococcique, exotoxines streptococciques — utile dans le choc toxique) et modulation de la maturation et de la présentation des cellules dendritiques.</w:t>
      </w:r>
    </w:p>
    <w:p>
      <w:r/>
      <w:r>
        <w:rPr>
          <w:b/>
        </w:rPr>
        <w:t>Profil Pharmacologique :</w:t>
      </w:r>
      <w:r/>
    </w:p>
    <w:p>
      <w:pPr>
        <w:pStyle w:val="ListBullet"/>
      </w:pPr>
      <w:r>
        <w:t xml:space="preserve">Indications : (1) </w:t>
      </w:r>
      <w:r>
        <w:rPr>
          <w:b/>
        </w:rPr>
        <w:t>Substitution des déficits immunitaires humoraux primitifs</w:t>
      </w:r>
      <w:r>
        <w:t xml:space="preserve"> : agammaglobulinémie de Bruton X-liée (déficit en BTK), hypogammaglobulinémie congenitale non X-liée, déficit immunitaire commun variable (DICV), déficit isolé en IgG avec IgA et IgM normaux, syndrome de Wiskott-Aldrich (phase hypogammaglobulinémique), syndrome de DiGeorge avec hypogammaglobulinémie, certains déficits de la classe de commutation IgG (hyper-IgM syndrome). Posologie : 0,4–0,6 g/kg toutes les 3–4 semaines en IV (objectif IgG résiduel &gt; 6 g/L, idéalement 8–10 g/L). (2) </w:t>
      </w:r>
      <w:r>
        <w:rPr>
          <w:b/>
        </w:rPr>
        <w:t>Substitution des déficits immunitaires humoraux secondaires</w:t>
      </w:r>
      <w:r>
        <w:t xml:space="preserve"> : myélome multiple avec hypogammaglobulinémie et infections récidivantes, leucémie lymphoïde chronique (LLC B) avec hypogammaglobulinémie, post-greffe de cellules souches hématopoïétiques (allo-greffe — phase post-greffe &gt; 100 jours), post-chimiothérapie lymphotoxique (rituximab, bortézomib, anti-CD20), VIH avec hypogammaglobulinémie et infections récidivantes (pédiatrie), nephrotic syndrome avec pertes urinaires d'IgG, brûlures étendues, chirurgie majeure avec hypogammaglobulinémie. (3) </w:t>
      </w:r>
      <w:r>
        <w:rPr>
          <w:b/>
        </w:rPr>
        <w:t>Immunomodulation en neurologie</w:t>
      </w:r>
      <w:r>
        <w:t xml:space="preserve"> : syndrome de Guillain-Barré (IgIV 0,4 g/kg/j × 5 jours = 2 g/kg total — recommandations EAN/PNS 2019, première intention en alternance avec plasmaphérèse), polyradiculonévrite chronique inflammatoire démyélinisante (CIDP — IgIV 2 g/kg en charge puis 1 g/kg d'entretien toutes les 3 semaines — EAN/PNS 2021), myasthénie autoimmune sévère ou en poussée (IgIV 0,4 g/kg/j × 5 jours — MGFA 2020), syndrome de Lambert-Eaton paraneoplasique en cas d'échec de l'amifampridine, encéphalites auto-immunes anti-NMDA, anti-LGI1, anti-CASPR2 (en association avec les corticoïdes et le rituximab), sclérose en plaques récidivante (option — devant les anti-CD20), sclérose latérale amyotrophique (indication controversée). (4) </w:t>
      </w:r>
      <w:r>
        <w:rPr>
          <w:b/>
        </w:rPr>
        <w:t>Immunomodulation en hématologie</w:t>
      </w:r>
      <w:r>
        <w:t xml:space="preserve"> : purpura thrombopénique immunologique (ITP) de l'adulte et de l'enfant (IgIV 0,4–1 g/kg/j × 1–2 jours ou 1 g/kg en dose unique — en cas d'hémorragie, de chirurgie urgente, ou en pédiatrie aiguë — récupération plaquettaire en 24–72 heures), anémie hémolytique auto-immune (en cas d'échec des corticoïdes), neutropénie autoimmune de l'enfant, allo-immunisation fœto-maternelle thrombopénique (thrombopénie néonatale allo-immune — IgIV 1 g/kg à la mère pendant la grossesse). (5) </w:t>
      </w:r>
      <w:r>
        <w:rPr>
          <w:b/>
        </w:rPr>
        <w:t>Immunomodulation en dermatologie</w:t>
      </w:r>
      <w:r>
        <w:t xml:space="preserve"> : maladie de Kawasaki (IgIV 2 g/kg en dose unique en association avec aspirine 30–50 mg/kg/j — recommandations AHA 2017, doit être administrée dans les 7–10 premiers jours), dermatomyosite réfractaire aux corticoïdes (IgIV 2 g/kg/cure toutes les 4 semaines), pemphigoïde bulleuse réfractaire, scléromyxœdème. (6) </w:t>
      </w:r>
      <w:r>
        <w:rPr>
          <w:b/>
        </w:rPr>
        <w:t>Immunomodulation en transplantation</w:t>
      </w:r>
      <w:r>
        <w:t xml:space="preserve"> : (a) désensibilisation pré-greffe des patients hyperimmunisés (anticorps anti-HLA à titre élevé rendant la greffe impossible — protocoles combinant IgIV + plasmaphérèse ± rituximab pour réduire les DSA) ; (b) traitement du rejet humoral aigu en association avec plasmaphérèse, rituximab, bortézomib ; (c) transplantation ABO-incompatible (IgIV en association avec rituximab pour prévenir le rejet anticorps anti-A ou anti-B du greffon) ; (d) hypogammaglobulinémie post-greffe (substitution chez les patients transplantés sous immunosuppresseurs B-lymphotoxiques — mycophénolate, rituximab, bortézomib). (7) </w:t>
      </w:r>
      <w:r>
        <w:rPr>
          <w:b/>
        </w:rPr>
        <w:t>Infectiologie</w:t>
      </w:r>
      <w:r>
        <w:t xml:space="preserve"> : sepsis sévère avec hypogammaglobulinémie, choc toxique streptococcique ou staphylococcique réfractaire.</w:t>
      </w:r>
    </w:p>
    <w:p>
      <w:pPr>
        <w:pStyle w:val="ListBullet"/>
      </w:pPr>
      <w:r>
        <w:t xml:space="preserve">Contre-indications : Hypersensibilité aux IgIV ou à l'un des excipients. </w:t>
      </w:r>
      <w:r>
        <w:rPr>
          <w:b/>
        </w:rPr>
        <w:t>Déficit en IgA avec anticorps anti-IgA</w:t>
      </w:r>
      <w:r>
        <w:t xml:space="preserve"> (anaphylaxie — choisir des IgIV à très faible teneur en IgA comme KIOVIG, PRIVIGEN, FLEBOGAMMA DIF). Hyperprolinémie (CI relative aux IgIV contenant de la proline comme stabilisant — PRIVIGEN). Antécédents de thrombose sous IgIV (CI relative). Hyperviscosité préexistante (gammapathie monoclonale IgM, cryoglobulinémie, polyglobulie — CI relative). Insuffisance rénale sévère (ClCr &lt; 30 mL/min — CI relative aux IgIV avec sucrose, préférer IgIV avec glycine ou proline). Décompensation cardiaque sévère (surcharge volémique — CI relative). Précautions d'emploi : sujet âgé (&gt; 65 ans), diabète, hypertension, athérosclérose, hypovolémie, déshydratation, traitement diurétique, antécédents thromboemboliques, traitement anticoagulant ou antiagrégant, grossesse (à éviter par principe mais possible si indication vitale).</w:t>
      </w:r>
    </w:p>
    <w:p>
      <w:pPr>
        <w:pStyle w:val="ListBullet"/>
      </w:pPr>
      <w:r>
        <w:t xml:space="preserve">Effets Indésirables : Très fréquents (&gt; 10 %) : réactions liées à la perfusion (RLP — flush, fièvre modérée 38–39 °C, frissons, myalgies, arthralgies, céphalées, lombalgies, nausées, vomissements — 5–25 % selon les spécialités et le débit — prévenues par ralentissement et pré-médication), réaction au site de perfusion (rougeur, douleur). Fréquents (1–10 %) : hypertension transitoire, hypotension, tachycardie, rash maculopapuleux, prurit, urticaire, douleurs articulaires, fatigue, vertiges, tremblements, anxiété, nausées, vomissements, diarrhée, douleurs abdominales, élévation transitoire des transaminases. Peu fréquents (0,1–1 %) : </w:t>
      </w:r>
      <w:r>
        <w:rPr>
          <w:b/>
        </w:rPr>
        <w:t>thromboses artérielles et veineuses</w:t>
      </w:r>
      <w:r>
        <w:t xml:space="preserve"> (infarctus du myocarde, AVC ischémique, embolie pulmonaire, thrombose veineuse profonde — graves — liées à l'hyperviscosité et à la pro-coagulabilité des IgIV — risque majoré chez le sujet âgé, en cas d'athérosclérose, d'hyperviscosité préexistante, de doses élevées ≥ 2 g/kg, de débit de perfusion rapide), </w:t>
      </w:r>
      <w:r>
        <w:rPr>
          <w:b/>
        </w:rPr>
        <w:t>insuffisance rénale aiguë</w:t>
      </w:r>
      <w:r>
        <w:t xml:space="preserve"> (IRA — surtout avec les IgIV contenant du sucrose comme stabilisant — nécrose tubulaire aiguë osmotique — risque majoré chez le sujet âgé, diabétique, insuffisant rénal préalable, déshydraté, dose ≥ 2 g/kg), </w:t>
      </w:r>
      <w:r>
        <w:rPr>
          <w:b/>
        </w:rPr>
        <w:t>méningite aseptique</w:t>
      </w:r>
      <w:r>
        <w:t xml:space="preserve"> (1–5 %, surtout avec les doses immunomodulatrices élevées — fièvre, céphalées intenses, raideur de la nuque, photophobie, sans germe à l'examen du LCR — réaction immune transitoire, généralement régressive en 2–5 jours), hémolyse (anticorps anti-A et anti-B isoagglutinines — hémolyse extravasculaire surtout chez les patients de groupe A, B ou AB après doses immunomodulatrices ≥ 2 g/kg — recherche d'IgG anti-A et anti-B à titre élevé), anémie hémolytique autoimmune (rare). Rares (&lt; 0,1 %) : </w:t>
      </w:r>
      <w:r>
        <w:rPr>
          <w:b/>
        </w:rPr>
        <w:t>syndrome de détresse respiratoire aiguë transfusionnel (TRALI)</w:t>
      </w:r>
      <w:r>
        <w:t xml:space="preserve"> (œdème pulmonaire lésionnel non cardiogénique dans les 6 heures suivant la perfusion — réaction immune aux anticorps anti-HLA du donneur), anaphylaxie (surtout chez les patients avec déficit en IgA avec anticorps anti-IgA), syndrome de Lyell, syndrome de Stevens-Johnson, vascularite leucocytoclasique, néphropathie interstitielle, hépatite médicamenteuse, arthralgie réactionnelle, syndrome d'activation macrophagique (SAM). Très rares : transmission d'agents infectieux (viraux ou prions — aucun cas rapporté depuis 1990 avec les procédés actuels de purification).</w:t>
      </w:r>
    </w:p>
    <w:p>
      <w:r/>
      <w:r>
        <w:rPr>
          <w:b/>
        </w:rPr>
        <w:t>Prévention et Gestion des Effets Indésirables :</w:t>
      </w:r>
      <w:r/>
    </w:p>
    <w:p>
      <w:pPr>
        <w:pStyle w:val="ListBullet"/>
      </w:pPr>
      <w:r>
        <w:t>Mesures Préventives : Bilan pré-thérapeutique complet incluant : NFS-plaquettes, ionogramme, créatinine (calcul ClCr), bilan hépatique complet, dosage des immunoglobulines sériques (IgG, IgA, IgM — recherche d'un déficit en IgA), électrophorèse des protéines sériques (recherche d'une gammapathie monoclonale), viscosité sanguine (suspicion d'hyperviscosité), sérologies virales (VHB, VHC, VIH, parvovirus B19 — référence pré-thérapeutique), ECG, examen cardiovasculaire. Hydratation préalable (NaCl 0,9 % 500 mL–1 L IV dans les 24 heures précédant la perfusion) surtout chez le sujet âgé, diabétique, insuffisant rénal. Vérification de la compatibilité ABO (risque d'hémolyse par isoagglutinines anti-A et anti-B des IgIV). Choix de la spécialité adaptée : en cas de déficit en IgA → IgIV à très faible teneur en IgA (KIOVIG, PRIVIGEN, FLEBOGAMMA DIF) ; en cas d'insuffisance rénale → IgIV sans sucrose (PRIVIGEN avec proline, KIOVIG avec glycine) ; en cas d'hyperviscosité ou de risque thrombotique → IgIV à 100 mg/mL à débit lent (KIOVIG, PRIVIGEN) ; en cas d'hyperprolinémie → éviter PRIVIGEN. Pré-médication 30 minutes avant : paracétamol 1 g, antihistaminique H1 (chlorphénamine 10 mg ou cétirizine 10 mg), ± corticoïde IV (hydrocortisone 100 mg ou méthylprednisolone 0,5 mg/kg) si antécédents de RLP. Antipyrétique systématique.</w:t>
      </w:r>
    </w:p>
    <w:p>
      <w:pPr>
        <w:pStyle w:val="ListBullet"/>
      </w:pPr>
      <w:r>
        <w:t xml:space="preserve">Conduite à Tenir : RLP grade 1 (flush transitoire) : ralentir la perfusion de 50 %, surveillance. Grade 2 (fièvre, frissons, myalgies) :暂停 perfusion, antipyrétique (paracétamol 1 g), antihistaminique IV, reprise à vitesse réduite (50 %) après disparition. Grade 3 (hypotension, dyspnée) : arrêt, antihistaminique IV + corticoïde IV, oxygénothérapie, remplissage vasculaire, reprise à vitesse minimale après stabilisation. Grade 4 (anaphylaxie, choc, TRALI) : arrêt définitif, réanimation, adrénaline IV 0,1–0,5 mg, intubation si nécessaire, transfert en réanimation — CI définitive à la spécialité incriminée. </w:t>
      </w:r>
      <w:r>
        <w:rPr>
          <w:b/>
        </w:rPr>
        <w:t>Thrombose</w:t>
      </w:r>
      <w:r>
        <w:t xml:space="preserve"> (douleur thoracique, dyspnée, déficit neurologique, douleur membre inférieur) : arrêt immédiat, bilan (ECG, troponine, D-dimères, angio-TDM, écho-doppler), anticoagulation curative (HBPM dose curative) — CI relative à la reprise d'IgIV (discuter alternative selon indication). </w:t>
      </w:r>
      <w:r>
        <w:rPr>
          <w:b/>
        </w:rPr>
        <w:t>IRA</w:t>
      </w:r>
      <w:r>
        <w:t xml:space="preserve"> (oligurie, élévation créatinine) : arrêt immédiat, hydratation IV (NaCl 0,9 % 1 L/24 h), surveillance diurèse, créatinine, ionogramme — généralement régressive en 7–14 jours ; dialyse si IRA sévère ; ne pas réutiliser d'IgIV avec sucrose. </w:t>
      </w:r>
      <w:r>
        <w:rPr>
          <w:b/>
        </w:rPr>
        <w:t>Méningite aseptique</w:t>
      </w:r>
      <w:r>
        <w:t xml:space="preserve"> (céphalées intenses, fièvre, raideur nuque) : ponction lombaire (LCR : pléiocytose lymphocytaire modérée 50–500/mm³, hyperprotéinorachie &lt; 1 g/L, glucose normal, culture et PCR virales négatives), antalgiques (paracétamol, AINS si non contre-indiqué), corticoïdes (prednisone 0,5 mg/kg en dégressif 5 jours), surveillance neurologique — régression spontanée en 2–5 jours. </w:t>
      </w:r>
      <w:r>
        <w:rPr>
          <w:b/>
        </w:rPr>
        <w:t>Hémolyse</w:t>
      </w:r>
      <w:r>
        <w:t xml:space="preserve"> (ictère, urines foncées, asthénie, dyspnée) : arrêt immédiat, bilan (hémoglobine, haptoglobine effondrée, LDH élevées, test de Coombs direct positif, bilirubine libre élevée) — généralement modérée et autorésolutive ; transfusion si Hb &lt; 7 g/L ou signes de mauvaise tolérance. </w:t>
      </w:r>
      <w:r>
        <w:rPr>
          <w:b/>
        </w:rPr>
        <w:t>TRALI</w:t>
      </w:r>
      <w:r>
        <w:t xml:space="preserve"> (dyspnée aiguë hypoxémique dans les 6 heures, infiltrats alvéolaires bilatéraux à l'imagerie, sans signe d'insuffisance cardiaque) : arrêt immédiat, oxygénothérapie haut débit ou ventilation non invasive, transfert en réanimation, support hémodynamique si nécessaire — régression spontanée en 48–72 heures.</w:t>
      </w:r>
    </w:p>
    <w:p>
      <w:r/>
      <w:r>
        <w:rPr>
          <w:b/>
        </w:rPr>
        <w:t>Interactions Médicamenteuses :</w:t>
      </w:r>
      <w:r/>
    </w:p>
    <w:p>
      <w:pPr>
        <w:pStyle w:val="ListBullet"/>
      </w:pPr>
      <w:r>
        <w:t>Vaccins vivants atténués (rougeole, oreillons, rubéole, varicelle, fièvre jaune, rotavirus, BCG, oral polio, oral typhoïde) : les IgIV peuvent neutraliser les vaccins vivants atténués par les anticorps anti-viraux passifs qu'elles contiennent. Délai recommandé entre IgIV et vaccin vivant : 3 mois après une dose immunomodulatrice de 2 g/kg (jusqu'à 11 mois chez l'enfant après rougeole-oreillons-rubéole post-IgIV selon l'OMS). Les vaccins inactivés peuvent être administrés mais la réponse immunitaire peut être réduite (vérifier les sérologies post-vaccinales).</w:t>
      </w:r>
    </w:p>
    <w:p>
      <w:pPr>
        <w:pStyle w:val="ListBullet"/>
      </w:pPr>
      <w:r>
        <w:t>Diurétiques (furosémide, hydrochlorothiazide) : majoration du risque de néphrotoxicité (surtout si IgIV avec sucrose). Prévention par hydratation IV préalable, surveillance diurèse et créatinine.</w:t>
      </w:r>
    </w:p>
    <w:p>
      <w:pPr>
        <w:pStyle w:val="ListBullet"/>
      </w:pPr>
      <w:r>
        <w:t>Inhibiteurs de l'enzyme de conversion (IEC) et antagonistes des récepteurs de l'angiotensine II (ARA2) : majoration du risque d'hypotension transitoire pendant la perfusion — surveillance tension artérielle, adaptation posologique temporaire.</w:t>
      </w:r>
    </w:p>
    <w:p>
      <w:pPr>
        <w:pStyle w:val="ListBullet"/>
      </w:pPr>
      <w:r>
        <w:t>Anticoagulants et antiagrégants plaquettaires : pas d'interaction pharmacocinétique directe mais risque hémorragique majoré en cas de thrombopénie IgIV-induite (rare) ou de méningite aseptique hémorragique (très rare). Surveillance INR (warfarine), plaquettes.</w:t>
      </w:r>
    </w:p>
    <w:p>
      <w:pPr>
        <w:pStyle w:val="ListBullet"/>
      </w:pPr>
      <w:r>
        <w:t>Néphrotoxiques (aminoglycosides, vancomycine, AINS, produits de contraste iodés, ciclosporine, tacrolimus) : majoration du risque néphrotoxique en cas d'association avec les IgIV contenant du sucrose. Éviter les associations ou choisir une IgIV sans sucrose.</w:t>
      </w:r>
    </w:p>
    <w:p>
      <w:pPr>
        <w:pStyle w:val="ListBullet"/>
      </w:pPr>
      <w:r>
        <w:t>Maltose (OCTAGAM) : interférence avec la glycémie capillaire par les glucomètres utilisant la glucose-déshydrogénase pyrroloquinoline-quinone (GDH-PQQ) — fausse hyperglycémie — utiliser un glucomètre à glucose-oxydase (méthode spécifique du glucose).</w:t>
      </w:r>
    </w:p>
    <w:p>
      <w:pPr>
        <w:pStyle w:val="ListBullet"/>
      </w:pPr>
      <w:r>
        <w:t>Aucune interaction métabolique CYP450 (les IgIV sont dégradées par le système réticulo-endothélial en peptides et acides aminés — pas de métabolisme hépatique).</w:t>
      </w:r>
    </w:p>
    <w:p>
      <w:pPr>
        <w:pStyle w:val="ListBullet"/>
      </w:pPr>
      <w:r>
        <w:t>Cyclophosphamide, rituximab, bortézomib : association possible en hématologie (ITP sévère, maladie auto-immune réfractaire) — pas d'interaction pharmacocinétique mais majoration du risque infectieux.</w:t>
      </w:r>
    </w:p>
    <w:p>
      <w:r/>
      <w:r>
        <w:rPr>
          <w:b/>
        </w:rPr>
        <w:t>Grossesse et Allaitement :</w:t>
      </w:r>
      <w:r/>
    </w:p>
    <w:p>
      <w:pPr>
        <w:pStyle w:val="ListBullet"/>
      </w:pPr>
      <w:r>
        <w:t>Grossesse : les IgIV traversent le placenta (transfert passif des IgG maternelles à partir du 2e trimestre, maximal au 3e trimestre). Les IgIV sont globalement considérées comme SÛRES pendant la grossesse, et sont même indiquées dans plusieurs situations obstétricales : allo-immunisation fœto-maternelle thrombopénique (thrombopénie néonatale allo-immune — IgIV 1 g/kg à la mère pendant la grossesse à partir de 20–24 SA), purpura thrombopénique immunologique maternel sévère (IgIV 1 g/kg en dose unique ou 0,4 g/kg/j × 5 jours en cas de thrombopénie sévère &lt; 30 G/L ou hémorragie), myasthénie autoimmune maternelle en poussée, syndrome de Guillain-Barré pendant la grossesse (IgIV 0,4 g/kg/j × 5 jours — première intention, sûreté fœtale démontrée), dermatomyosite maternelle réfractaire, choc toxique obstétrical. CRAT : « IgIV utilisables pendant la grossesse si indication le justifie — données rassurantes issues de plusieurs séries publiées ». Précautions : surveillance tension artérielle, diurèse, créatinine (risque d'IRA majoré par les modifications hémodynamiques de la grossesse) ; hydratation IV préalable ; choix d'une IgIV sans sucrose (PRIVIGEN ou KIOVIG) ; débit de perfusion lent (5 g/h max).</w:t>
      </w:r>
    </w:p>
    <w:p>
      <w:pPr>
        <w:pStyle w:val="ListBullet"/>
      </w:pPr>
      <w:r>
        <w:t>Allaitement : COMPATIBLE. Les IgG maternelles sont sécrétées dans le lait maternel (transfert passif au nouveau-né, bénéfique en termes de protection immunitaire). Les IgIV exogènes passent également dans le lait en quantités minimes, sans risque documenté pour le nouveau-né. L'allaitement peut être poursuivi pendant un traitement par IgIV (substitution au long cours ou immunomodulation).</w:t>
      </w:r>
    </w:p>
    <w:p>
      <w:pPr>
        <w:pStyle w:val="ListBullet"/>
      </w:pPr>
      <w:r>
        <w:t>Fertilité : pas d'effet délétère documenté du IgIV sur la fertilité masculine ou féminine.</w:t>
      </w:r>
    </w:p>
    <w:p>
      <w:r/>
      <w:r>
        <w:rPr>
          <w:b/>
        </w:rPr>
        <w:t>Posologie et Mode d'administration (Standard) :</w:t>
      </w:r>
      <w:r/>
    </w:p>
    <w:p>
      <w:pPr>
        <w:pStyle w:val="ListBullet"/>
      </w:pPr>
      <w:r/>
      <w:r>
        <w:rPr>
          <w:b/>
        </w:rPr>
        <w:t>Substitution des déficits immunitaires primitifs</w:t>
      </w:r>
      <w:r>
        <w:t xml:space="preserve"> : 0,4–0,8 g/kg toutes les 3–4 semaines en IV (objectif IgG résiduel &gt; 6 g/L, idéalement 8–10 g/L — surveillance trimestrielle du taux d'IgG résiduel avant la perfusion suivante). Adaptation posologique selon la clinique (infections récidivantes → augmenter la dose ou raccourcir l'intervalle).</w:t>
      </w:r>
    </w:p>
    <w:p>
      <w:pPr>
        <w:pStyle w:val="ListBullet"/>
      </w:pPr>
      <w:r/>
      <w:r>
        <w:rPr>
          <w:b/>
        </w:rPr>
        <w:t>Substitution des déficits immunitaires secondaires</w:t>
      </w:r>
      <w:r>
        <w:t xml:space="preserve"> : 0,3–0,5 g/kg toutes les 3–4 semaines (selon la sévérité du déficit et le contexte clinique).</w:t>
      </w:r>
    </w:p>
    <w:p>
      <w:pPr>
        <w:pStyle w:val="ListBullet"/>
      </w:pPr>
      <w:r/>
      <w:r>
        <w:rPr>
          <w:b/>
        </w:rPr>
        <w:t>Immunomodulation — Syndrome de Guillain-Barré</w:t>
      </w:r>
      <w:r>
        <w:t xml:space="preserve"> : 0,4 g/kg/j pendant 5 jours (soit 2 g/kg total) en IV sur 4–6 heures par jour. Alternative : plasmaphérèse. Le traitement doit être initié dans les 14 jours du début des symptômes.</w:t>
      </w:r>
    </w:p>
    <w:p>
      <w:pPr>
        <w:pStyle w:val="ListBullet"/>
      </w:pPr>
      <w:r/>
      <w:r>
        <w:rPr>
          <w:b/>
        </w:rPr>
        <w:t>Immunomodulation — CIDP (polyradiculonévrite chronique inflammatoire démyélinisante)</w:t>
      </w:r>
      <w:r>
        <w:t xml:space="preserve"> : 2 g/kg total en charge (répartis sur 2 à 5 jours), puis 1 g/kg d'entretien toutes les 3 semaines, ou 0,4 g/kg/j × 5 jours toutes les 3–6 semaines.</w:t>
      </w:r>
    </w:p>
    <w:p>
      <w:pPr>
        <w:pStyle w:val="ListBullet"/>
      </w:pPr>
      <w:r/>
      <w:r>
        <w:rPr>
          <w:b/>
        </w:rPr>
        <w:t>Immunomodulation — Myasthénie autoimmune sévère ou en poussée</w:t>
      </w:r>
      <w:r>
        <w:t xml:space="preserve"> : 0,4 g/kg/j pendant 5 jours (soit 2 g/kg total) en IV. Alternative : plasmaphérèse.</w:t>
      </w:r>
    </w:p>
    <w:p>
      <w:pPr>
        <w:pStyle w:val="ListBullet"/>
      </w:pPr>
      <w:r/>
      <w:r>
        <w:rPr>
          <w:b/>
        </w:rPr>
        <w:t>Immunomodulation — ITP (purpura thrombopénique immunologique)</w:t>
      </w:r>
      <w:r>
        <w:t xml:space="preserve"> : 0,4–1 g/kg/j pendant 1–2 jours (ou 1 g/kg en dose unique), en cas d'hémorragie, de chirurgie urgente, ou en pédiatrie aiguë. Récupération plaquettaire en 24–72 heures.</w:t>
      </w:r>
    </w:p>
    <w:p>
      <w:pPr>
        <w:pStyle w:val="ListBullet"/>
      </w:pPr>
      <w:r/>
      <w:r>
        <w:rPr>
          <w:b/>
        </w:rPr>
        <w:t>Immunomodulation — Maladie de Kawasaki</w:t>
      </w:r>
      <w:r>
        <w:t xml:space="preserve"> : 2 g/kg en dose unique en association avec aspirine 30–50 mg/kg/j — dans les 7–10 premiers jours de la maladie (recommandations AHA 2017). Une deuxième cure est indiquée en cas de persistance de la fièvre à 48 heures.</w:t>
      </w:r>
    </w:p>
    <w:p>
      <w:pPr>
        <w:pStyle w:val="ListBullet"/>
      </w:pPr>
      <w:r/>
      <w:r>
        <w:rPr>
          <w:b/>
        </w:rPr>
        <w:t>Immunomodulation — Dermatomyosite réfractaire</w:t>
      </w:r>
      <w:r>
        <w:t xml:space="preserve"> : 2 g/kg/cure (répartis sur 2 à 5 jours) toutes les 4 semaines, pendant 3–6 mois.</w:t>
      </w:r>
    </w:p>
    <w:p>
      <w:pPr>
        <w:pStyle w:val="ListBullet"/>
      </w:pPr>
      <w:r/>
      <w:r>
        <w:rPr>
          <w:b/>
        </w:rPr>
        <w:t>Immunomodulation — Transplantation (désensibilisation pré-greffe, rejet humoral aigu)</w:t>
      </w:r>
      <w:r>
        <w:t xml:space="preserve"> : protocoles variables selon les centres — IgIV 1–2 g/kg/cure en association avec plasmaphérèse ± rituximab ± bortézomib, à renouveler selon la cinétique des DSA.</w:t>
      </w:r>
    </w:p>
    <w:p>
      <w:pPr>
        <w:pStyle w:val="ListBullet"/>
      </w:pPr>
      <w:r>
        <w:t>Mode d'administration : perfusion IV stricte par voie périphérique ou centrale, avec filtre de 0,22 μm recommandé (surtout pour les formes lyophilisées reconstituées). Débit initial : 0,5 mL/kg/h pendant les 30 premières minutes, puis augmentation progressive si tolérance bonne jusqu'à un maximum de 4–8 mL/kg/h selon la spécialité et l'indication (vérifier le RCP spécifique de chaque produit — les IgIV à 100 mg/mL ont un débit maximal inférieur). Surveillance continue (scope, TA, FC, SpO₂, température) pendant la perfusion.</w:t>
      </w:r>
    </w:p>
    <w:p>
      <w:pPr>
        <w:pStyle w:val="ListBullet"/>
      </w:pPr>
      <w:r>
        <w:t>Préparation : pour les IgIV lyophilisées (TELGENE), reconstitution avec le solvant fourni en respectant l'asepsie (transfert lent du solvant sur la paroi du flacon, agitation douce par rotation — ne pas agiter vigoureusement). Pour les IgIV liquides, prêt à l'emploi (pas de reconstitution nécessaire — uniquement transfert aseptique en poche de perfusion). Ne pas mélanger avec d'autres médicaments dans la même tubulure.</w:t>
      </w:r>
    </w:p>
    <w:p>
      <w:pPr>
        <w:pStyle w:val="ListBullet"/>
      </w:pPr>
      <w:r>
        <w:t>Insuffisance rénale : pas d'adaptation posologique formelle mais CI relative aux IgIV avec sucrose (OCTAGAM contient du maltose, INTRATECT contient du glycine, KIOVIG contient du glycine — préférables). Surveillance créatinine, diurèse.</w:t>
      </w:r>
    </w:p>
    <w:p>
      <w:pPr>
        <w:pStyle w:val="ListBullet"/>
      </w:pPr>
      <w:r>
        <w:t>Insuffisance hépatique : pas d'adaptation posologique formelle mais surveillance du bilan hépatique.</w:t>
      </w:r>
    </w:p>
    <w:p>
      <w:pPr>
        <w:pStyle w:val="ListBullet"/>
      </w:pPr>
      <w:r>
        <w:t>Sujet âgé : pas d'adaptation posologique formelle mais débit réduit (50 % du débit standard), hydratation IV préalable, surveillance tension artérielle, diurèse, créatinine, ECG.</w:t>
      </w:r>
    </w:p>
    <w:p>
      <w:r/>
      <w:r>
        <w:rPr>
          <w:b/>
        </w:rPr>
        <w:t>Surveillance Biologique et Suivi Clinique :</w:t>
      </w:r>
      <w:r/>
    </w:p>
    <w:p>
      <w:pPr>
        <w:pStyle w:val="ListBullet"/>
      </w:pPr>
      <w:r>
        <w:t>Avant la première perfusion : NFS-plaquettes, ionogramme, créatinine (calcul ClCr), bilan hépatique complet (ALAT, ASAT, PAL, γ-GT, bilirubine totale et directe), dosage des immunoglobulines sériques (IgG, IgA, IgM — recherche d'un déficit en IgA), électrophorèse des protéines sériques (recherche d'une gammapathie monoclonale), viscosité sanguine (si suspicion d'hyperviscosité), sérologies virales (VHB, VHC, VIH, parvovirus B19 — référence pré-thérapeutique), ECG, examen cardiovasculaire (TA, FC, auscultation cardiaque), examen neurologique de référence, groupe sanguin ABO/RH (recherche d'anticorps anti-A et anti-B si IgIV immunomodulatrices 2 g/kg).</w:t>
      </w:r>
    </w:p>
    <w:p>
      <w:pPr>
        <w:pStyle w:val="ListBullet"/>
      </w:pPr>
      <w:r>
        <w:t>Pendant la perfusion : surveillance continue (scope), tension artérielle toutes les 15 minutes pendant la première heure puis toutes les 30 minutes, fréquence cardiaque, saturation en O₂, température toutes les heures, état cutané (rash, flush), état respiratoire (dyspnée, sibilants, crackles — TRALI), état neurologique (céphalées, confusion — méningite aseptique).</w:t>
      </w:r>
    </w:p>
    <w:p>
      <w:pPr>
        <w:pStyle w:val="ListBullet"/>
      </w:pPr>
      <w:r>
        <w:t>Après perfusion : NFS-plaquettes à 24 heures et à 7 jours (en cas de doses immunomodulatrices ≥ 2 g/kg — recherche d'hémolyse, de thrombopénie), créatinine à 24 heures et à 7 jours (surveillance de la fonction rénale), bilan hépatique, ionogramme, haptoglobine et LDH (recherche d'hémolyse en cas de doses immunomodulatrices). Pour les cures d'entretien au long cours (substitution des déficits immunitaires primitifs) : dosage de l'IgG résiduel avant chaque perfusion (objectif IgG &gt; 6 g/L, idéalement 8–10 g/L).</w:t>
      </w:r>
    </w:p>
    <w:p>
      <w:pPr>
        <w:pStyle w:val="ListBullet"/>
      </w:pPr>
      <w:r>
        <w:t>Clinique : fièvre, céphalées, douleurs articulaires et musculaires, dyspnée, douleur thoracique, douleur abdominale, douleur lombaire, ictère, urines foncées, ecchymoses, purpura, œdèmes des membres inférieurs. Examen neurologique (en cas d'indication neurologique — Guillain-Barré, CIDP, myasthénie — évaluation de la force musculaire, réflexes, sensibilité, troubles de la déglutition, insuffisance respiratoire). Échographie cardiaque si antécédents cardiaques.</w:t>
      </w:r>
    </w:p>
    <w:p>
      <w:pPr>
        <w:pStyle w:val="ListBullet"/>
      </w:pPr>
      <w:r>
        <w:t>Suivi infectieux : les IgIV ne protègent pas contre toutes les infections (notamment les infections virales non couvertes par les anticorps anti-viraux du pool, comme le VIH, le VHC) ; surveillance clinique et biologique habituelle.</w:t>
      </w:r>
    </w:p>
    <w:p>
      <w:pPr>
        <w:pStyle w:val="ListBullet"/>
      </w:pPr>
      <w:r>
        <w:t>Suivi à long terme (substitution) : tolérance globale, qualité de vie, infections (fréquence, gravité), développement de complications auto-immunes (surtout dans le DICV), surveillance carcinologique (les IgIV ne sont pas carcinogènes en elles-mêmes mais le déficit immunitaire sous-jacent peut prédisposer à certaines néoplasies).</w:t>
      </w:r>
    </w:p>
    <w:p>
      <w:r/>
      <w:r>
        <w:rPr>
          <w:b/>
        </w:rPr>
        <w:t>Arbitrage et Bénéfices des Formes Galéniques :</w:t>
      </w:r>
      <w:r/>
    </w:p>
    <w:p>
      <w:r>
        <w:t xml:space="preserve">Sept spécialités d'IgIV sont disponibles en Algérie, correspondant à deux formulations galéniques : (i) </w:t>
      </w:r>
      <w:r>
        <w:rPr>
          <w:b/>
        </w:rPr>
        <w:t>IgIV liquides prêtes à l'emploi</w:t>
      </w:r>
      <w:r>
        <w:t xml:space="preserve"> (KIOVIG à 100 mg/mL, PRIVIGEN à 100 mg/mL, FLEBOGAMMA DIF à 50 mg/mL, CLAIRYG à 50 mg/mL, INTRATECT à 50 mg/mL, OCTAGAM à 50 mg/mL) — avantage : pas de reconstitution, gain de temps, moindre risque d'erreur de préparation, perfusion plus rapide à volume égal ; (ii) </w:t>
      </w:r>
      <w:r>
        <w:rPr>
          <w:b/>
        </w:rPr>
        <w:t>IgIV lyophilisées à reconstituer</w:t>
      </w:r>
      <w:r>
        <w:t xml:space="preserve"> (TELGENE à 50 mg/mL) — avantage : stabilité prolongée, transport facilité (chaîne du froid moins critique), mais nécessite une reconstitution aseptique et un système de transfert avec filtre stérilisant.</w:t>
      </w:r>
    </w:p>
    <w:p>
      <w:r>
        <w:t xml:space="preserve">Le choix de la spécialité dépend du contexte clinique : (a) </w:t>
      </w:r>
      <w:r>
        <w:rPr>
          <w:b/>
        </w:rPr>
        <w:t>en cas de déficit en IgA</w:t>
      </w:r>
      <w:r>
        <w:t xml:space="preserve"> avec anticorps anti-IgA → IgIV à très faible teneur en IgA (KIOVIG, PRIVIGEN, FLEBOGAMMA DIF) ; (b) </w:t>
      </w:r>
      <w:r>
        <w:rPr>
          <w:b/>
        </w:rPr>
        <w:t>en cas d'insuffisance rénale</w:t>
      </w:r>
      <w:r>
        <w:t xml:space="preserve"> ou de risque d'IRA (sujet âgé, diabète, déshydratation) → IgIV sans sucrose (PRIVIGEN avec proline, KIOVIG avec glycine) — éviter les IgIV avec sucrose ; (c) </w:t>
      </w:r>
      <w:r>
        <w:rPr>
          <w:b/>
        </w:rPr>
        <w:t>en cas d'hyperviscosité</w:t>
      </w:r>
      <w:r>
        <w:t xml:space="preserve"> ou de risque thrombotique → IgIV à 100 mg/mL à débit lent (KIOVIG, PRIVIGEN) — volume réduit de moitié ; (d) </w:t>
      </w:r>
      <w:r>
        <w:rPr>
          <w:b/>
        </w:rPr>
        <w:t>en cas d'hyperprolinémie</w:t>
      </w:r>
      <w:r>
        <w:t xml:space="preserve"> → éviter PRIVIGEN (contient de la proline) ; (e) </w:t>
      </w:r>
      <w:r>
        <w:rPr>
          <w:b/>
        </w:rPr>
        <w:t>en cas de diabète</w:t>
      </w:r>
      <w:r>
        <w:t xml:space="preserve"> (mesure glycémie capillaire) → éviter OCTAGAM (contient du maltose qui interfère avec les glucomètres GDH-PQQ) ; (f) </w:t>
      </w:r>
      <w:r>
        <w:rPr>
          <w:b/>
        </w:rPr>
        <w:t>en cas de pédiatrie</w:t>
      </w:r>
      <w:r>
        <w:t xml:space="preserve"> → IgIV à 100 mg/mL (KIOVIG, PRIVIGEN) pour réduire le volume perfusé ; (g) </w:t>
      </w:r>
      <w:r>
        <w:rPr>
          <w:b/>
        </w:rPr>
        <w:t>en cas de substitution au long cours à domicile</w:t>
      </w:r>
      <w:r>
        <w:t xml:space="preserve"> → IgIV liquide prête à l'emploi (gain de temps infirmier) ou IgIV sous-cutanée (IgSC, non disponible en Algérie) si dose &lt; 1 g/kg/semaine.</w:t>
      </w:r>
    </w:p>
    <w:p>
      <w:r>
        <w:t>Le coût des IgIV varie selon les spécialités et les marchés hospitaliers ; le choix peut être guidé par les disponibilités locales et les marchés publics. Toutes les IgIV ont les mêmes indications mais des précautions d'emploi spécifiques selon l'excipient.</w:t>
      </w:r>
    </w:p>
    <w:p>
      <w:r/>
      <w:r>
        <w:rPr>
          <w:b/>
        </w:rPr>
        <w:t>Instructions et Conseils au Patient :</w:t>
      </w:r>
      <w:r/>
    </w:p>
    <w:p>
      <w:pPr>
        <w:pStyle w:val="ListBullet"/>
      </w:pPr>
      <w:r>
        <w:t>Communication au comptoir : « Les immunoglobulines (IgIV) sont des anticorps purifiés à partir du plasma de donneurs sains, qui suppléent votre déficit immunitaire ou qui modulent votre système immunitaire en cas de maladie autoimmune. Elles sont administrées en perfusion intraveineuse toutes les 3–4 semaines (substitution) ou en cures ponctuelles (immunomodulation). Les effets indésirables les plus fréquents sont une fièvre modérée, des frissons, des courbatures et des céphalées pendant la perfusion (généralement bénins, prévenus par le ralentissement du débit et un antipyrétique). Les effets graves sont rares mais possibles : thrombose (douleur thoracique, essoufflement, faiblesse d'un membre), insuffisance rénale (oligurie, œdèmes), méningite aseptique (céphalées intenses, fièvre, raideur de la nuque), hémolyse (jaunisse, urines foncées, fatigue). Prévenez immédiatement l'équipe soignante en cas d'essoufflement, de douleur thoracique, de faiblesse d'un membre, de céphalées intenses, de raideur de la nuque, d'ictère ou d'urines foncées. »</w:t>
      </w:r>
    </w:p>
    <w:p>
      <w:pPr>
        <w:pStyle w:val="ListBullet"/>
      </w:pPr>
      <w:r>
        <w:t>Observance : ne jamais arrêter ou modifier le traitement sans avis spécialisé ; signaler tout effet indésirable ; tenir un journal des perfusions (dates, lieu, spécialité, lot, réactions) ; signaler tout signe d'infection (fièvre, brûlures urinaires, toux) à l'équipe soignante.</w:t>
      </w:r>
    </w:p>
    <w:p>
      <w:pPr>
        <w:pStyle w:val="ListBullet"/>
      </w:pPr>
      <w:r>
        <w:t>Hygiène de vie : hydratation abondante avant et après la perfusion (1,5–2 L/jour) surtout chez le sujet âgé ; alimentation équilibrée ; activité physique modérée ; éviter les efforts intenses en cas de thrombopénie ou de méningite aseptique ; éviter les voyages prolongés en avion dans les 72 heures suivant une dose immunomodulatrice (risque thromboembolique majoré).</w:t>
      </w:r>
    </w:p>
    <w:p>
      <w:pPr>
        <w:pStyle w:val="ListBullet"/>
      </w:pPr>
      <w:r>
        <w:t>Femmes en âge de procréer : les IgIV sont COMPATIBLES avec la grossesse et l'allaitement (indiquées dans plusieurs situations obstétricales : thrombopénie néonatale allo-immune, ITP maternel sévère, Guillain-Barré pendant la grossesse, dermatomyosite réfractaire). Pas de contraception obligatoire spécifique.</w:t>
      </w:r>
    </w:p>
    <w:p>
      <w:r/>
      <w:r>
        <w:rPr>
          <w:b/>
        </w:rPr>
        <w:t>Notes, Règles d'Or &amp; Pièges au Comptoir :</w:t>
      </w:r>
      <w:r/>
    </w:p>
    <w:p>
      <w:pPr>
        <w:pStyle w:val="ListBullet"/>
      </w:pPr>
      <w:r>
        <w:t>Règle d'or : les IgIV s'administrent exclusivement par voie IV (jamais IM, jamais SC — sauf formes IgSC spécifiques non disponibles en Algérie), avec un débit initial LENT (0,5 mL/kg/h) augmenté progressivement si tolérance bonne. Ne jamais perfuser en bolus IV direct.</w:t>
      </w:r>
    </w:p>
    <w:p>
      <w:pPr>
        <w:pStyle w:val="ListBullet"/>
      </w:pPr>
      <w:r>
        <w:t>Piège : la spécialité IgIV doit être choisie en fonction du patient — déficit en IgA (anticorps anti-IgA) → KIOVIG, PRIVIGEN, FLEBOGAMMA DIF ; insuffisance rénale → éviter le sucrose ; hyperprolinémie → éviter PRIVIGEN (proline) ; diabète avec glycémie capillaire → éviter OCTAGAM (maltose interfère avec les glucomètres GDH-PQQ) ; sujet âgé ou risque thrombotique → IgIV 100 mg/mL à débit lent (KIOVIG, PRIVIGEN).</w:t>
      </w:r>
    </w:p>
    <w:p>
      <w:pPr>
        <w:pStyle w:val="ListBullet"/>
      </w:pPr>
      <w:r>
        <w:t>Règle : toujours vérifier l'absence de déficit en IgA avant la première perfusion (dosage des IgA sériques + recherche d'anticorps anti-IgA si IgA effondrées &lt; 0,05 g/L) — le déficit en IgA avec anticorps anti-IgA expose à un risque d'anaphylaxie à la première perfusion.</w:t>
      </w:r>
    </w:p>
    <w:p>
      <w:pPr>
        <w:pStyle w:val="ListBullet"/>
      </w:pPr>
      <w:r>
        <w:t>Piège : la fièvre pendant la perfusion n'est pas systématiquement une RLP banale — penser à une méningite aseptique (céphalées intenses, raideur de la nuque) et pratiquer une PL si doute.</w:t>
      </w:r>
    </w:p>
    <w:p>
      <w:pPr>
        <w:pStyle w:val="ListBullet"/>
      </w:pPr>
      <w:r>
        <w:t>Règle : la thrombose sous IgIV est rare mais grave — surveiller les patients à risque (sujet âgé, athérosclérose, hyperviscosité, doses ≥ 2 g/kg, débit rapide) et ralentir le débit en cas d'antécédent thrombotique.</w:t>
      </w:r>
    </w:p>
    <w:p>
      <w:pPr>
        <w:pStyle w:val="ListBullet"/>
      </w:pPr>
      <w:r>
        <w:t>Piège : la méningite aseptique n'est pas une infection — pas d'antibiotique, pas d'hospitalisation en milieu infectieux — ponction lombaire pour confirmation (LCR : pléiocytose lymphocytaire modérée, hyperprotéinorachie modérée, glucose normal, cultures négatives), antalgiques ± corticoïdes courts.</w:t>
      </w:r>
    </w:p>
    <w:p>
      <w:pPr>
        <w:pStyle w:val="ListBullet"/>
      </w:pPr>
      <w:r>
        <w:t>Règle : vaccins vivants CONTRE-INDIQUÉS dans les 3 mois suivant une dose immunomodulatrice de 2 g/kg (neutralisation par les anticorps anti-viraux passifs des IgIV — jusqu'à 11 mois chez l'enfant pour le ROR selon l'OMS).</w:t>
      </w:r>
    </w:p>
    <w:p>
      <w:pPr>
        <w:pStyle w:val="ListBullet"/>
      </w:pPr>
      <w:r>
        <w:t>Piège : la glycémie capillaire peut être faussement élevée chez les patients sous OCTAGAM (maltose) — utiliser un glucomètre à glucose-oxydase (méthode spécifique du glucose, non affectée par le maltose).</w:t>
      </w:r>
    </w:p>
    <w:p>
      <w:pPr>
        <w:pStyle w:val="ListBullet"/>
      </w:pPr>
      <w:r>
        <w:t>Surveillance : attention particulière à la fonction rénale chez le sujet âgé, le diabétique, l'insuffisant rénal préalable, le déshydraté — surveillance créatinine à 24 heures et 7 jours après la perfusion.</w:t>
      </w:r>
    </w:p>
    <w:p>
      <w:pPr>
        <w:pStyle w:val="ListBullet"/>
      </w:pPr>
      <w:r>
        <w:t>Règle : traçabilité nominative obligatoire (registre national des receveurs de produits sanguins labiles et MDS) — nom, prénom, date de naissance, lot du produit, date de perfusion doivent être enregistrés pour permettre un retrait de lot rapide en cas de signal pharmacovigilance.</w:t>
      </w:r>
    </w:p>
    <w:p>
      <w:pPr>
        <w:pStyle w:val="Heading2"/>
      </w:pPr>
      <w:r>
        <w:t>Tableau comparatif synthétique des 3 DCI du chapitre 172</w:t>
      </w:r>
    </w:p>
    <w:tbl>
      <w:tblPr>
        <w:tblStyle w:val="LightGrid-Accent1"/>
        <w:tblW w:type="auto" w:w="0"/>
        <w:tblLook w:firstColumn="1" w:firstRow="1" w:lastColumn="0" w:lastRow="0" w:noHBand="0" w:noVBand="1" w:val="04A0"/>
      </w:tblPr>
      <w:tblGrid>
        <w:gridCol w:w="2339"/>
        <w:gridCol w:w="2339"/>
        <w:gridCol w:w="2339"/>
        <w:gridCol w:w="2339"/>
      </w:tblGrid>
      <w:tr>
        <w:tc>
          <w:tcPr>
            <w:tcW w:type="dxa" w:w="2339"/>
          </w:tcPr>
          <w:p>
            <w:r>
              <w:rPr>
                <w:b/>
                <w:sz w:val="20"/>
              </w:rPr>
              <w:t>Caractéristique</w:t>
            </w:r>
          </w:p>
        </w:tc>
        <w:tc>
          <w:tcPr>
            <w:tcW w:type="dxa" w:w="2339"/>
          </w:tcPr>
          <w:p>
            <w:r>
              <w:rPr>
                <w:b/>
                <w:sz w:val="20"/>
              </w:rPr>
              <w:t>Basiliximab (Simulect)</w:t>
            </w:r>
          </w:p>
        </w:tc>
        <w:tc>
          <w:tcPr>
            <w:tcW w:type="dxa" w:w="2339"/>
          </w:tcPr>
          <w:p>
            <w:r>
              <w:rPr>
                <w:b/>
                <w:sz w:val="20"/>
              </w:rPr>
              <w:t>ATG (Thymoglobuline)</w:t>
            </w:r>
          </w:p>
        </w:tc>
        <w:tc>
          <w:tcPr>
            <w:tcW w:type="dxa" w:w="2339"/>
          </w:tcPr>
          <w:p>
            <w:r>
              <w:rPr>
                <w:b/>
                <w:sz w:val="20"/>
              </w:rPr>
              <w:t>IgIV (7 spécialités)</w:t>
            </w:r>
          </w:p>
        </w:tc>
      </w:tr>
      <w:tr>
        <w:tc>
          <w:tcPr>
            <w:tcW w:type="dxa" w:w="2339"/>
          </w:tcPr>
          <w:p>
            <w:r>
              <w:rPr>
                <w:sz w:val="20"/>
              </w:rPr>
              <w:t>**Type**</w:t>
            </w:r>
          </w:p>
        </w:tc>
        <w:tc>
          <w:tcPr>
            <w:tcW w:type="dxa" w:w="2339"/>
          </w:tcPr>
          <w:p>
            <w:r>
              <w:rPr>
                <w:sz w:val="20"/>
              </w:rPr>
              <w:t>Anticorps monoclonal chimérique IgG1κ anti-CD25 (anti-IL-2Rα)</w:t>
            </w:r>
          </w:p>
        </w:tc>
        <w:tc>
          <w:tcPr>
            <w:tcW w:type="dxa" w:w="2339"/>
          </w:tcPr>
          <w:p>
            <w:r>
              <w:rPr>
                <w:sz w:val="20"/>
              </w:rPr>
              <w:t>Immunoglobuline polyclonale d'origine lapin anti-thymocytes humains</w:t>
            </w:r>
          </w:p>
        </w:tc>
        <w:tc>
          <w:tcPr>
            <w:tcW w:type="dxa" w:w="2339"/>
          </w:tcPr>
          <w:p>
            <w:r>
              <w:rPr>
                <w:sz w:val="20"/>
              </w:rPr>
              <w:t>Immunoglobulines humaines normales polyvalentes</w:t>
            </w:r>
          </w:p>
        </w:tc>
      </w:tr>
      <w:tr>
        <w:tc>
          <w:tcPr>
            <w:tcW w:type="dxa" w:w="2339"/>
          </w:tcPr>
          <w:p>
            <w:r>
              <w:rPr>
                <w:sz w:val="20"/>
              </w:rPr>
              <w:t>**Origine**</w:t>
            </w:r>
          </w:p>
        </w:tc>
        <w:tc>
          <w:tcPr>
            <w:tcW w:type="dxa" w:w="2339"/>
          </w:tcPr>
          <w:p>
            <w:r>
              <w:rPr>
                <w:sz w:val="20"/>
              </w:rPr>
              <w:t>Recombinant (technologie hybridome, ~30 % murin)</w:t>
            </w:r>
          </w:p>
        </w:tc>
        <w:tc>
          <w:tcPr>
            <w:tcW w:type="dxa" w:w="2339"/>
          </w:tcPr>
          <w:p>
            <w:r>
              <w:rPr>
                <w:sz w:val="20"/>
              </w:rPr>
              <w:t>Plasma animal (lapins immunisés)</w:t>
            </w:r>
          </w:p>
        </w:tc>
        <w:tc>
          <w:tcPr>
            <w:tcW w:type="dxa" w:w="2339"/>
          </w:tcPr>
          <w:p>
            <w:r>
              <w:rPr>
                <w:sz w:val="20"/>
              </w:rPr>
              <w:t>Plasma humain (≥ 3 000 donneurs par lot)</w:t>
            </w:r>
          </w:p>
        </w:tc>
      </w:tr>
      <w:tr>
        <w:tc>
          <w:tcPr>
            <w:tcW w:type="dxa" w:w="2339"/>
          </w:tcPr>
          <w:p>
            <w:r>
              <w:rPr>
                <w:sz w:val="20"/>
              </w:rPr>
              <w:t>**Cible**</w:t>
            </w:r>
          </w:p>
        </w:tc>
        <w:tc>
          <w:tcPr>
            <w:tcW w:type="dxa" w:w="2339"/>
          </w:tcPr>
          <w:p>
            <w:r>
              <w:rPr>
                <w:sz w:val="20"/>
              </w:rPr>
              <w:t>CD25 (sous-unité α du récepteur IL-2 de haute affinité)</w:t>
            </w:r>
          </w:p>
        </w:tc>
        <w:tc>
          <w:tcPr>
            <w:tcW w:type="dxa" w:w="2339"/>
          </w:tcPr>
          <w:p>
            <w:r>
              <w:rPr>
                <w:sz w:val="20"/>
              </w:rPr>
              <w:t>Multiples antigènes lymphocytaires T (CD2, CD3, CD4, CD5, CD7, CD8, CD11a, CD28, CD45, etc.)</w:t>
            </w:r>
          </w:p>
        </w:tc>
        <w:tc>
          <w:tcPr>
            <w:tcW w:type="dxa" w:w="2339"/>
          </w:tcPr>
          <w:p>
            <w:r>
              <w:rPr>
                <w:sz w:val="20"/>
              </w:rPr>
              <w:t>Multitude d'antigènes viraux, bactériens, fongiques ; auto-anticorps ; FcRn ; complément</w:t>
            </w:r>
          </w:p>
        </w:tc>
      </w:tr>
      <w:tr>
        <w:tc>
          <w:tcPr>
            <w:tcW w:type="dxa" w:w="2339"/>
          </w:tcPr>
          <w:p>
            <w:r>
              <w:rPr>
                <w:sz w:val="20"/>
              </w:rPr>
              <w:t>**Mécanisme d'action**</w:t>
            </w:r>
          </w:p>
        </w:tc>
        <w:tc>
          <w:tcPr>
            <w:tcW w:type="dxa" w:w="2339"/>
          </w:tcPr>
          <w:p>
            <w:r>
              <w:rPr>
                <w:sz w:val="20"/>
              </w:rPr>
              <w:t>Blocage compétitif de l'IL-2 → inhibition de la prolifération clonale T (non déplétant)</w:t>
            </w:r>
          </w:p>
        </w:tc>
        <w:tc>
          <w:tcPr>
            <w:tcW w:type="dxa" w:w="2339"/>
          </w:tcPr>
          <w:p>
            <w:r>
              <w:rPr>
                <w:sz w:val="20"/>
              </w:rPr>
              <w:t>Déplétion lymphocytaire T (CDC + ADCC + modulation antigénique + apoptose)</w:t>
            </w:r>
          </w:p>
        </w:tc>
        <w:tc>
          <w:tcPr>
            <w:tcW w:type="dxa" w:w="2339"/>
          </w:tcPr>
          <w:p>
            <w:r>
              <w:rPr>
                <w:sz w:val="20"/>
              </w:rPr>
              <w:t>Substitution (déficit humoral) + immunomodulation (blocage FcRn, neutralisation anti-idiotype, blocage FcR macrophages, modulation complément, induction Treg)</w:t>
            </w:r>
          </w:p>
        </w:tc>
      </w:tr>
      <w:tr>
        <w:tc>
          <w:tcPr>
            <w:tcW w:type="dxa" w:w="2339"/>
          </w:tcPr>
          <w:p>
            <w:r>
              <w:rPr>
                <w:sz w:val="20"/>
              </w:rPr>
              <w:t>**Demi-vie**</w:t>
            </w:r>
          </w:p>
        </w:tc>
        <w:tc>
          <w:tcPr>
            <w:tcW w:type="dxa" w:w="2339"/>
          </w:tcPr>
          <w:p>
            <w:r>
              <w:rPr>
                <w:sz w:val="20"/>
              </w:rPr>
              <w:t>7–13 jours</w:t>
            </w:r>
          </w:p>
        </w:tc>
        <w:tc>
          <w:tcPr>
            <w:tcW w:type="dxa" w:w="2339"/>
          </w:tcPr>
          <w:p>
            <w:r>
              <w:rPr>
                <w:sz w:val="20"/>
              </w:rPr>
              <w:t>30–40 jours (IgG de lapin)</w:t>
            </w:r>
          </w:p>
        </w:tc>
        <w:tc>
          <w:tcPr>
            <w:tcW w:type="dxa" w:w="2339"/>
          </w:tcPr>
          <w:p>
            <w:r>
              <w:rPr>
                <w:sz w:val="20"/>
              </w:rPr>
              <w:t>21–28 jours (IgG humaine)</w:t>
            </w:r>
          </w:p>
        </w:tc>
      </w:tr>
      <w:tr>
        <w:tc>
          <w:tcPr>
            <w:tcW w:type="dxa" w:w="2339"/>
          </w:tcPr>
          <w:p>
            <w:r>
              <w:rPr>
                <w:sz w:val="20"/>
              </w:rPr>
              <w:t>**Indication principale**</w:t>
            </w:r>
          </w:p>
        </w:tc>
        <w:tc>
          <w:tcPr>
            <w:tcW w:type="dxa" w:w="2339"/>
          </w:tcPr>
          <w:p>
            <w:r>
              <w:rPr>
                <w:sz w:val="20"/>
              </w:rPr>
              <w:t>Induction en transplantation rénale (risque standard à modéré)</w:t>
            </w:r>
          </w:p>
        </w:tc>
        <w:tc>
          <w:tcPr>
            <w:tcW w:type="dxa" w:w="2339"/>
          </w:tcPr>
          <w:p>
            <w:r>
              <w:rPr>
                <w:sz w:val="20"/>
              </w:rPr>
              <w:t>Induction en transplantation à haut risque + rejet aigu corticorésistant + aplasie médullaire</w:t>
            </w:r>
          </w:p>
        </w:tc>
        <w:tc>
          <w:tcPr>
            <w:tcW w:type="dxa" w:w="2339"/>
          </w:tcPr>
          <w:p>
            <w:r>
              <w:rPr>
                <w:sz w:val="20"/>
              </w:rPr>
              <w:t>Substitution déficits humoraux + immunomodulation (neurologie, hématologie, dermatologie, transplantation)</w:t>
            </w:r>
          </w:p>
        </w:tc>
      </w:tr>
      <w:tr>
        <w:tc>
          <w:tcPr>
            <w:tcW w:type="dxa" w:w="2339"/>
          </w:tcPr>
          <w:p>
            <w:r>
              <w:rPr>
                <w:sz w:val="20"/>
              </w:rPr>
              <w:t>**Posologie standard**</w:t>
            </w:r>
          </w:p>
        </w:tc>
        <w:tc>
          <w:tcPr>
            <w:tcW w:type="dxa" w:w="2339"/>
          </w:tcPr>
          <w:p>
            <w:r>
              <w:rPr>
                <w:sz w:val="20"/>
              </w:rPr>
              <w:t>20 mg IV à J0 et J4 (2 doses, 40 mg total)</w:t>
            </w:r>
          </w:p>
        </w:tc>
        <w:tc>
          <w:tcPr>
            <w:tcW w:type="dxa" w:w="2339"/>
          </w:tcPr>
          <w:p>
            <w:r>
              <w:rPr>
                <w:sz w:val="20"/>
              </w:rPr>
              <w:t>1–1,5 mg/kg/j pendant 3–14 jours (IV lente 6–12 h)</w:t>
            </w:r>
          </w:p>
        </w:tc>
        <w:tc>
          <w:tcPr>
            <w:tcW w:type="dxa" w:w="2339"/>
          </w:tcPr>
          <w:p>
            <w:r>
              <w:rPr>
                <w:sz w:val="20"/>
              </w:rPr>
              <w:t>Substitution : 0,4–0,8 g/kg/3–4 semaines ; Immunomodulation : 0,4 g/kg/j × 5 jours (2 g/kg total) ou 2 g/kg dose unique</w:t>
            </w:r>
          </w:p>
        </w:tc>
      </w:tr>
      <w:tr>
        <w:tc>
          <w:tcPr>
            <w:tcW w:type="dxa" w:w="2339"/>
          </w:tcPr>
          <w:p>
            <w:r>
              <w:rPr>
                <w:sz w:val="20"/>
              </w:rPr>
              <w:t>**Voie d'administration**</w:t>
            </w:r>
          </w:p>
        </w:tc>
        <w:tc>
          <w:tcPr>
            <w:tcW w:type="dxa" w:w="2339"/>
          </w:tcPr>
          <w:p>
            <w:r>
              <w:rPr>
                <w:sz w:val="20"/>
              </w:rPr>
              <w:t>IV stricte, perfusion 30 minutes</w:t>
            </w:r>
          </w:p>
        </w:tc>
        <w:tc>
          <w:tcPr>
            <w:tcW w:type="dxa" w:w="2339"/>
          </w:tcPr>
          <w:p>
            <w:r>
              <w:rPr>
                <w:sz w:val="20"/>
              </w:rPr>
              <w:t>IV stricte, perfusion 6–12 heures via voie centrale</w:t>
            </w:r>
          </w:p>
        </w:tc>
        <w:tc>
          <w:tcPr>
            <w:tcW w:type="dxa" w:w="2339"/>
          </w:tcPr>
          <w:p>
            <w:r>
              <w:rPr>
                <w:sz w:val="20"/>
              </w:rPr>
              <w:t>IV stricte, perfusion 4–8 heures selon la spécialité</w:t>
            </w:r>
          </w:p>
        </w:tc>
      </w:tr>
      <w:tr>
        <w:tc>
          <w:tcPr>
            <w:tcW w:type="dxa" w:w="2339"/>
          </w:tcPr>
          <w:p>
            <w:r>
              <w:rPr>
                <w:sz w:val="20"/>
              </w:rPr>
              <w:t>**Pré-médication**</w:t>
            </w:r>
          </w:p>
        </w:tc>
        <w:tc>
          <w:tcPr>
            <w:tcW w:type="dxa" w:w="2339"/>
          </w:tcPr>
          <w:p>
            <w:r>
              <w:rPr>
                <w:sz w:val="20"/>
              </w:rPr>
              <w:t>Non systématique</w:t>
            </w:r>
          </w:p>
        </w:tc>
        <w:tc>
          <w:tcPr>
            <w:tcW w:type="dxa" w:w="2339"/>
          </w:tcPr>
          <w:p>
            <w:r>
              <w:rPr>
                <w:sz w:val="20"/>
              </w:rPr>
              <w:t>SYSTÉMATIQUE (paracétamol + antihistaminique + corticoïde)</w:t>
            </w:r>
          </w:p>
        </w:tc>
        <w:tc>
          <w:tcPr>
            <w:tcW w:type="dxa" w:w="2339"/>
          </w:tcPr>
          <w:p>
            <w:r>
              <w:rPr>
                <w:sz w:val="20"/>
              </w:rPr>
              <w:t>Recommandée (paracétamol + antihistaminique)</w:t>
            </w:r>
          </w:p>
        </w:tc>
      </w:tr>
      <w:tr>
        <w:tc>
          <w:tcPr>
            <w:tcW w:type="dxa" w:w="2339"/>
          </w:tcPr>
          <w:p>
            <w:r>
              <w:rPr>
                <w:sz w:val="20"/>
              </w:rPr>
              <w:t>**Syndrome de libération de cytokines**</w:t>
            </w:r>
          </w:p>
        </w:tc>
        <w:tc>
          <w:tcPr>
            <w:tcW w:type="dxa" w:w="2339"/>
          </w:tcPr>
          <w:p>
            <w:r>
              <w:rPr>
                <w:sz w:val="20"/>
              </w:rPr>
              <w:t>Non</w:t>
            </w:r>
          </w:p>
        </w:tc>
        <w:tc>
          <w:tcPr>
            <w:tcW w:type="dxa" w:w="2339"/>
          </w:tcPr>
          <w:p>
            <w:r>
              <w:rPr>
                <w:sz w:val="20"/>
              </w:rPr>
              <w:t>OUI (80–90 %, parfois sévère)</w:t>
            </w:r>
          </w:p>
        </w:tc>
        <w:tc>
          <w:tcPr>
            <w:tcW w:type="dxa" w:w="2339"/>
          </w:tcPr>
          <w:p>
            <w:r>
              <w:rPr>
                <w:sz w:val="20"/>
              </w:rPr>
              <w:t>Non (RLP bénigne possible 5–25 %)</w:t>
            </w:r>
          </w:p>
        </w:tc>
      </w:tr>
      <w:tr>
        <w:tc>
          <w:tcPr>
            <w:tcW w:type="dxa" w:w="2339"/>
          </w:tcPr>
          <w:p>
            <w:r>
              <w:rPr>
                <w:sz w:val="20"/>
              </w:rPr>
              <w:t>**Déplétion lymphocytaire**</w:t>
            </w:r>
          </w:p>
        </w:tc>
        <w:tc>
          <w:tcPr>
            <w:tcW w:type="dxa" w:w="2339"/>
          </w:tcPr>
          <w:p>
            <w:r>
              <w:rPr>
                <w:sz w:val="20"/>
              </w:rPr>
              <w:t>Non (blocage fonctionnel)</w:t>
            </w:r>
          </w:p>
        </w:tc>
        <w:tc>
          <w:tcPr>
            <w:tcW w:type="dxa" w:w="2339"/>
          </w:tcPr>
          <w:p>
            <w:r>
              <w:rPr>
                <w:sz w:val="20"/>
              </w:rPr>
              <w:t>OUI (lymphopénie profonde, persistante &gt; 6 mois)</w:t>
            </w:r>
          </w:p>
        </w:tc>
        <w:tc>
          <w:tcPr>
            <w:tcW w:type="dxa" w:w="2339"/>
          </w:tcPr>
          <w:p>
            <w:r>
              <w:rPr>
                <w:sz w:val="20"/>
              </w:rPr>
              <w:t>Non</w:t>
            </w:r>
          </w:p>
        </w:tc>
      </w:tr>
      <w:tr>
        <w:tc>
          <w:tcPr>
            <w:tcW w:type="dxa" w:w="2339"/>
          </w:tcPr>
          <w:p>
            <w:r>
              <w:rPr>
                <w:sz w:val="20"/>
              </w:rPr>
              <w:t>**Myélosuppression**</w:t>
            </w:r>
          </w:p>
        </w:tc>
        <w:tc>
          <w:tcPr>
            <w:tcW w:type="dxa" w:w="2339"/>
          </w:tcPr>
          <w:p>
            <w:r>
              <w:rPr>
                <w:sz w:val="20"/>
              </w:rPr>
              <w:t>Non</w:t>
            </w:r>
          </w:p>
        </w:tc>
        <w:tc>
          <w:tcPr>
            <w:tcW w:type="dxa" w:w="2339"/>
          </w:tcPr>
          <w:p>
            <w:r>
              <w:rPr>
                <w:sz w:val="20"/>
              </w:rPr>
              <w:t>OUI (thrombopénie 40–50 %, leucopénie 40–60 %)</w:t>
            </w:r>
          </w:p>
        </w:tc>
        <w:tc>
          <w:tcPr>
            <w:tcW w:type="dxa" w:w="2339"/>
          </w:tcPr>
          <w:p>
            <w:r>
              <w:rPr>
                <w:sz w:val="20"/>
              </w:rPr>
              <w:t>Non (mais hémolyse possible par isoagglutinines anti-A/B)</w:t>
            </w:r>
          </w:p>
        </w:tc>
      </w:tr>
      <w:tr>
        <w:tc>
          <w:tcPr>
            <w:tcW w:type="dxa" w:w="2339"/>
          </w:tcPr>
          <w:p>
            <w:r>
              <w:rPr>
                <w:sz w:val="20"/>
              </w:rPr>
              <w:t>**Immunogénicité**</w:t>
            </w:r>
          </w:p>
        </w:tc>
        <w:tc>
          <w:tcPr>
            <w:tcW w:type="dxa" w:w="2339"/>
          </w:tcPr>
          <w:p>
            <w:r>
              <w:rPr>
                <w:sz w:val="20"/>
              </w:rPr>
              <w:t>Faible (3 %)</w:t>
            </w:r>
          </w:p>
        </w:tc>
        <w:tc>
          <w:tcPr>
            <w:tcW w:type="dxa" w:w="2339"/>
          </w:tcPr>
          <w:p>
            <w:r>
              <w:rPr>
                <w:sz w:val="20"/>
              </w:rPr>
              <w:t>Modérée (maladie sérique 5–10 %)</w:t>
            </w:r>
          </w:p>
        </w:tc>
        <w:tc>
          <w:tcPr>
            <w:tcW w:type="dxa" w:w="2339"/>
          </w:tcPr>
          <w:p>
            <w:r>
              <w:rPr>
                <w:sz w:val="20"/>
              </w:rPr>
              <w:t>Négligeable (mais anti-IgA si déficit)</w:t>
            </w:r>
          </w:p>
        </w:tc>
      </w:tr>
      <w:tr>
        <w:tc>
          <w:tcPr>
            <w:tcW w:type="dxa" w:w="2339"/>
          </w:tcPr>
          <w:p>
            <w:r>
              <w:rPr>
                <w:sz w:val="20"/>
              </w:rPr>
              <w:t>**Maladie sérique**</w:t>
            </w:r>
          </w:p>
        </w:tc>
        <w:tc>
          <w:tcPr>
            <w:tcW w:type="dxa" w:w="2339"/>
          </w:tcPr>
          <w:p>
            <w:r>
              <w:rPr>
                <w:sz w:val="20"/>
              </w:rPr>
              <w:t>Non</w:t>
            </w:r>
          </w:p>
        </w:tc>
        <w:tc>
          <w:tcPr>
            <w:tcW w:type="dxa" w:w="2339"/>
          </w:tcPr>
          <w:p>
            <w:r>
              <w:rPr>
                <w:sz w:val="20"/>
              </w:rPr>
              <w:t>OUI (J7–J14, 5–10 %)</w:t>
            </w:r>
          </w:p>
        </w:tc>
        <w:tc>
          <w:tcPr>
            <w:tcW w:type="dxa" w:w="2339"/>
          </w:tcPr>
          <w:p>
            <w:r>
              <w:rPr>
                <w:sz w:val="20"/>
              </w:rPr>
              <w:t>Non</w:t>
            </w:r>
          </w:p>
        </w:tc>
      </w:tr>
      <w:tr>
        <w:tc>
          <w:tcPr>
            <w:tcW w:type="dxa" w:w="2339"/>
          </w:tcPr>
          <w:p>
            <w:r>
              <w:rPr>
                <w:sz w:val="20"/>
              </w:rPr>
              <w:t>**Infections opportunistes**</w:t>
            </w:r>
          </w:p>
        </w:tc>
        <w:tc>
          <w:tcPr>
            <w:tcW w:type="dxa" w:w="2339"/>
          </w:tcPr>
          <w:p>
            <w:r>
              <w:rPr>
                <w:sz w:val="20"/>
              </w:rPr>
              <w:t>Modérées (CMV, herpès, pneumocystose)</w:t>
            </w:r>
          </w:p>
        </w:tc>
        <w:tc>
          <w:tcPr>
            <w:tcW w:type="dxa" w:w="2339"/>
          </w:tcPr>
          <w:p>
            <w:r>
              <w:rPr>
                <w:sz w:val="20"/>
              </w:rPr>
              <w:t>MAJEURES (CMV 30–50 %, EBV/PTLD × 3–5, pneumocystose, candidose)</w:t>
            </w:r>
          </w:p>
        </w:tc>
        <w:tc>
          <w:tcPr>
            <w:tcW w:type="dxa" w:w="2339"/>
          </w:tcPr>
          <w:p>
            <w:r>
              <w:rPr>
                <w:sz w:val="20"/>
              </w:rPr>
              <w:t>Faibles (sauf si immunosuppression associée)</w:t>
            </w:r>
          </w:p>
        </w:tc>
      </w:tr>
      <w:tr>
        <w:tc>
          <w:tcPr>
            <w:tcW w:type="dxa" w:w="2339"/>
          </w:tcPr>
          <w:p>
            <w:r>
              <w:rPr>
                <w:sz w:val="20"/>
              </w:rPr>
              <w:t>**PTLD (EBV-induit)**</w:t>
            </w:r>
          </w:p>
        </w:tc>
        <w:tc>
          <w:tcPr>
            <w:tcW w:type="dxa" w:w="2339"/>
          </w:tcPr>
          <w:p>
            <w:r>
              <w:rPr>
                <w:sz w:val="20"/>
              </w:rPr>
              <w:t>&lt; 1 % à 1 an</w:t>
            </w:r>
          </w:p>
        </w:tc>
        <w:tc>
          <w:tcPr>
            <w:tcW w:type="dxa" w:w="2339"/>
          </w:tcPr>
          <w:p>
            <w:r>
              <w:rPr>
                <w:sz w:val="20"/>
              </w:rPr>
              <w:t>3–5 % à 1 an (jusqu'à 20 % si R− EBV)</w:t>
            </w:r>
          </w:p>
        </w:tc>
        <w:tc>
          <w:tcPr>
            <w:tcW w:type="dxa" w:w="2339"/>
          </w:tcPr>
          <w:p>
            <w:r>
              <w:rPr>
                <w:sz w:val="20"/>
              </w:rPr>
              <w:t>Non corrélé</w:t>
            </w:r>
          </w:p>
        </w:tc>
      </w:tr>
      <w:tr>
        <w:tc>
          <w:tcPr>
            <w:tcW w:type="dxa" w:w="2339"/>
          </w:tcPr>
          <w:p>
            <w:r>
              <w:rPr>
                <w:sz w:val="20"/>
              </w:rPr>
              <w:t>**Thrombose**</w:t>
            </w:r>
          </w:p>
        </w:tc>
        <w:tc>
          <w:tcPr>
            <w:tcW w:type="dxa" w:w="2339"/>
          </w:tcPr>
          <w:p>
            <w:r>
              <w:rPr>
                <w:sz w:val="20"/>
              </w:rPr>
              <w:t>Non rapportée</w:t>
            </w:r>
          </w:p>
        </w:tc>
        <w:tc>
          <w:tcPr>
            <w:tcW w:type="dxa" w:w="2339"/>
          </w:tcPr>
          <w:p>
            <w:r>
              <w:rPr>
                <w:sz w:val="20"/>
              </w:rPr>
              <w:t>Non rapportée</w:t>
            </w:r>
          </w:p>
        </w:tc>
        <w:tc>
          <w:tcPr>
            <w:tcW w:type="dxa" w:w="2339"/>
          </w:tcPr>
          <w:p>
            <w:r>
              <w:rPr>
                <w:sz w:val="20"/>
              </w:rPr>
              <w:t>OUI (rare mais grave — IDM, AVC, EP, TVP)</w:t>
            </w:r>
          </w:p>
        </w:tc>
      </w:tr>
      <w:tr>
        <w:tc>
          <w:tcPr>
            <w:tcW w:type="dxa" w:w="2339"/>
          </w:tcPr>
          <w:p>
            <w:r>
              <w:rPr>
                <w:sz w:val="20"/>
              </w:rPr>
              <w:t>**Insuffisance rénale aiguë**</w:t>
            </w:r>
          </w:p>
        </w:tc>
        <w:tc>
          <w:tcPr>
            <w:tcW w:type="dxa" w:w="2339"/>
          </w:tcPr>
          <w:p>
            <w:r>
              <w:rPr>
                <w:sz w:val="20"/>
              </w:rPr>
              <w:t>Non</w:t>
            </w:r>
          </w:p>
        </w:tc>
        <w:tc>
          <w:tcPr>
            <w:tcW w:type="dxa" w:w="2339"/>
          </w:tcPr>
          <w:p>
            <w:r>
              <w:rPr>
                <w:sz w:val="20"/>
              </w:rPr>
              <w:t>Non</w:t>
            </w:r>
          </w:p>
        </w:tc>
        <w:tc>
          <w:tcPr>
            <w:tcW w:type="dxa" w:w="2339"/>
          </w:tcPr>
          <w:p>
            <w:r>
              <w:rPr>
                <w:sz w:val="20"/>
              </w:rPr>
              <w:t>OUI (surtout IgIV avec sucrose)</w:t>
            </w:r>
          </w:p>
        </w:tc>
      </w:tr>
      <w:tr>
        <w:tc>
          <w:tcPr>
            <w:tcW w:type="dxa" w:w="2339"/>
          </w:tcPr>
          <w:p>
            <w:r>
              <w:rPr>
                <w:sz w:val="20"/>
              </w:rPr>
              <w:t>**Méningite aseptique**</w:t>
            </w:r>
          </w:p>
        </w:tc>
        <w:tc>
          <w:tcPr>
            <w:tcW w:type="dxa" w:w="2339"/>
          </w:tcPr>
          <w:p>
            <w:r>
              <w:rPr>
                <w:sz w:val="20"/>
              </w:rPr>
              <w:t>Non</w:t>
            </w:r>
          </w:p>
        </w:tc>
        <w:tc>
          <w:tcPr>
            <w:tcW w:type="dxa" w:w="2339"/>
          </w:tcPr>
          <w:p>
            <w:r>
              <w:rPr>
                <w:sz w:val="20"/>
              </w:rPr>
              <w:t>Rare</w:t>
            </w:r>
          </w:p>
        </w:tc>
        <w:tc>
          <w:tcPr>
            <w:tcW w:type="dxa" w:w="2339"/>
          </w:tcPr>
          <w:p>
            <w:r>
              <w:rPr>
                <w:sz w:val="20"/>
              </w:rPr>
              <w:t>OUI (1–5 %, doses immunomodulatrices)</w:t>
            </w:r>
          </w:p>
        </w:tc>
      </w:tr>
      <w:tr>
        <w:tc>
          <w:tcPr>
            <w:tcW w:type="dxa" w:w="2339"/>
          </w:tcPr>
          <w:p>
            <w:r>
              <w:rPr>
                <w:sz w:val="20"/>
              </w:rPr>
              <w:t>**Hémolyse**</w:t>
            </w:r>
          </w:p>
        </w:tc>
        <w:tc>
          <w:tcPr>
            <w:tcW w:type="dxa" w:w="2339"/>
          </w:tcPr>
          <w:p>
            <w:r>
              <w:rPr>
                <w:sz w:val="20"/>
              </w:rPr>
              <w:t>Non</w:t>
            </w:r>
          </w:p>
        </w:tc>
        <w:tc>
          <w:tcPr>
            <w:tcW w:type="dxa" w:w="2339"/>
          </w:tcPr>
          <w:p>
            <w:r>
              <w:rPr>
                <w:sz w:val="20"/>
              </w:rPr>
              <w:t>Rare (anémie hémolytique autoimmune)</w:t>
            </w:r>
          </w:p>
        </w:tc>
        <w:tc>
          <w:tcPr>
            <w:tcW w:type="dxa" w:w="2339"/>
          </w:tcPr>
          <w:p>
            <w:r>
              <w:rPr>
                <w:sz w:val="20"/>
              </w:rPr>
              <w:t>OUI (isoagglutinines anti-A/B, doses ≥ 2 g/kg)</w:t>
            </w:r>
          </w:p>
        </w:tc>
      </w:tr>
      <w:tr>
        <w:tc>
          <w:tcPr>
            <w:tcW w:type="dxa" w:w="2339"/>
          </w:tcPr>
          <w:p>
            <w:r>
              <w:rPr>
                <w:sz w:val="20"/>
              </w:rPr>
              <w:t>**TRALI**</w:t>
            </w:r>
          </w:p>
        </w:tc>
        <w:tc>
          <w:tcPr>
            <w:tcW w:type="dxa" w:w="2339"/>
          </w:tcPr>
          <w:p>
            <w:r>
              <w:rPr>
                <w:sz w:val="20"/>
              </w:rPr>
              <w:t>Non</w:t>
            </w:r>
          </w:p>
        </w:tc>
        <w:tc>
          <w:tcPr>
            <w:tcW w:type="dxa" w:w="2339"/>
          </w:tcPr>
          <w:p>
            <w:r>
              <w:rPr>
                <w:sz w:val="20"/>
              </w:rPr>
              <w:t>Non</w:t>
            </w:r>
          </w:p>
        </w:tc>
        <w:tc>
          <w:tcPr>
            <w:tcW w:type="dxa" w:w="2339"/>
          </w:tcPr>
          <w:p>
            <w:r>
              <w:rPr>
                <w:sz w:val="20"/>
              </w:rPr>
              <w:t>Rare (mais grave)</w:t>
            </w:r>
          </w:p>
        </w:tc>
      </w:tr>
      <w:tr>
        <w:tc>
          <w:tcPr>
            <w:tcW w:type="dxa" w:w="2339"/>
          </w:tcPr>
          <w:p>
            <w:r>
              <w:rPr>
                <w:sz w:val="20"/>
              </w:rPr>
              <w:t>**Hyperviscosité**</w:t>
            </w:r>
          </w:p>
        </w:tc>
        <w:tc>
          <w:tcPr>
            <w:tcW w:type="dxa" w:w="2339"/>
          </w:tcPr>
          <w:p>
            <w:r>
              <w:rPr>
                <w:sz w:val="20"/>
              </w:rPr>
              <w:t>Non</w:t>
            </w:r>
          </w:p>
        </w:tc>
        <w:tc>
          <w:tcPr>
            <w:tcW w:type="dxa" w:w="2339"/>
          </w:tcPr>
          <w:p>
            <w:r>
              <w:rPr>
                <w:sz w:val="20"/>
              </w:rPr>
              <w:t>Non</w:t>
            </w:r>
          </w:p>
        </w:tc>
        <w:tc>
          <w:tcPr>
            <w:tcW w:type="dxa" w:w="2339"/>
          </w:tcPr>
          <w:p>
            <w:r>
              <w:rPr>
                <w:sz w:val="20"/>
              </w:rPr>
              <w:t>OUI (doses ≥ 2 g/kg, gammapathie monoclonale)</w:t>
            </w:r>
          </w:p>
        </w:tc>
      </w:tr>
      <w:tr>
        <w:tc>
          <w:tcPr>
            <w:tcW w:type="dxa" w:w="2339"/>
          </w:tcPr>
          <w:p>
            <w:r>
              <w:rPr>
                <w:sz w:val="20"/>
              </w:rPr>
              <w:t>**Contre-indication principale**</w:t>
            </w:r>
          </w:p>
        </w:tc>
        <w:tc>
          <w:tcPr>
            <w:tcW w:type="dxa" w:w="2339"/>
          </w:tcPr>
          <w:p>
            <w:r>
              <w:rPr>
                <w:sz w:val="20"/>
              </w:rPr>
              <w:t>Hypersensibilité, vaccins vivants, grossesse (CI relative)</w:t>
            </w:r>
          </w:p>
        </w:tc>
        <w:tc>
          <w:tcPr>
            <w:tcW w:type="dxa" w:w="2339"/>
          </w:tcPr>
          <w:p>
            <w:r>
              <w:rPr>
                <w:sz w:val="20"/>
              </w:rPr>
              <w:t>Hypersensibilité protéines de lapin, infections sévères, grossesse, vaccins vivants</w:t>
            </w:r>
          </w:p>
        </w:tc>
        <w:tc>
          <w:tcPr>
            <w:tcW w:type="dxa" w:w="2339"/>
          </w:tcPr>
          <w:p>
            <w:r>
              <w:rPr>
                <w:sz w:val="20"/>
              </w:rPr>
              <w:t>Déficit en IgA avec anti-IgA, hyperprolinémie (PRIVIGEN), thrombose préexistante, hyperviscosité</w:t>
            </w:r>
          </w:p>
        </w:tc>
      </w:tr>
      <w:tr>
        <w:tc>
          <w:tcPr>
            <w:tcW w:type="dxa" w:w="2339"/>
          </w:tcPr>
          <w:p>
            <w:r>
              <w:rPr>
                <w:sz w:val="20"/>
              </w:rPr>
              <w:t>**Grossesse**</w:t>
            </w:r>
          </w:p>
        </w:tc>
        <w:tc>
          <w:tcPr>
            <w:tcW w:type="dxa" w:w="2339"/>
          </w:tcPr>
          <w:p>
            <w:r>
              <w:rPr>
                <w:sz w:val="20"/>
              </w:rPr>
              <w:t>À ÉVITER par principe (CI relative)</w:t>
            </w:r>
          </w:p>
        </w:tc>
        <w:tc>
          <w:tcPr>
            <w:tcW w:type="dxa" w:w="2339"/>
          </w:tcPr>
          <w:p>
            <w:r>
              <w:rPr>
                <w:sz w:val="20"/>
              </w:rPr>
              <w:t>À ÉVITER par principe (CI relative)</w:t>
            </w:r>
          </w:p>
        </w:tc>
        <w:tc>
          <w:tcPr>
            <w:tcW w:type="dxa" w:w="2339"/>
          </w:tcPr>
          <w:p>
            <w:r>
              <w:rPr>
                <w:sz w:val="20"/>
              </w:rPr>
              <w:t>GLOBALEMENT SÛRE — indiquée dans plusieurs situations obstétricales</w:t>
            </w:r>
          </w:p>
        </w:tc>
      </w:tr>
      <w:tr>
        <w:tc>
          <w:tcPr>
            <w:tcW w:type="dxa" w:w="2339"/>
          </w:tcPr>
          <w:p>
            <w:r>
              <w:rPr>
                <w:sz w:val="20"/>
              </w:rPr>
              <w:t>**Allaitement**</w:t>
            </w:r>
          </w:p>
        </w:tc>
        <w:tc>
          <w:tcPr>
            <w:tcW w:type="dxa" w:w="2339"/>
          </w:tcPr>
          <w:p>
            <w:r>
              <w:rPr>
                <w:sz w:val="20"/>
              </w:rPr>
              <w:t>À ÉVITER 8 semaines après</w:t>
            </w:r>
          </w:p>
        </w:tc>
        <w:tc>
          <w:tcPr>
            <w:tcW w:type="dxa" w:w="2339"/>
          </w:tcPr>
          <w:p>
            <w:r>
              <w:rPr>
                <w:sz w:val="20"/>
              </w:rPr>
              <w:t>CONTRE-INDICATION 6 mois après</w:t>
            </w:r>
          </w:p>
        </w:tc>
        <w:tc>
          <w:tcPr>
            <w:tcW w:type="dxa" w:w="2339"/>
          </w:tcPr>
          <w:p>
            <w:r>
              <w:rPr>
                <w:sz w:val="20"/>
              </w:rPr>
              <w:t>COMPATIBLE</w:t>
            </w:r>
          </w:p>
        </w:tc>
      </w:tr>
      <w:tr>
        <w:tc>
          <w:tcPr>
            <w:tcW w:type="dxa" w:w="2339"/>
          </w:tcPr>
          <w:p>
            <w:r>
              <w:rPr>
                <w:sz w:val="20"/>
              </w:rPr>
              <w:t>**Vaccins vivants**</w:t>
            </w:r>
          </w:p>
        </w:tc>
        <w:tc>
          <w:tcPr>
            <w:tcW w:type="dxa" w:w="2339"/>
          </w:tcPr>
          <w:p>
            <w:r>
              <w:rPr>
                <w:sz w:val="20"/>
              </w:rPr>
              <w:t>Contre-indiqués pendant et 8 semaines après</w:t>
            </w:r>
          </w:p>
        </w:tc>
        <w:tc>
          <w:tcPr>
            <w:tcW w:type="dxa" w:w="2339"/>
          </w:tcPr>
          <w:p>
            <w:r>
              <w:rPr>
                <w:sz w:val="20"/>
              </w:rPr>
              <w:t>Contre-indiqués pendant et 6 mois après</w:t>
            </w:r>
          </w:p>
        </w:tc>
        <w:tc>
          <w:tcPr>
            <w:tcW w:type="dxa" w:w="2339"/>
          </w:tcPr>
          <w:p>
            <w:r>
              <w:rPr>
                <w:sz w:val="20"/>
              </w:rPr>
              <w:t>Contre-indiqués dans les 3 mois après une dose immunomodulatrice de 2 g/kg</w:t>
            </w:r>
          </w:p>
        </w:tc>
      </w:tr>
      <w:tr>
        <w:tc>
          <w:tcPr>
            <w:tcW w:type="dxa" w:w="2339"/>
          </w:tcPr>
          <w:p>
            <w:r>
              <w:rPr>
                <w:sz w:val="20"/>
              </w:rPr>
              <w:t>**Délivrance**</w:t>
            </w:r>
          </w:p>
        </w:tc>
        <w:tc>
          <w:tcPr>
            <w:tcW w:type="dxa" w:w="2339"/>
          </w:tcPr>
          <w:p>
            <w:r>
              <w:rPr>
                <w:sz w:val="20"/>
              </w:rPr>
              <w:t>Hospitalière stricte (transplantation)</w:t>
            </w:r>
          </w:p>
        </w:tc>
        <w:tc>
          <w:tcPr>
            <w:tcW w:type="dxa" w:w="2339"/>
          </w:tcPr>
          <w:p>
            <w:r>
              <w:rPr>
                <w:sz w:val="20"/>
              </w:rPr>
              <w:t>Hospitalière stricte (transplantation, hématologie)</w:t>
            </w:r>
          </w:p>
        </w:tc>
        <w:tc>
          <w:tcPr>
            <w:tcW w:type="dxa" w:w="2339"/>
          </w:tcPr>
          <w:p>
            <w:r>
              <w:rPr>
                <w:sz w:val="20"/>
              </w:rPr>
              <w:t>Hospitalière stricte (traçabilité nominative MDS)</w:t>
            </w:r>
          </w:p>
        </w:tc>
      </w:tr>
      <w:tr>
        <w:tc>
          <w:tcPr>
            <w:tcW w:type="dxa" w:w="2339"/>
          </w:tcPr>
          <w:p>
            <w:r>
              <w:rPr>
                <w:sz w:val="20"/>
              </w:rPr>
              <w:t>**Conservation**</w:t>
            </w:r>
          </w:p>
        </w:tc>
        <w:tc>
          <w:tcPr>
            <w:tcW w:type="dxa" w:w="2339"/>
          </w:tcPr>
          <w:p>
            <w:r>
              <w:rPr>
                <w:sz w:val="20"/>
              </w:rPr>
              <w:t>2–8 °C (réfrigérateur, ne pas congeler)</w:t>
            </w:r>
          </w:p>
        </w:tc>
        <w:tc>
          <w:tcPr>
            <w:tcW w:type="dxa" w:w="2339"/>
          </w:tcPr>
          <w:p>
            <w:r>
              <w:rPr>
                <w:sz w:val="20"/>
              </w:rPr>
              <w:t>2–8 °C (réfrigérateur, ne pas congeler)</w:t>
            </w:r>
          </w:p>
        </w:tc>
        <w:tc>
          <w:tcPr>
            <w:tcW w:type="dxa" w:w="2339"/>
          </w:tcPr>
          <w:p>
            <w:r>
              <w:rPr>
                <w:sz w:val="20"/>
              </w:rPr>
              <w:t>2–8 °C (réfrigérateur, ne pas congeler)</w:t>
            </w:r>
          </w:p>
        </w:tc>
      </w:tr>
      <w:tr>
        <w:tc>
          <w:tcPr>
            <w:tcW w:type="dxa" w:w="2339"/>
          </w:tcPr>
          <w:p>
            <w:r>
              <w:rPr>
                <w:sz w:val="20"/>
              </w:rPr>
              <w:t>**Spécialités en Algérie**</w:t>
            </w:r>
          </w:p>
        </w:tc>
        <w:tc>
          <w:tcPr>
            <w:tcW w:type="dxa" w:w="2339"/>
          </w:tcPr>
          <w:p>
            <w:r>
              <w:rPr>
                <w:sz w:val="20"/>
              </w:rPr>
              <w:t>1 (SIMULECT, Novartis)</w:t>
            </w:r>
          </w:p>
        </w:tc>
        <w:tc>
          <w:tcPr>
            <w:tcW w:type="dxa" w:w="2339"/>
          </w:tcPr>
          <w:p>
            <w:r>
              <w:rPr>
                <w:sz w:val="20"/>
              </w:rPr>
              <w:t>1 (THYMOGLOBULINE, Genzyme/Sanofi)</w:t>
            </w:r>
          </w:p>
        </w:tc>
        <w:tc>
          <w:tcPr>
            <w:tcW w:type="dxa" w:w="2339"/>
          </w:tcPr>
          <w:p>
            <w:r>
              <w:rPr>
                <w:sz w:val="20"/>
              </w:rPr>
              <w:t>7 (KIOVIG, PRIVIGEN, FLEBOGAMMA DIF, CLAIRYG, INTRATECT, OCTAGAM, TELGENE)</w:t>
            </w:r>
          </w:p>
        </w:tc>
      </w:tr>
      <w:tr>
        <w:tc>
          <w:tcPr>
            <w:tcW w:type="dxa" w:w="2339"/>
          </w:tcPr>
          <w:p>
            <w:r>
              <w:rPr>
                <w:sz w:val="20"/>
              </w:rPr>
              <w:t>**Coût relatif**</w:t>
            </w:r>
          </w:p>
        </w:tc>
        <w:tc>
          <w:tcPr>
            <w:tcW w:type="dxa" w:w="2339"/>
          </w:tcPr>
          <w:p>
            <w:r>
              <w:rPr>
                <w:sz w:val="20"/>
              </w:rPr>
              <w:t>Modéré (2 doses)</w:t>
            </w:r>
          </w:p>
        </w:tc>
        <w:tc>
          <w:tcPr>
            <w:tcW w:type="dxa" w:w="2339"/>
          </w:tcPr>
          <w:p>
            <w:r>
              <w:rPr>
                <w:sz w:val="20"/>
              </w:rPr>
              <w:t>Élevé (7–14 doses)</w:t>
            </w:r>
          </w:p>
        </w:tc>
        <w:tc>
          <w:tcPr>
            <w:tcW w:type="dxa" w:w="2339"/>
          </w:tcPr>
          <w:p>
            <w:r>
              <w:rPr>
                <w:sz w:val="20"/>
              </w:rPr>
              <w:t>Très variable selon la spécialité et l'indication</w:t>
            </w:r>
          </w:p>
        </w:tc>
      </w:tr>
      <w:tr>
        <w:tc>
          <w:tcPr>
            <w:tcW w:type="dxa" w:w="2339"/>
          </w:tcPr>
          <w:p>
            <w:r>
              <w:rPr>
                <w:sz w:val="20"/>
              </w:rPr>
              <w:t>**Biosimilaire**</w:t>
            </w:r>
          </w:p>
        </w:tc>
        <w:tc>
          <w:tcPr>
            <w:tcW w:type="dxa" w:w="2339"/>
          </w:tcPr>
          <w:p>
            <w:r>
              <w:rPr>
                <w:sz w:val="20"/>
              </w:rPr>
              <w:t>Non disponible</w:t>
            </w:r>
          </w:p>
        </w:tc>
        <w:tc>
          <w:tcPr>
            <w:tcW w:type="dxa" w:w="2339"/>
          </w:tcPr>
          <w:p>
            <w:r>
              <w:rPr>
                <w:sz w:val="20"/>
              </w:rPr>
              <w:t>Non applicable (préparation animale polyclonale)</w:t>
            </w:r>
          </w:p>
        </w:tc>
        <w:tc>
          <w:tcPr>
            <w:tcW w:type="dxa" w:w="2339"/>
          </w:tcPr>
          <w:p>
            <w:r>
              <w:rPr>
                <w:sz w:val="20"/>
              </w:rPr>
              <w:t>Non applicable (MDS)</w:t>
            </w:r>
          </w:p>
        </w:tc>
      </w:tr>
    </w:tbl>
    <w:p/>
    <w:p>
      <w:pPr>
        <w:pStyle w:val="Heading2"/>
      </w:pPr>
      <w:r>
        <w:t>Conclusion du chapitre 172</w:t>
      </w:r>
    </w:p>
    <w:p>
      <w:r>
        <w:t xml:space="preserve">Les trois DCI traitées dans ce chapitre 172 (basiliximab, ATG, IgIV) couvrent l'essentiel de l'arsenal thérapeutique anti-rejet et immunomodulateur utilisé en transplantation et dans certaines maladies dysimmunitaires sévères. Le </w:t>
      </w:r>
      <w:r>
        <w:rPr>
          <w:b/>
        </w:rPr>
        <w:t>basiliximab</w:t>
      </w:r>
      <w:r>
        <w:t xml:space="preserve"> (anti-IL-2R chimérique non déplétant) reste l'inducteur de premier choix chez les patients à </w:t>
      </w:r>
      <w:r>
        <w:rPr>
          <w:b/>
        </w:rPr>
        <w:t>risque immunologique standard à modéré</w:t>
      </w:r>
      <w:r>
        <w:t xml:space="preserve"> en transplantation rénale, en raison de son profil coût-efficacité-tolérance favorable (2 doses, pas de syndrome de libération de cytokines, pas de myélosuppression, peu d'infections opportunistes). L'</w:t>
      </w:r>
      <w:r>
        <w:rPr>
          <w:b/>
        </w:rPr>
        <w:t>ATG de lapin</w:t>
      </w:r>
      <w:r>
        <w:t xml:space="preserve"> (Thymoglobuline) reste l'inducteur de référence chez les patients à </w:t>
      </w:r>
      <w:r>
        <w:rPr>
          <w:b/>
        </w:rPr>
        <w:t>haut risque immunologique</w:t>
      </w:r>
      <w:r>
        <w:t xml:space="preserve"> (PRA &gt; 50 %, retransplantation, DSA préformés) et le traitement de sauvetage du rejet aigu corticorésistant — au prix d'un profil de tolérance nettement moins favorable (syndrome de libération de cytokines, maladie sérique, cytopénies, infections opportunistes majeures, PTLD). Les </w:t>
      </w:r>
      <w:r>
        <w:rPr>
          <w:b/>
        </w:rPr>
        <w:t>IgIV</w:t>
      </w:r>
      <w:r>
        <w:t xml:space="preserve"> occupent une place transversale dans la désensibilisation pré-greffe, le traitement du rejet humoral aigu, la transplantation ABO-incompatible, et l'hypogammaglobulinémie post-greffe, en plus de leurs nombreuses indications hors transplantation (substitution des déficits immunitaires primitifs, immunomodulation en neurologie, hématologie, dermatologie, infectiologie).</w:t>
      </w:r>
    </w:p>
    <w:p>
      <w:r>
        <w:t>Le pharmacien d'officine algérien doit être en mesure d'identifier ces médicaments d'exception, de comprendre leur place dans l'arsenal thérapeutique de la transplantation, de surveiller la chaîne du froid pour les IgIV (conservation 2–8 °C, ne pas congeler, perfusion dans les 24 heures suivant la reconstitution), de reconnaître les principales interactions et contre-indications de chaque DCI (notamment les vaccins vivants — contre-indiqués chez tous les patients transplantés sous immunosuppresseurs), et d'orienter le patient vers l'équipe spécialisée en cas de signe d'alerte (fièvre, dyspnée, ecchymoses, ictère, urines foncées, céphalées intenses, faiblesse d'un membre). La coordination entre l'équipe hospitalière de transplantation, le médecin traitant, et le pharmacien d'officine est essentielle pour optimiser la prise en charge au long cours de ces patients fragiles et immunodéprimés.</w:t>
      </w:r>
    </w:p>
    <w:p>
      <w:pPr>
        <w:pStyle w:val="Heading1"/>
      </w:pPr>
      <w:r>
        <w:t>Fascicule XVIII — Immunologie / Transplantation</w:t>
      </w:r>
    </w:p>
    <w:p>
      <w:pPr>
        <w:pStyle w:val="Heading2"/>
      </w:pPr>
      <w:r>
        <w:t>Chapitre 173 — Immunoglobulines spécifiques et substituts plasmatiques</w:t>
      </w:r>
    </w:p>
    <w:p>
      <w:pPr>
        <w:pStyle w:val="Heading2"/>
      </w:pPr>
      <w:r>
        <w:t>Sommaire du chapitre</w:t>
      </w:r>
    </w:p>
    <w:p>
      <w:pPr>
        <w:pStyle w:val="ListBullet"/>
      </w:pPr>
      <w:r>
        <w:t>173.1. Introduction générale — Place des immunoglobulines spécifiques et substituts plasmatiques en pratique clinique algérienne</w:t>
      </w:r>
    </w:p>
    <w:p>
      <w:pPr>
        <w:pStyle w:val="ListBullet"/>
      </w:pPr>
      <w:r>
        <w:t>173.2. Sous-classe : Immunoglobulines spécifiques anti-D (Rhophylac)</w:t>
      </w:r>
    </w:p>
    <w:p>
      <w:pPr>
        <w:pStyle w:val="ListBullet"/>
      </w:pPr>
      <w:r>
        <w:t>173.3. Sous-classe : Immunoglobulines spécifiques anti-HBs (anti-hépatite B)</w:t>
      </w:r>
    </w:p>
    <w:p>
      <w:pPr>
        <w:pStyle w:val="ListBullet"/>
      </w:pPr>
      <w:r>
        <w:t>173.4. Sous-classe : Substituts plasmatiques — Albumine humaine</w:t>
      </w:r>
    </w:p>
    <w:p>
      <w:pPr>
        <w:pStyle w:val="ListBullet"/>
      </w:pPr>
      <w:r>
        <w:t>173.5. Sous-classe : Substituts plasmatiques — Facteurs de coagulation (complexe prothrombinique PCC)</w:t>
      </w:r>
    </w:p>
    <w:p>
      <w:pPr>
        <w:pStyle w:val="ListBullet"/>
      </w:pPr>
      <w:r>
        <w:t>173.6. Fiches DCI détaillées (4)</w:t>
      </w:r>
    </w:p>
    <w:p>
      <w:pPr>
        <w:pStyle w:val="ListBullet"/>
      </w:pPr>
      <w:r>
        <w:t>173.6.1. Immunoglobuline humaine anti-D (Rhophylac)</w:t>
      </w:r>
    </w:p>
    <w:p>
      <w:pPr>
        <w:pStyle w:val="ListBullet"/>
      </w:pPr>
      <w:r>
        <w:t>173.6.2. Immunoglobuline humaine anti-hépatite B (anti-HBs)</w:t>
      </w:r>
    </w:p>
    <w:p>
      <w:pPr>
        <w:pStyle w:val="ListBullet"/>
      </w:pPr>
      <w:r>
        <w:t>173.6.3. Albumine humaine</w:t>
      </w:r>
    </w:p>
    <w:p>
      <w:pPr>
        <w:pStyle w:val="ListBullet"/>
      </w:pPr>
      <w:r>
        <w:t>173.6.4. Complexe humain plasmatique prothrombinique (PCC)</w:t>
      </w:r>
    </w:p>
    <w:p>
      <w:pPr>
        <w:pStyle w:val="ListBullet"/>
      </w:pPr>
      <w:r>
        <w:t>173.7. Tableau comparatif des 4 DCI disponibles en Algérie</w:t>
      </w:r>
    </w:p>
    <w:p>
      <w:pPr>
        <w:pStyle w:val="ListBullet"/>
      </w:pPr>
      <w:r>
        <w:t>173.8. Synthèse pédagogique pour la pratique officinale et clinique algérienne</w:t>
      </w:r>
    </w:p>
    <w:p>
      <w:pPr>
        <w:pStyle w:val="ListBullet"/>
      </w:pPr>
      <w:r>
        <w:t>173.9. Conclusion du chapitre 173</w:t>
      </w:r>
    </w:p>
    <w:p>
      <w:pPr>
        <w:pStyle w:val="Heading2"/>
      </w:pPr>
      <w:r>
        <w:t>173.1. Introduction générale — Place des immunoglobulines spécifiques et substituts plasmatiques en pratique clinique algérienne</w:t>
      </w:r>
    </w:p>
    <w:p>
      <w:pPr>
        <w:pStyle w:val="Heading3"/>
      </w:pPr>
      <w:r>
        <w:t>1. Définition et cadre général</w:t>
      </w:r>
    </w:p>
    <w:p>
      <w:r>
        <w:t xml:space="preserve">Les </w:t>
      </w:r>
      <w:r>
        <w:rPr>
          <w:b/>
        </w:rPr>
        <w:t>produits sanguins stables (PSS)</w:t>
      </w:r>
      <w:r>
        <w:t xml:space="preserve"> constituent une famille hétérogène de médicaments dérivés du sang humain, obtenus par fractionnement plasmatique industriel selon les méthodes de </w:t>
      </w:r>
      <w:r>
        <w:rPr>
          <w:b/>
        </w:rPr>
        <w:t>Cohn</w:t>
      </w:r>
      <w:r>
        <w:t xml:space="preserve"> (cold ethanol precipitation) ou de </w:t>
      </w:r>
      <w:r>
        <w:rPr>
          <w:b/>
        </w:rPr>
        <w:t>chromatographie</w:t>
      </w:r>
      <w:r>
        <w:t xml:space="preserve"> moderne. Le présent chapitre 173 du Fascicule XVIII traite quatre classes d'exception utilisées en pratique hospitalière et ambulatoire algérienne :</w:t>
      </w:r>
    </w:p>
    <w:p>
      <w:pPr>
        <w:pStyle w:val="ListNumber"/>
      </w:pPr>
      <w:r/>
      <w:r>
        <w:rPr>
          <w:b/>
        </w:rPr>
        <w:t>Immunoglobulines spécifiques anti-D</w:t>
      </w:r>
      <w:r>
        <w:t xml:space="preserve"> (anti-Rh₀) — prévention de l'immunisation feto-maternelle anti-Rh.</w:t>
      </w:r>
    </w:p>
    <w:p>
      <w:pPr>
        <w:pStyle w:val="ListNumber"/>
      </w:pPr>
      <w:r/>
      <w:r>
        <w:rPr>
          <w:b/>
        </w:rPr>
        <w:t>Immunoglobulines spécifiques anti-HBs</w:t>
      </w:r>
      <w:r>
        <w:t xml:space="preserve"> (anti-hépatite B) — prophylaxie post-exposition au virus de l'hépatite B (VHB).</w:t>
      </w:r>
    </w:p>
    <w:p>
      <w:pPr>
        <w:pStyle w:val="ListNumber"/>
      </w:pPr>
      <w:r/>
      <w:r>
        <w:rPr>
          <w:b/>
        </w:rPr>
        <w:t>Albumine humaine</w:t>
      </w:r>
      <w:r>
        <w:t xml:space="preserve"> — substitut plasmatique oncotique, expansion volémique et transport macromoléculaire.</w:t>
      </w:r>
    </w:p>
    <w:p>
      <w:pPr>
        <w:pStyle w:val="ListNumber"/>
      </w:pPr>
      <w:r/>
      <w:r>
        <w:rPr>
          <w:b/>
        </w:rPr>
        <w:t>Complexe humain plasmatique prothrombinique (PCC)</w:t>
      </w:r>
      <w:r>
        <w:t xml:space="preserve"> — antidote spécifique du surdosage en antivitamines K (AVK).</w:t>
      </w:r>
    </w:p>
    <w:p>
      <w:r>
        <w:t xml:space="preserve">Ces produits se distinguent des immunoglobulines polyvalentes IV (IgIV, traitées au chapitre 172) par leur </w:t>
      </w:r>
      <w:r>
        <w:rPr>
          <w:b/>
        </w:rPr>
        <w:t>hyperimmunisation ciblée</w:t>
      </w:r>
      <w:r>
        <w:t xml:space="preserve"> : le plasma de collecte provient de donneurs sélectionnés pour leur titre élevé en anticorps spécifiques (anti-D, anti-HBs), ou, s'agissant de l'albumine et des facteurs de coagulation, par purification à partir de mélanges de plasma non sélectionnées.</w:t>
      </w:r>
    </w:p>
    <w:p>
      <w:pPr>
        <w:pStyle w:val="Heading3"/>
      </w:pPr>
      <w:r>
        <w:t>2. Contexte épidémiologique algérien</w:t>
      </w:r>
    </w:p>
    <w:p>
      <w:pPr>
        <w:pStyle w:val="ListBullet"/>
      </w:pPr>
      <w:r/>
      <w:r>
        <w:rPr>
          <w:b/>
        </w:rPr>
        <w:t>Incompatibilité feto-maternelle Rhésus D</w:t>
      </w:r>
      <w:r>
        <w:t xml:space="preserve"> : environ 15 % de la population caucasienne algérienne est Rhésus négatif (RhD−). Sur 900 000 naissances annuelles, environ 135 000 femmes RhD− accouchent chaque année, dont une proportion significative d'enfants RhD+ (≈ 60 %, soit près de 80 000 grossesses à risque d'immunisation anti-D). Le programme de prévention par immunoglobuline anti-D systématique à 28 SA et dans les 72 h post-partum reste inégalement appliqué hors des grands centres urbains.</w:t>
      </w:r>
    </w:p>
    <w:p>
      <w:pPr>
        <w:pStyle w:val="ListBullet"/>
      </w:pPr>
      <w:r/>
      <w:r>
        <w:rPr>
          <w:b/>
        </w:rPr>
        <w:t>Hépatite B</w:t>
      </w:r>
      <w:r>
        <w:t xml:space="preserve"> : la prévalence de l'antigène HBs en Algérie est estimée entre 2 et 4 % (zone de moyenne endémie OMS). La transmission verticale périnatale reste le mode principal de chronicisation (jusqu'à 90 % en l'absence de séroprophylaxie combinée vaccin + immunoglobulines). Le programme élargi de vaccination universelle des nouveau-nés (introduit en 2000 dans le calendrier vaccinal) reste incomplet dans les zones rurales.</w:t>
      </w:r>
    </w:p>
    <w:p>
      <w:pPr>
        <w:pStyle w:val="ListBullet"/>
      </w:pPr>
      <w:r/>
      <w:r>
        <w:rPr>
          <w:b/>
        </w:rPr>
        <w:t>Hypoalbuminémie critique</w:t>
      </w:r>
      <w:r>
        <w:t xml:space="preserve"> : les services de réanimation polyvalente, chirurgie lourde, hépatologie (cirrhose décompensée) et néphrologie (syndrome néphrotique) recourent largement à l'albumine humaine 20 %, en particulier pour les </w:t>
      </w:r>
      <w:r>
        <w:rPr>
          <w:b/>
        </w:rPr>
        <w:t>paracentèses abdominales évacuatrices &gt; 5 L</w:t>
      </w:r>
      <w:r>
        <w:t xml:space="preserve"> (prévention de l'hypovolémie circulaire post-paracentèse) et le </w:t>
      </w:r>
      <w:r>
        <w:rPr>
          <w:b/>
        </w:rPr>
        <w:t>purpura fulminans</w:t>
      </w:r>
      <w:r>
        <w:t>.</w:t>
      </w:r>
    </w:p>
    <w:p>
      <w:pPr>
        <w:pStyle w:val="ListBullet"/>
      </w:pPr>
      <w:r/>
      <w:r>
        <w:rPr>
          <w:b/>
        </w:rPr>
        <w:t>Antivitamines K (AVK)</w:t>
      </w:r>
      <w:r>
        <w:t xml:space="preserve"> : l'Algérie reste un pays d'usage élevé d'AVK (warfarine, acénocoumarol) pour la fibrillation auriculaire, les prothèses valvulaires mécaniques et la maladie thromboembolique veineuse. Le surdosage avec INR &gt; 5 compliqué d'hémorragie grave représente plusieurs milliers de cas annuels, justifiant l'accès au </w:t>
      </w:r>
      <w:r>
        <w:rPr>
          <w:b/>
        </w:rPr>
        <w:t>PCC (Octaplex)</w:t>
      </w:r>
      <w:r>
        <w:t xml:space="preserve"> comme antidote rapide en alternative à la vitamine K1 (phytoménadione) d'action lente (6-12 h).</w:t>
      </w:r>
    </w:p>
    <w:p>
      <w:pPr>
        <w:pStyle w:val="Heading3"/>
      </w:pPr>
      <w:r>
        <w:t>3. Sécurité infectieuse et fractionnement plasmatique</w:t>
      </w:r>
    </w:p>
    <w:p>
      <w:r>
        <w:t xml:space="preserve">Tous les produits sanguins stables disponibles en Algérie proviennent de </w:t>
      </w:r>
      <w:r>
        <w:rPr>
          <w:b/>
        </w:rPr>
        <w:t>plasma humain soumis à un double niveau de sécurité virale</w:t>
      </w:r>
      <w:r>
        <w:t xml:space="preserve"> :</w:t>
      </w:r>
    </w:p>
    <w:p>
      <w:pPr>
        <w:pStyle w:val="ListNumber"/>
      </w:pPr>
      <w:r/>
      <w:r>
        <w:rPr>
          <w:b/>
        </w:rPr>
        <w:t>Sélection des donneurs</w:t>
      </w:r>
      <w:r>
        <w:t xml:space="preserve"> et tests de qualification biologique du don (Trousse de dépistage : VIH 1/2 Ag+Ac, VHC Ac + ARN, VHB AgHBs + anti-HBc + ADN, HTLV I/II, syphilis TPHA-VDRL) — conformément aux recommandations OMS.</w:t>
      </w:r>
    </w:p>
    <w:p>
      <w:pPr>
        <w:pStyle w:val="ListNumber"/>
      </w:pPr>
      <w:r/>
      <w:r>
        <w:rPr>
          <w:b/>
        </w:rPr>
        <w:t>Inactivation virale</w:t>
      </w:r>
      <w:r>
        <w:t xml:space="preserve"> des fractions plasmatiques par :</w:t>
      </w:r>
    </w:p>
    <w:p>
      <w:pPr>
        <w:pStyle w:val="ListBullet"/>
      </w:pPr>
      <w:r/>
      <w:r>
        <w:rPr>
          <w:b/>
        </w:rPr>
        <w:t>Solvant-détergent (SD)</w:t>
      </w:r>
      <w:r>
        <w:t xml:space="preserve"> : inactivation des virus enveloppés (VIH, VHB, VHC).</w:t>
      </w:r>
    </w:p>
    <w:p>
      <w:pPr>
        <w:pStyle w:val="ListBullet"/>
      </w:pPr>
      <w:r/>
      <w:r>
        <w:rPr>
          <w:b/>
        </w:rPr>
        <w:t>Pasteurisation</w:t>
      </w:r>
      <w:r>
        <w:t xml:space="preserve"> (60 °C, 10 h) pour l'albumine humaine — étape obligatoire historique depuis les années 1940 (aucun cas d'infection virale documenté pour l'albumine pasteurisée).</w:t>
      </w:r>
    </w:p>
    <w:p>
      <w:pPr>
        <w:pStyle w:val="ListBullet"/>
      </w:pPr>
      <w:r/>
      <w:r>
        <w:rPr>
          <w:b/>
        </w:rPr>
        <w:t>Nanofiltration 15-20 nm</w:t>
      </w:r>
      <w:r>
        <w:t xml:space="preserve"> : élimination des virus non enveloppés (HAV, Parvovirus B19) pour les immunoglobulines et PCC.</w:t>
      </w:r>
    </w:p>
    <w:p>
      <w:r>
        <w:t xml:space="preserve">Les </w:t>
      </w:r>
      <w:r>
        <w:rPr>
          <w:b/>
        </w:rPr>
        <w:t>agents transmissibles non enveloppés</w:t>
      </w:r>
      <w:r>
        <w:t xml:space="preserve"> (HAV, B19, prions) restent toutefois un risque résiduel théorique pour les immunoglobulines et PCC. La traçabilité donneur-receveur est obligatoire et centralisée (registre national des produits sanguins du Centre National de Transfusion Sanguine — CNTS).</w:t>
      </w:r>
    </w:p>
    <w:p>
      <w:pPr>
        <w:pStyle w:val="Heading3"/>
      </w:pPr>
      <w:r>
        <w:t>4. Spécificités réglementaires algériennes</w:t>
      </w:r>
    </w:p>
    <w:p>
      <w:r>
        <w:t xml:space="preserve">Les immunoglobulines spécifiques et substituts plasmatiques sont classés en </w:t>
      </w:r>
      <w:r>
        <w:rPr>
          <w:b/>
        </w:rPr>
        <w:t>Liste I</w:t>
      </w:r>
      <w:r>
        <w:t xml:space="preserve"> (sur ordonnance) en Algérie. La délivrance est </w:t>
      </w:r>
      <w:r>
        <w:rPr>
          <w:b/>
        </w:rPr>
        <w:t>exclusivement hospitalière</w:t>
      </w:r>
      <w:r>
        <w:t xml:space="preserve"> pour le PCC (réservé aux services de réanimation, urgences, hématologie clinique) et la traçabilité nominative est obligatoire. L'albumine humaine 20 % peut être délivrée en officine de ville mais sur prescription médicale hospitalière dans la plupart des cas (circuit de pharmacie hospitalière).</w:t>
      </w:r>
    </w:p>
    <w:p>
      <w:r>
        <w:t xml:space="preserve">Les </w:t>
      </w:r>
      <w:r>
        <w:rPr>
          <w:b/>
        </w:rPr>
        <w:t>spécialités commercialisées</w:t>
      </w:r>
      <w:r>
        <w:t xml:space="preserve"> proviennent majoritairement de laboratoires étrangers : </w:t>
      </w:r>
      <w:r>
        <w:rPr>
          <w:b/>
        </w:rPr>
        <w:t>CSL Behring</w:t>
      </w:r>
      <w:r>
        <w:t xml:space="preserve"> (Allemagne), </w:t>
      </w:r>
      <w:r>
        <w:rPr>
          <w:b/>
        </w:rPr>
        <w:t>Baxter AG</w:t>
      </w:r>
      <w:r>
        <w:t xml:space="preserve"> (Autriche), </w:t>
      </w:r>
      <w:r>
        <w:rPr>
          <w:b/>
        </w:rPr>
        <w:t>Octapharma</w:t>
      </w:r>
      <w:r>
        <w:t xml:space="preserve"> (Autriche), </w:t>
      </w:r>
      <w:r>
        <w:rPr>
          <w:b/>
        </w:rPr>
        <w:t>Biotest Pharma</w:t>
      </w:r>
      <w:r>
        <w:t xml:space="preserve"> (Allemagne), </w:t>
      </w:r>
      <w:r>
        <w:rPr>
          <w:b/>
        </w:rPr>
        <w:t>LFB Biomédicaments</w:t>
      </w:r>
      <w:r>
        <w:t xml:space="preserve"> (France), </w:t>
      </w:r>
      <w:r>
        <w:rPr>
          <w:b/>
        </w:rPr>
        <w:t>Grifols</w:t>
      </w:r>
      <w:r>
        <w:t xml:space="preserve"> (Espagne), </w:t>
      </w:r>
      <w:r>
        <w:rPr>
          <w:b/>
        </w:rPr>
        <w:t>SK Plasma</w:t>
      </w:r>
      <w:r>
        <w:t xml:space="preserve"> (Corée du Sud), </w:t>
      </w:r>
      <w:r>
        <w:rPr>
          <w:b/>
        </w:rPr>
        <w:t>Bharat Serums</w:t>
      </w:r>
      <w:r>
        <w:t xml:space="preserve"> (Inde), </w:t>
      </w:r>
      <w:r>
        <w:rPr>
          <w:b/>
        </w:rPr>
        <w:t>Medicuba/Farmacuba</w:t>
      </w:r>
      <w:r>
        <w:t xml:space="preserve"> (Cuba). Aucune production locale algérienne d'immunoglobulines spécifiques n'existe à ce jour ; la production d'albumine est historiquement assurée par Saidal (CPCM) pour le marché public.</w:t>
      </w:r>
    </w:p>
    <w:p>
      <w:pPr>
        <w:pStyle w:val="Heading3"/>
      </w:pPr>
      <w:r>
        <w:t>5. Objectifs pédagogiques du chapitre 173</w:t>
      </w:r>
    </w:p>
    <w:p>
      <w:r>
        <w:t>À l'issue de ce chapitre, l'étudiant en pharmacie algérien doit être capable de :</w:t>
      </w:r>
    </w:p>
    <w:p>
      <w:pPr>
        <w:pStyle w:val="ListBullet"/>
      </w:pPr>
      <w:r>
        <w:t>Maîtriser les mécanismes moléculaires des immunoglobulines spécifiques (neutralisation antigénique, clearance splénique via FcγR) et des substituts plasmatiques (pression oncotique, apport de facteurs de coagulation).</w:t>
      </w:r>
    </w:p>
    <w:p>
      <w:pPr>
        <w:pStyle w:val="ListBullet"/>
      </w:pPr>
      <w:r>
        <w:t>Conduire le conseil pharmaceutique pour l'administration IM stricte de l'anti-D dans les 72 h post-accouchement, l'association vaccin + Ig anti-HBs à la naissance, la surveillance TA/diurèse sous albumine et l'antagonisation AVK par PCC avec monitoring INR.</w:t>
      </w:r>
    </w:p>
    <w:p>
      <w:pPr>
        <w:pStyle w:val="ListBullet"/>
      </w:pPr>
      <w:r>
        <w:t>Identifier les situations d'urgence vitale nécessitant le PCC (hémorragie sous AVK), l'albumine 20 % (purpura fulminans, hypovolémie réfractaire), et les erreurs fréquentes (voie IV de l'anti-D IM, surcharge volémique sous albumine).</w:t>
      </w:r>
    </w:p>
    <w:p>
      <w:pPr>
        <w:pStyle w:val="ListBullet"/>
      </w:pPr>
      <w:r>
        <w:t>Argumenter la prescription préventive systématique de l'anti-D chez toute femme RhD− à 28 SA et en post-partum immédiat.</w:t>
      </w:r>
    </w:p>
    <w:p>
      <w:pPr>
        <w:pStyle w:val="ListBullet"/>
      </w:pPr>
      <w:r>
        <w:t>Connaître les risques résiduels infectieux (théoriques) et le cadre réglementaire de traçabilité nominative.</w:t>
      </w:r>
    </w:p>
    <w:p>
      <w:pPr>
        <w:pStyle w:val="Heading2"/>
      </w:pPr>
      <w:r>
        <w:t>173.2. Sous-classe : Immunoglobulines spécifiques anti-D (Rhophylac)</w:t>
      </w:r>
    </w:p>
    <w:p>
      <w:pPr>
        <w:pStyle w:val="Heading3"/>
      </w:pPr>
      <w:r>
        <w:t>Définition pharmacologique</w:t>
      </w:r>
    </w:p>
    <w:p>
      <w:r>
        <w:t>Les immunoglobulines anti-D (anti-Rh₀) sont des préparations purifiées d'</w:t>
      </w:r>
      <w:r>
        <w:rPr>
          <w:b/>
        </w:rPr>
        <w:t>IgG polyclonales humaines dirigées spécifiquement contre l'antigène D du système Rhésus</w:t>
      </w:r>
      <w:r>
        <w:t xml:space="preserve">, obtenu à partir de plasma de donneurs immunisés (hommes RhD− volontaires immunisés contre l'antigène D, ou femmes RhD− déjà immunisées par grossesse). La concentration est exprimée en </w:t>
      </w:r>
      <w:r>
        <w:rPr>
          <w:b/>
        </w:rPr>
        <w:t>microgrammes (µg) d'IgG anti-D</w:t>
      </w:r>
      <w:r>
        <w:t xml:space="preserve"> ou en </w:t>
      </w:r>
      <w:r>
        <w:rPr>
          <w:b/>
        </w:rPr>
        <w:t>unités internationales (UI)</w:t>
      </w:r>
      <w:r>
        <w:t>, sachant que 1 µg d'IgG anti-D ≈ 5 UI (1500 UI = 300 µg).</w:t>
      </w:r>
    </w:p>
    <w:p>
      <w:pPr>
        <w:pStyle w:val="Heading3"/>
      </w:pPr>
      <w:r>
        <w:t>Mécanisme d'action</w:t>
      </w:r>
    </w:p>
    <w:p>
      <w:r>
        <w:t xml:space="preserve">Après injection IM (ou IV pour certaines formes), l'IgG anti-D se fixe sur les </w:t>
      </w:r>
      <w:r>
        <w:rPr>
          <w:b/>
        </w:rPr>
        <w:t>globules rouges RhD+ fœtaux</w:t>
      </w:r>
      <w:r>
        <w:t xml:space="preserve"> ayant gagné la circulation maternelle lors d'un traumatisme obstétrical, d'une FCS, d'un avortement, d'une amniocentèse ou de l'accouchement. Les globules rouges opsonisés sont </w:t>
      </w:r>
      <w:r>
        <w:rPr>
          <w:b/>
        </w:rPr>
        <w:t>phagocytés par les macrophages spléniques</w:t>
      </w:r>
      <w:r>
        <w:t xml:space="preserve"> via les récepteurs FcγR (FcγRI, FcγRIII), empêchant le contact direct entre les antigènes D fœtaux et les lymphocytes B maternels. Ce </w:t>
      </w:r>
      <w:r>
        <w:rPr>
          <w:b/>
        </w:rPr>
        <w:t>blocage immunogénique</w:t>
      </w:r>
      <w:r>
        <w:t xml:space="preserve"> prévient l'activation des lymphocytes B naïfs et la production d'anticorps anti-D maternels IgG (immunisation active). Le risque d'immunisation feto-maternelle RhD passe ainsi de </w:t>
      </w:r>
      <w:r>
        <w:rPr>
          <w:b/>
        </w:rPr>
        <w:t>12-16 %</w:t>
      </w:r>
      <w:r>
        <w:t xml:space="preserve"> (sans prophylaxie) à </w:t>
      </w:r>
      <w:r>
        <w:rPr>
          <w:b/>
        </w:rPr>
        <w:t>&lt; 0,1 %</w:t>
      </w:r>
      <w:r>
        <w:t xml:space="preserve"> (avec prophylaxie systématique à 28 SA + post-partum).</w:t>
      </w:r>
    </w:p>
    <w:p>
      <w:pPr>
        <w:pStyle w:val="Heading3"/>
      </w:pPr>
      <w:r>
        <w:t>Indications</w:t>
      </w:r>
    </w:p>
    <w:p>
      <w:pPr>
        <w:pStyle w:val="ListNumber"/>
      </w:pPr>
      <w:r/>
      <w:r>
        <w:rPr>
          <w:b/>
        </w:rPr>
        <w:t>Prophylaxie systématique anténatale</w:t>
      </w:r>
      <w:r>
        <w:t xml:space="preserve"> : 1500 UI (300 µg) IM à 28 SA chez toute femme RhD− non immunisée (recommandation HAS/ANSM, appliquée en Algérie depuis 2005).</w:t>
      </w:r>
    </w:p>
    <w:p>
      <w:pPr>
        <w:pStyle w:val="ListNumber"/>
      </w:pPr>
      <w:r/>
      <w:r>
        <w:rPr>
          <w:b/>
        </w:rPr>
        <w:t>Prophylaxie post-partum</w:t>
      </w:r>
      <w:r>
        <w:t xml:space="preserve"> : 1500 UI IM dans les </w:t>
      </w:r>
      <w:r>
        <w:rPr>
          <w:b/>
        </w:rPr>
        <w:t>72 heures</w:t>
      </w:r>
      <w:r>
        <w:t xml:space="preserve"> suivant l'accouchement d'un enfant RhD+ (ou ABO incompatible avec RhD+).</w:t>
      </w:r>
    </w:p>
    <w:p>
      <w:pPr>
        <w:pStyle w:val="ListNumber"/>
      </w:pPr>
      <w:r/>
      <w:r>
        <w:rPr>
          <w:b/>
        </w:rPr>
        <w:t>Prophylaxie post-événement immunogène</w:t>
      </w:r>
      <w:r>
        <w:t xml:space="preserve"> : FCS, IVG, GEU, môle hydatiforme, traumatisme abdominal, version par manœuvre externe, amniocentèse, biopsie de trophoblaste, hémorragie antepartum, mort fœtale in utero (posologie adaptée à l'âge gestationnel).</w:t>
      </w:r>
    </w:p>
    <w:p>
      <w:pPr>
        <w:pStyle w:val="ListNumber"/>
      </w:pPr>
      <w:r/>
      <w:r>
        <w:rPr>
          <w:b/>
        </w:rPr>
        <w:t>Prophylaxie après transfusion accidentelle RhD+ incompatible</w:t>
      </w:r>
      <w:r>
        <w:t xml:space="preserve"> chez sujet RhD− (posologie majorée, calculée selon le volume de sang transfusé).</w:t>
      </w:r>
    </w:p>
    <w:p>
      <w:pPr>
        <w:pStyle w:val="Heading3"/>
      </w:pPr>
      <w:r>
        <w:t>Spécialités algériennes disponibles</w:t>
      </w:r>
    </w:p>
    <w:p>
      <w:r>
        <w:t xml:space="preserve">Deux spécialités sont actuellement commercialisées en Algérie : </w:t>
      </w:r>
      <w:r>
        <w:rPr>
          <w:b/>
        </w:rPr>
        <w:t>RHOPHYLAC 300</w:t>
      </w:r>
      <w:r>
        <w:t xml:space="preserve"> (CSL Behring, seringue préremplie IM/IV 1500 UI) et </w:t>
      </w:r>
      <w:r>
        <w:rPr>
          <w:b/>
        </w:rPr>
        <w:t>RHOCLONE</w:t>
      </w:r>
      <w:r>
        <w:t xml:space="preserve"> (Bharat Serums, flacon 300 µg). Les spécialités </w:t>
      </w:r>
      <w:r>
        <w:rPr>
          <w:b/>
        </w:rPr>
        <w:t>IMMUNOGLOBULINE HUMAINE ANTI-D (Rho) Farmacuba</w:t>
      </w:r>
      <w:r>
        <w:t xml:space="preserve"> et </w:t>
      </w:r>
      <w:r>
        <w:rPr>
          <w:b/>
        </w:rPr>
        <w:t>PARTOBULIN SDF 1250 UI</w:t>
      </w:r>
      <w:r>
        <w:t xml:space="preserve"> sont respectivement en statut NON_RENOUVELABLE et RETRAIT.</w:t>
      </w:r>
    </w:p>
    <w:p>
      <w:pPr>
        <w:pStyle w:val="Heading3"/>
      </w:pPr>
      <w:r>
        <w:t>Points critiques cliniques</w:t>
      </w:r>
    </w:p>
    <w:p>
      <w:pPr>
        <w:pStyle w:val="ListBullet"/>
      </w:pPr>
      <w:r/>
      <w:r>
        <w:rPr>
          <w:b/>
        </w:rPr>
        <w:t>Voie IM stricte</w:t>
      </w:r>
      <w:r>
        <w:t xml:space="preserve"> (sauf spécialité explicite IV type Rhophylac qui admet la voie IV) ; ne jamais injecter IV avec une forme IM stricte (risque de choc anaphylactoïde).</w:t>
      </w:r>
    </w:p>
    <w:p>
      <w:pPr>
        <w:pStyle w:val="ListBullet"/>
      </w:pPr>
      <w:r/>
      <w:r>
        <w:rPr>
          <w:b/>
        </w:rPr>
        <w:t>Délai des 72 h post-partum</w:t>
      </w:r>
      <w:r>
        <w:t xml:space="preserve"> : au-delà, l'efficacité décroît rapidement (réduction de 50 % à 96 h).</w:t>
      </w:r>
    </w:p>
    <w:p>
      <w:pPr>
        <w:pStyle w:val="ListBullet"/>
      </w:pPr>
      <w:r/>
      <w:r>
        <w:rPr>
          <w:b/>
        </w:rPr>
        <w:t>Vérification du groupe sanguin mère-enfant</w:t>
      </w:r>
      <w:r>
        <w:t xml:space="preserve"> avant injection (RhD enfant +, Kell si nécessaire).</w:t>
      </w:r>
    </w:p>
    <w:p>
      <w:pPr>
        <w:pStyle w:val="ListBullet"/>
      </w:pPr>
      <w:r/>
      <w:r>
        <w:rPr>
          <w:b/>
        </w:rPr>
        <w:t>Recherche d'agglutinines irrégulières (RAI)</w:t>
      </w:r>
      <w:r>
        <w:t xml:space="preserve"> à 28 SA avant la prophylaxie systématique.</w:t>
      </w:r>
    </w:p>
    <w:p>
      <w:pPr>
        <w:pStyle w:val="ListBullet"/>
      </w:pPr>
      <w:r/>
      <w:r>
        <w:rPr>
          <w:b/>
        </w:rPr>
        <w:t>Compatibility pregnancy</w:t>
      </w:r>
      <w:r>
        <w:t xml:space="preserve"> : compatible avec l'allaitement (IgG excrétées en quantité minime dans le lait, dégradées par les protéases digestives infantiles).</w:t>
      </w:r>
    </w:p>
    <w:p>
      <w:pPr>
        <w:pStyle w:val="Heading2"/>
      </w:pPr>
      <w:r>
        <w:t>173.3. Sous-classe : Immunoglobulines spécifiques anti-HBs (anti-hépatite B)</w:t>
      </w:r>
    </w:p>
    <w:p>
      <w:pPr>
        <w:pStyle w:val="Heading3"/>
      </w:pPr>
      <w:r>
        <w:t>Définition pharmacologique</w:t>
      </w:r>
    </w:p>
    <w:p>
      <w:r>
        <w:t>Les immunoglobulines anti-hépatite B (IgHBs) sont des préparations purifiées d'</w:t>
      </w:r>
      <w:r>
        <w:rPr>
          <w:b/>
        </w:rPr>
        <w:t>IgG polyclonales humaines dirigées spécifiquement contre l'antigène de surface du virus de l'hépatite B (HBs)</w:t>
      </w:r>
      <w:r>
        <w:t xml:space="preserve">. Elles sont obtenues à partir de plasma de donneurs ayant développé une immunité anti-HBs (post-vaccinale ou post-infectieuse guérie) avec un titre d'anticorps élevé (≥ 100 UI/L). La concentration est exprimée en </w:t>
      </w:r>
      <w:r>
        <w:rPr>
          <w:b/>
        </w:rPr>
        <w:t>UI d'IgG anti-HBs par mL</w:t>
      </w:r>
      <w:r>
        <w:t>.</w:t>
      </w:r>
    </w:p>
    <w:p>
      <w:pPr>
        <w:pStyle w:val="Heading3"/>
      </w:pPr>
      <w:r>
        <w:t>Mécanisme d'action</w:t>
      </w:r>
    </w:p>
    <w:p>
      <w:r>
        <w:t xml:space="preserve">Les IgHBs assurent une </w:t>
      </w:r>
      <w:r>
        <w:rPr>
          <w:b/>
        </w:rPr>
        <w:t>immunisation passive immédiate</w:t>
      </w:r>
      <w:r>
        <w:t xml:space="preserve"> en neutralisant les particules virales VHB circulantes. Les anticorps anti-HBs se fixent sur l'antigène HBs viral, formant des complexes immuns éliminés par le </w:t>
      </w:r>
      <w:r>
        <w:rPr>
          <w:b/>
        </w:rPr>
        <w:t>système réticulo-endothélial</w:t>
      </w:r>
      <w:r>
        <w:t xml:space="preserve"> (macrophages spléniques et hépatiques via FcγR). Cette neutralisation empêche la fixation du virus aux récepteurs hépatocytaires (NTCP — sodium-taurocholate cotransporting polypeptide) et bloque la pénétration intracellulaire. La demi-vie des IgHBs est de </w:t>
      </w:r>
      <w:r>
        <w:rPr>
          <w:b/>
        </w:rPr>
        <w:t>21 à 25 jours</w:t>
      </w:r>
      <w:r>
        <w:t>, conférant une protection transitoire le temps que la vaccination active (immunisation active durable) développe ses propres anticorps.</w:t>
      </w:r>
    </w:p>
    <w:p>
      <w:pPr>
        <w:pStyle w:val="Heading3"/>
      </w:pPr>
      <w:r>
        <w:t>Indications</w:t>
      </w:r>
    </w:p>
    <w:p>
      <w:pPr>
        <w:pStyle w:val="ListNumber"/>
      </w:pPr>
      <w:r/>
      <w:r>
        <w:rPr>
          <w:b/>
        </w:rPr>
        <w:t>Prophylaxie post-exposition</w:t>
      </w:r>
      <w:r>
        <w:t xml:space="preserve"> chez sujet non vacciné ou non répondeur (anti-HBs &lt; 10 UI/L) :</w:t>
      </w:r>
    </w:p>
    <w:p>
      <w:pPr>
        <w:pStyle w:val="ListBullet"/>
      </w:pPr>
      <w:r>
        <w:t>Accident d'exposition au sang (AES) avec matériel contaminé VHB.</w:t>
      </w:r>
    </w:p>
    <w:p>
      <w:pPr>
        <w:pStyle w:val="ListBullet"/>
      </w:pPr>
      <w:r>
        <w:t>Rapport sexuel avec partenaire AgHBs+.</w:t>
      </w:r>
    </w:p>
    <w:p>
      <w:pPr>
        <w:pStyle w:val="ListBullet"/>
      </w:pPr>
      <w:r>
        <w:t>Nouveau-né de mère AgHBs+ (prévention de la transmission verticale).</w:t>
      </w:r>
    </w:p>
    <w:p>
      <w:pPr>
        <w:pStyle w:val="ListNumber"/>
      </w:pPr>
      <w:r/>
      <w:r>
        <w:rPr>
          <w:b/>
        </w:rPr>
        <w:t>Prophylaxie post-transplantation hépatique</w:t>
      </w:r>
      <w:r>
        <w:t xml:space="preserve"> chez les receveurs greffés pour cirrhose VHB : prévention de la réinfection du greffon (administration IV à vie ou selon protocole).</w:t>
      </w:r>
    </w:p>
    <w:p>
      <w:pPr>
        <w:pStyle w:val="ListNumber"/>
      </w:pPr>
      <w:r/>
      <w:r>
        <w:rPr>
          <w:b/>
        </w:rPr>
        <w:t>Prophylaxie per-transplantation</w:t>
      </w:r>
      <w:r>
        <w:t xml:space="preserve"> chez les receveurs de moelle osseuse ou de greffe d'organe solide non immunisés, donneur AgHBs+.</w:t>
      </w:r>
    </w:p>
    <w:p>
      <w:pPr>
        <w:pStyle w:val="Heading3"/>
      </w:pPr>
      <w:r>
        <w:t>Schéma thérapeutique de référence (nouveau-né de mère AgHBs+)</w:t>
      </w:r>
    </w:p>
    <w:p>
      <w:pPr>
        <w:pStyle w:val="ListBullet"/>
      </w:pPr>
      <w:r/>
      <w:r>
        <w:rPr>
          <w:b/>
        </w:rPr>
        <w:t>À la naissance (H0-H12)</w:t>
      </w:r>
      <w:r>
        <w:t xml:space="preserve"> : IgHBs 30 UI IM (cuisse antérolatérale) + 1ʳᵉ dose vaccinale VHB (10 µg IM, autre site).</w:t>
      </w:r>
    </w:p>
    <w:p>
      <w:pPr>
        <w:pStyle w:val="ListBullet"/>
      </w:pPr>
      <w:r/>
      <w:r>
        <w:rPr>
          <w:b/>
        </w:rPr>
        <w:t>À 1 mois</w:t>
      </w:r>
      <w:r>
        <w:t xml:space="preserve"> : 2ᵉ dose vaccinale VHB.</w:t>
      </w:r>
    </w:p>
    <w:p>
      <w:pPr>
        <w:pStyle w:val="ListBullet"/>
      </w:pPr>
      <w:r/>
      <w:r>
        <w:rPr>
          <w:b/>
        </w:rPr>
        <w:t>À 6 mois</w:t>
      </w:r>
      <w:r>
        <w:t xml:space="preserve"> : 3ᵉ dose vaccinale VHB.</w:t>
      </w:r>
    </w:p>
    <w:p>
      <w:pPr>
        <w:pStyle w:val="ListBullet"/>
      </w:pPr>
      <w:r/>
      <w:r>
        <w:rPr>
          <w:b/>
        </w:rPr>
        <w:t>Contrôle anti-HBs à 9-12 mois</w:t>
      </w:r>
      <w:r>
        <w:t xml:space="preserve"> : si titre &lt; 10 UI/L, rappel vaccinal.</w:t>
      </w:r>
    </w:p>
    <w:p>
      <w:r>
        <w:t xml:space="preserve">Ce schéma combiné (IgHBs + vaccin) réduit le risque de transmission verticale de </w:t>
      </w:r>
      <w:r>
        <w:rPr>
          <w:b/>
        </w:rPr>
        <w:t>90 %</w:t>
      </w:r>
      <w:r>
        <w:t xml:space="preserve"> (sans prophylaxie) à </w:t>
      </w:r>
      <w:r>
        <w:rPr>
          <w:b/>
        </w:rPr>
        <w:t>&lt; 5 %</w:t>
      </w:r>
      <w:r>
        <w:t>.</w:t>
      </w:r>
    </w:p>
    <w:p>
      <w:pPr>
        <w:pStyle w:val="Heading3"/>
      </w:pPr>
      <w:r>
        <w:t>Spécialités algériennes disponibles</w:t>
      </w:r>
    </w:p>
    <w:p>
      <w:r>
        <w:t>Quatre spécialités sont commercialisées :</w:t>
      </w:r>
    </w:p>
    <w:p>
      <w:pPr>
        <w:pStyle w:val="ListBullet"/>
      </w:pPr>
      <w:r/>
      <w:r>
        <w:rPr>
          <w:b/>
        </w:rPr>
        <w:t>HEPATECT CP</w:t>
      </w:r>
      <w:r>
        <w:t xml:space="preserve"> (Biotest Pharma) — solution pour perfusion IV, 50 UI/mL, flacons 2 mL et 100 mL.</w:t>
      </w:r>
    </w:p>
    <w:p>
      <w:pPr>
        <w:pStyle w:val="ListBullet"/>
      </w:pPr>
      <w:r/>
      <w:r>
        <w:rPr>
          <w:b/>
        </w:rPr>
        <w:t>FOVEPTA 200 UI</w:t>
      </w:r>
      <w:r>
        <w:t xml:space="preserve"> (Biotest Pharma) — seringue préremplie IM, 500 UI/mL, seringue 0,4 mL (200 UI).</w:t>
      </w:r>
    </w:p>
    <w:p>
      <w:pPr>
        <w:pStyle w:val="ListBullet"/>
      </w:pPr>
      <w:r/>
      <w:r>
        <w:rPr>
          <w:b/>
        </w:rPr>
        <w:t>HEPATITIS B IMMUNOGLOBULIN P BEHRING 200 UI/mL</w:t>
      </w:r>
      <w:r>
        <w:t xml:space="preserve"> (CSL Behring) — seringue préremplie IM 1 mL (200 UI).</w:t>
      </w:r>
    </w:p>
    <w:p>
      <w:pPr>
        <w:pStyle w:val="ListBullet"/>
      </w:pPr>
      <w:r/>
      <w:r>
        <w:rPr>
          <w:b/>
        </w:rPr>
        <w:t>HEPATITIS B IMMUNOGLOBULIN P BEHRING 1000 UI/5mL</w:t>
      </w:r>
      <w:r>
        <w:t xml:space="preserve"> (CSL Behring) — seringue préremplie IM 5 mL (1000 UI).</w:t>
      </w:r>
    </w:p>
    <w:p>
      <w:pPr>
        <w:pStyle w:val="Heading3"/>
      </w:pPr>
      <w:r>
        <w:t>Points critiques cliniques</w:t>
      </w:r>
    </w:p>
    <w:p>
      <w:pPr>
        <w:pStyle w:val="ListBullet"/>
      </w:pPr>
      <w:r/>
      <w:r>
        <w:rPr>
          <w:b/>
        </w:rPr>
        <w:t>Administration IM stricte</w:t>
      </w:r>
      <w:r>
        <w:t xml:space="preserve"> pour les formes IM (FOVEPTA, Hepatitis B P Behring) ; </w:t>
      </w:r>
      <w:r>
        <w:rPr>
          <w:b/>
        </w:rPr>
        <w:t>IV lente uniquement</w:t>
      </w:r>
      <w:r>
        <w:t xml:space="preserve"> pour HEPATECT CP (forme perfusion).</w:t>
      </w:r>
    </w:p>
    <w:p>
      <w:pPr>
        <w:pStyle w:val="ListBullet"/>
      </w:pPr>
      <w:r/>
      <w:r>
        <w:rPr>
          <w:b/>
        </w:rPr>
        <w:t>Délai ≤ 24 h</w:t>
      </w:r>
      <w:r>
        <w:t xml:space="preserve"> post-exposition (idéalement H0-H12 chez le nouveau-né) ; au-delà, efficacité moindre.</w:t>
      </w:r>
    </w:p>
    <w:p>
      <w:pPr>
        <w:pStyle w:val="ListBullet"/>
      </w:pPr>
      <w:r/>
      <w:r>
        <w:rPr>
          <w:b/>
        </w:rPr>
        <w:t>Sites d'injection séparés</w:t>
      </w:r>
      <w:r>
        <w:t xml:space="preserve"> ( IgHBs et vaccin VHB en sites différents, jamais mélangés dans la même seringue).</w:t>
      </w:r>
    </w:p>
    <w:p>
      <w:pPr>
        <w:pStyle w:val="ListBullet"/>
      </w:pPr>
      <w:r/>
      <w:r>
        <w:rPr>
          <w:b/>
        </w:rPr>
        <w:t>Vérification du statut vaccinal et du titre anti-HBs</w:t>
      </w:r>
      <w:r>
        <w:t xml:space="preserve"> du sujet exposé avant administration.</w:t>
      </w:r>
    </w:p>
    <w:p>
      <w:pPr>
        <w:pStyle w:val="ListBullet"/>
      </w:pPr>
      <w:r/>
      <w:r>
        <w:rPr>
          <w:b/>
        </w:rPr>
        <w:t>Prévention transmission verticale</w:t>
      </w:r>
      <w:r>
        <w:t xml:space="preserve"> : dépistage systématique AgHBs chez toute femme enceinte (obligatoire en Algérie au 3ᵉ mois).</w:t>
      </w:r>
    </w:p>
    <w:p>
      <w:pPr>
        <w:pStyle w:val="ListBullet"/>
      </w:pPr>
      <w:r/>
      <w:r>
        <w:rPr>
          <w:b/>
        </w:rPr>
        <w:t>Effets indésirables</w:t>
      </w:r>
      <w:r>
        <w:t xml:space="preserve"> : réactions locales (douleur, rougeur), réactions allergiques rares, douleurs articulaires transitoires.</w:t>
      </w:r>
    </w:p>
    <w:p>
      <w:pPr>
        <w:pStyle w:val="ListBullet"/>
      </w:pPr>
      <w:r/>
      <w:r>
        <w:rPr>
          <w:b/>
        </w:rPr>
        <w:t>Ne jamais dépasser la dose recommandée</w:t>
      </w:r>
      <w:r>
        <w:t xml:space="preserve"> (surcharge liquidienne, surtout chez prématuré).</w:t>
      </w:r>
    </w:p>
    <w:p>
      <w:pPr>
        <w:pStyle w:val="Heading2"/>
      </w:pPr>
      <w:r>
        <w:t>173.4. Sous-classe : Substituts plasmatiques — Albumine humaine</w:t>
      </w:r>
    </w:p>
    <w:p>
      <w:pPr>
        <w:pStyle w:val="Heading3"/>
      </w:pPr>
      <w:r>
        <w:t>Définition pharmacologique</w:t>
      </w:r>
    </w:p>
    <w:p>
      <w:r>
        <w:t xml:space="preserve">L'albumine humaine est une protéine plasmatique de </w:t>
      </w:r>
      <w:r>
        <w:rPr>
          <w:b/>
        </w:rPr>
        <w:t>66 500 Da</w:t>
      </w:r>
      <w:r>
        <w:t xml:space="preserve">, synthétisée par le foie (10-15 g/jour), représentant </w:t>
      </w:r>
      <w:r>
        <w:rPr>
          <w:b/>
        </w:rPr>
        <w:t>50-60 % des protéines plasmatiques</w:t>
      </w:r>
      <w:r>
        <w:t xml:space="preserve"> et assurant </w:t>
      </w:r>
      <w:r>
        <w:rPr>
          <w:b/>
        </w:rPr>
        <w:t>75-80 % de la pression oncotique</w:t>
      </w:r>
      <w:r>
        <w:t xml:space="preserve"> du plasma. La concentration physiologique est de </w:t>
      </w:r>
      <w:r>
        <w:rPr>
          <w:b/>
        </w:rPr>
        <w:t>35-50 g/L</w:t>
      </w:r>
      <w:r>
        <w:t xml:space="preserve">. Les spécialités pharmaceutiques d'albumine humaine sont obtenues par fractionnement Cohn du plasma pooled, </w:t>
      </w:r>
      <w:r>
        <w:rPr>
          <w:b/>
        </w:rPr>
        <w:t>pasteurisées à 60 °C pendant 10 heures</w:t>
      </w:r>
      <w:r>
        <w:t xml:space="preserve"> (inactivation virale totale) et disponibles à deux concentrations : </w:t>
      </w:r>
      <w:r>
        <w:rPr>
          <w:b/>
        </w:rPr>
        <w:t>4-5 %</w:t>
      </w:r>
      <w:r>
        <w:t xml:space="preserve"> (isotonique, hypooncotique) et </w:t>
      </w:r>
      <w:r>
        <w:rPr>
          <w:b/>
        </w:rPr>
        <w:t>20 %</w:t>
      </w:r>
      <w:r>
        <w:t xml:space="preserve"> (hypertonique, hyperoncotique). Seule la concentration 20 % est commercialisée en Algérie.</w:t>
      </w:r>
    </w:p>
    <w:p>
      <w:pPr>
        <w:pStyle w:val="Heading3"/>
      </w:pPr>
      <w:r>
        <w:t>Mécanisme d'action</w:t>
      </w:r>
    </w:p>
    <w:p>
      <w:r>
        <w:t>L'albumine humaine exerce trois effets pharmacologiques principaux :</w:t>
      </w:r>
    </w:p>
    <w:p>
      <w:pPr>
        <w:pStyle w:val="ListNumber"/>
      </w:pPr>
      <w:r/>
      <w:r>
        <w:rPr>
          <w:b/>
        </w:rPr>
        <w:t>Expansion volémique</w:t>
      </w:r>
      <w:r>
        <w:t xml:space="preserve"> : la pression oncotique qu'elle génère (≈ 25-30 mmHg) retient l'eau dans le compartiment vasculaire selon la loi de </w:t>
      </w:r>
      <w:r>
        <w:rPr>
          <w:b/>
        </w:rPr>
        <w:t>Starling</w:t>
      </w:r>
      <w:r>
        <w:t xml:space="preserve">. L'albumine 20 % (200 g/L) est </w:t>
      </w:r>
      <w:r>
        <w:rPr>
          <w:b/>
        </w:rPr>
        <w:t>hyperoncotique</w:t>
      </w:r>
      <w:r>
        <w:t xml:space="preserve"> vs plasma (40 g/L) : 1 gramme d'albumine retient environ </w:t>
      </w:r>
      <w:r>
        <w:rPr>
          <w:b/>
        </w:rPr>
        <w:t>18 mL d'eau</w:t>
      </w:r>
      <w:r>
        <w:t xml:space="preserve"> interstitielle, ce qui permet de mobiliser rapidement le liquide interstitiel vers le compartiment vasculaire (effet de "soustraction" tissulaire).</w:t>
      </w:r>
    </w:p>
    <w:p>
      <w:pPr>
        <w:pStyle w:val="ListNumber"/>
      </w:pPr>
      <w:r/>
      <w:r>
        <w:rPr>
          <w:b/>
        </w:rPr>
        <w:t>Transport macromoléculaire</w:t>
      </w:r>
      <w:r>
        <w:t xml:space="preserve"> : l'albumine transporte les acides gras libres, la bilirubine, les hormones thyroïdiennes, les ions métaux (Cu²⁺, Zn²⁺), et de nombreux médicaments (AINS, warfarine, diazépam, digitoxine). L'hypoalbuminémie augmente la fraction libre de ces médicaments et peut majorer leur toxicité.</w:t>
      </w:r>
    </w:p>
    <w:p>
      <w:pPr>
        <w:pStyle w:val="ListNumber"/>
      </w:pPr>
      <w:r/>
      <w:r>
        <w:rPr>
          <w:b/>
        </w:rPr>
        <w:t>Effet anti-oxydant et anti-inflammatoire</w:t>
      </w:r>
      <w:r>
        <w:t xml:space="preserve"> : l'albumine possède des groupes thiols (Cys-34) capables de piéger les radicaux libres et de neutraliser les espèces réactives de l'oxygène ; elle se lie également aux endotoxines bactériennes.</w:t>
      </w:r>
    </w:p>
    <w:p>
      <w:pPr>
        <w:pStyle w:val="Heading3"/>
      </w:pPr>
      <w:r>
        <w:t>Indications</w:t>
      </w:r>
    </w:p>
    <w:p>
      <w:pPr>
        <w:pStyle w:val="ListNumber"/>
      </w:pPr>
      <w:r/>
      <w:r>
        <w:rPr>
          <w:b/>
        </w:rPr>
        <w:t>Hypovolémie réfractaire</w:t>
      </w:r>
      <w:r>
        <w:t xml:space="preserve"> au remplissage par cristalloïdes (choc hémorragique après restauration de la masse globulaire, choc septique avec hypoalbuminémie marquée — recommandations Surviving Sepsis Campaign 2021 : albumine si hypoalbuminémie &lt; 30 g/L et choc persistant).</w:t>
      </w:r>
    </w:p>
    <w:p>
      <w:pPr>
        <w:pStyle w:val="ListNumber"/>
      </w:pPr>
      <w:r/>
      <w:r>
        <w:rPr>
          <w:b/>
        </w:rPr>
        <w:t>Hypoalbuminémie symptomatique</w:t>
      </w:r>
      <w:r>
        <w:t xml:space="preserve"> : cirrhose décompensée, syndrome néphrotique, entéropathies exsudatives, dénutrition sévère.</w:t>
      </w:r>
    </w:p>
    <w:p>
      <w:pPr>
        <w:pStyle w:val="ListNumber"/>
      </w:pPr>
      <w:r/>
      <w:r>
        <w:rPr>
          <w:b/>
        </w:rPr>
        <w:t>Prévention de l'hypovolémie post-paracentèse</w:t>
      </w:r>
      <w:r>
        <w:t xml:space="preserve"> : 6-8 g d'albumine 20 % par litre d'ascite évacuée au-delà de 5 L (recommandations EASL/Baveno VII).</w:t>
      </w:r>
    </w:p>
    <w:p>
      <w:pPr>
        <w:pStyle w:val="ListNumber"/>
      </w:pPr>
      <w:r/>
      <w:r>
        <w:rPr>
          <w:b/>
        </w:rPr>
        <w:t>Purpura fulminans</w:t>
      </w:r>
      <w:r>
        <w:t xml:space="preserve"> (méningococcémie, choc septique pédiatrique) : expansion volémique d'urgence.</w:t>
      </w:r>
    </w:p>
    <w:p>
      <w:pPr>
        <w:pStyle w:val="ListNumber"/>
      </w:pPr>
      <w:r/>
      <w:r>
        <w:rPr>
          <w:b/>
        </w:rPr>
        <w:t>Syndrome hépato-rénal (SHR)</w:t>
      </w:r>
      <w:r>
        <w:t xml:space="preserve"> : en association avec les vasoconstricteurs splanchniques (terlipressine, octréotide + midodrine) selon les recommandations EASL.</w:t>
      </w:r>
    </w:p>
    <w:p>
      <w:pPr>
        <w:pStyle w:val="ListNumber"/>
      </w:pPr>
      <w:r/>
      <w:r>
        <w:rPr>
          <w:b/>
        </w:rPr>
        <w:t>Œdème cérébral cirrhotique</w:t>
      </w:r>
      <w:r>
        <w:t xml:space="preserve"> et </w:t>
      </w:r>
      <w:r>
        <w:rPr>
          <w:b/>
        </w:rPr>
        <w:t>œdème aigu du poumon non cardiogénique</w:t>
      </w:r>
      <w:r>
        <w:t xml:space="preserve"> (rare).</w:t>
      </w:r>
    </w:p>
    <w:p>
      <w:pPr>
        <w:pStyle w:val="Heading3"/>
      </w:pPr>
      <w:r>
        <w:t>Contre-indications majeures</w:t>
      </w:r>
    </w:p>
    <w:p>
      <w:pPr>
        <w:pStyle w:val="ListBullet"/>
      </w:pPr>
      <w:r/>
      <w:r>
        <w:rPr>
          <w:b/>
        </w:rPr>
        <w:t>Insuffisance cardiaque sévère décompensée</w:t>
      </w:r>
      <w:r>
        <w:t xml:space="preserve"> (surcharge volémique).</w:t>
      </w:r>
    </w:p>
    <w:p>
      <w:pPr>
        <w:pStyle w:val="ListBullet"/>
      </w:pPr>
      <w:r/>
      <w:r>
        <w:rPr>
          <w:b/>
        </w:rPr>
        <w:t>Œdème aigu du poumon cardiogénique</w:t>
      </w:r>
      <w:r>
        <w:t xml:space="preserve"> (à l'exception des formes réfractaires au furosémide avec hypoalbuminémie).</w:t>
      </w:r>
    </w:p>
    <w:p>
      <w:pPr>
        <w:pStyle w:val="ListBullet"/>
      </w:pPr>
      <w:r/>
      <w:r>
        <w:rPr>
          <w:b/>
        </w:rPr>
        <w:t>Hypervolémie</w:t>
      </w:r>
      <w:r>
        <w:t xml:space="preserve"> ( HTA maligne, hypernatrémie).</w:t>
      </w:r>
    </w:p>
    <w:p>
      <w:pPr>
        <w:pStyle w:val="ListBullet"/>
      </w:pPr>
      <w:r/>
      <w:r>
        <w:rPr>
          <w:b/>
        </w:rPr>
        <w:t>Anémie ferriprive sévère</w:t>
      </w:r>
      <w:r>
        <w:t xml:space="preserve"> non corrigée (dilution).</w:t>
      </w:r>
    </w:p>
    <w:p>
      <w:pPr>
        <w:pStyle w:val="Heading3"/>
      </w:pPr>
      <w:r>
        <w:t>Spécialités algériennes disponibles</w:t>
      </w:r>
    </w:p>
    <w:p>
      <w:r>
        <w:t>Huit spécialités d'albumine humaine 20 % sont commercialisées en Algérie, dont 7 actives :</w:t>
      </w:r>
    </w:p>
    <w:tbl>
      <w:tblPr>
        <w:tblStyle w:val="LightGrid-Accent1"/>
        <w:tblW w:type="auto" w:w="0"/>
        <w:tblLook w:firstColumn="1" w:firstRow="1" w:lastColumn="0" w:lastRow="0" w:noHBand="0" w:noVBand="1" w:val="04A0"/>
      </w:tblPr>
      <w:tblGrid>
        <w:gridCol w:w="2339"/>
        <w:gridCol w:w="2339"/>
        <w:gridCol w:w="2339"/>
        <w:gridCol w:w="2339"/>
      </w:tblGrid>
      <w:tr>
        <w:tc>
          <w:tcPr>
            <w:tcW w:type="dxa" w:w="2339"/>
          </w:tcPr>
          <w:p>
            <w:r>
              <w:rPr>
                <w:b/>
                <w:sz w:val="20"/>
              </w:rPr>
              <w:t>Spécialité</w:t>
            </w:r>
          </w:p>
        </w:tc>
        <w:tc>
          <w:tcPr>
            <w:tcW w:type="dxa" w:w="2339"/>
          </w:tcPr>
          <w:p>
            <w:r>
              <w:rPr>
                <w:b/>
                <w:sz w:val="20"/>
              </w:rPr>
              <w:t>Laboratoire</w:t>
            </w:r>
          </w:p>
        </w:tc>
        <w:tc>
          <w:tcPr>
            <w:tcW w:type="dxa" w:w="2339"/>
          </w:tcPr>
          <w:p>
            <w:r>
              <w:rPr>
                <w:b/>
                <w:sz w:val="20"/>
              </w:rPr>
              <w:t>Forme</w:t>
            </w:r>
          </w:p>
        </w:tc>
        <w:tc>
          <w:tcPr>
            <w:tcW w:type="dxa" w:w="2339"/>
          </w:tcPr>
          <w:p>
            <w:r>
              <w:rPr>
                <w:b/>
                <w:sz w:val="20"/>
              </w:rPr>
              <w:t>Concentration</w:t>
            </w:r>
          </w:p>
        </w:tc>
      </w:tr>
      <w:tr>
        <w:tc>
          <w:tcPr>
            <w:tcW w:type="dxa" w:w="2339"/>
          </w:tcPr>
          <w:p>
            <w:r>
              <w:rPr>
                <w:sz w:val="20"/>
              </w:rPr>
              <w:t>ALBUMINE HUMAINE 20% BIOTEST</w:t>
            </w:r>
          </w:p>
        </w:tc>
        <w:tc>
          <w:tcPr>
            <w:tcW w:type="dxa" w:w="2339"/>
          </w:tcPr>
          <w:p>
            <w:r>
              <w:rPr>
                <w:sz w:val="20"/>
              </w:rPr>
              <w:t>Biotest Pharma</w:t>
            </w:r>
          </w:p>
        </w:tc>
        <w:tc>
          <w:tcPr>
            <w:tcW w:type="dxa" w:w="2339"/>
          </w:tcPr>
          <w:p>
            <w:r>
              <w:rPr>
                <w:sz w:val="20"/>
              </w:rPr>
              <w:t>Sol. perf. IV</w:t>
            </w:r>
          </w:p>
        </w:tc>
        <w:tc>
          <w:tcPr>
            <w:tcW w:type="dxa" w:w="2339"/>
          </w:tcPr>
          <w:p>
            <w:r>
              <w:rPr>
                <w:sz w:val="20"/>
              </w:rPr>
              <w:t>0,2 (20 %)</w:t>
            </w:r>
          </w:p>
        </w:tc>
      </w:tr>
      <w:tr>
        <w:tc>
          <w:tcPr>
            <w:tcW w:type="dxa" w:w="2339"/>
          </w:tcPr>
          <w:p>
            <w:r>
              <w:rPr>
                <w:sz w:val="20"/>
              </w:rPr>
              <w:t>SK ALBUMIN 20% INJECTION</w:t>
            </w:r>
          </w:p>
        </w:tc>
        <w:tc>
          <w:tcPr>
            <w:tcW w:type="dxa" w:w="2339"/>
          </w:tcPr>
          <w:p>
            <w:r>
              <w:rPr>
                <w:sz w:val="20"/>
              </w:rPr>
              <w:t>SK Plasma</w:t>
            </w:r>
          </w:p>
        </w:tc>
        <w:tc>
          <w:tcPr>
            <w:tcW w:type="dxa" w:w="2339"/>
          </w:tcPr>
          <w:p>
            <w:r>
              <w:rPr>
                <w:sz w:val="20"/>
              </w:rPr>
              <w:t>Sol. perf. IV</w:t>
            </w:r>
          </w:p>
        </w:tc>
        <w:tc>
          <w:tcPr>
            <w:tcW w:type="dxa" w:w="2339"/>
          </w:tcPr>
          <w:p>
            <w:r>
              <w:rPr>
                <w:sz w:val="20"/>
              </w:rPr>
              <w:t>0,2</w:t>
            </w:r>
          </w:p>
        </w:tc>
      </w:tr>
      <w:tr>
        <w:tc>
          <w:tcPr>
            <w:tcW w:type="dxa" w:w="2339"/>
          </w:tcPr>
          <w:p>
            <w:r>
              <w:rPr>
                <w:sz w:val="20"/>
              </w:rPr>
              <w:t>ALBUTEN 20%</w:t>
            </w:r>
          </w:p>
        </w:tc>
        <w:tc>
          <w:tcPr>
            <w:tcW w:type="dxa" w:w="2339"/>
          </w:tcPr>
          <w:p>
            <w:r>
              <w:rPr>
                <w:sz w:val="20"/>
              </w:rPr>
              <w:t>Instituto Grifols</w:t>
            </w:r>
          </w:p>
        </w:tc>
        <w:tc>
          <w:tcPr>
            <w:tcW w:type="dxa" w:w="2339"/>
          </w:tcPr>
          <w:p>
            <w:r>
              <w:rPr>
                <w:sz w:val="20"/>
              </w:rPr>
              <w:t>Sol. perf. IV</w:t>
            </w:r>
          </w:p>
        </w:tc>
        <w:tc>
          <w:tcPr>
            <w:tcW w:type="dxa" w:w="2339"/>
          </w:tcPr>
          <w:p>
            <w:r>
              <w:rPr>
                <w:sz w:val="20"/>
              </w:rPr>
              <w:t>0,2</w:t>
            </w:r>
          </w:p>
        </w:tc>
      </w:tr>
      <w:tr>
        <w:tc>
          <w:tcPr>
            <w:tcW w:type="dxa" w:w="2339"/>
          </w:tcPr>
          <w:p>
            <w:r>
              <w:rPr>
                <w:sz w:val="20"/>
              </w:rPr>
              <w:t>HUMAN ALBUMIN BAXTER</w:t>
            </w:r>
          </w:p>
        </w:tc>
        <w:tc>
          <w:tcPr>
            <w:tcW w:type="dxa" w:w="2339"/>
          </w:tcPr>
          <w:p>
            <w:r>
              <w:rPr>
                <w:sz w:val="20"/>
              </w:rPr>
              <w:t>Baxter AG</w:t>
            </w:r>
          </w:p>
        </w:tc>
        <w:tc>
          <w:tcPr>
            <w:tcW w:type="dxa" w:w="2339"/>
          </w:tcPr>
          <w:p>
            <w:r>
              <w:rPr>
                <w:sz w:val="20"/>
              </w:rPr>
              <w:t>Sol. inj. IV</w:t>
            </w:r>
          </w:p>
        </w:tc>
        <w:tc>
          <w:tcPr>
            <w:tcW w:type="dxa" w:w="2339"/>
          </w:tcPr>
          <w:p>
            <w:r>
              <w:rPr>
                <w:sz w:val="20"/>
              </w:rPr>
              <w:t>0,2</w:t>
            </w:r>
          </w:p>
        </w:tc>
      </w:tr>
      <w:tr>
        <w:tc>
          <w:tcPr>
            <w:tcW w:type="dxa" w:w="2339"/>
          </w:tcPr>
          <w:p>
            <w:r>
              <w:rPr>
                <w:sz w:val="20"/>
              </w:rPr>
              <w:t>VIALEBEX</w:t>
            </w:r>
          </w:p>
        </w:tc>
        <w:tc>
          <w:tcPr>
            <w:tcW w:type="dxa" w:w="2339"/>
          </w:tcPr>
          <w:p>
            <w:r>
              <w:rPr>
                <w:sz w:val="20"/>
              </w:rPr>
              <w:t>LFB Biomédicaments</w:t>
            </w:r>
          </w:p>
        </w:tc>
        <w:tc>
          <w:tcPr>
            <w:tcW w:type="dxa" w:w="2339"/>
          </w:tcPr>
          <w:p>
            <w:r>
              <w:rPr>
                <w:sz w:val="20"/>
              </w:rPr>
              <w:t>Sol. perf. IV</w:t>
            </w:r>
          </w:p>
        </w:tc>
        <w:tc>
          <w:tcPr>
            <w:tcW w:type="dxa" w:w="2339"/>
          </w:tcPr>
          <w:p>
            <w:r>
              <w:rPr>
                <w:sz w:val="20"/>
              </w:rPr>
              <w:t>0,2</w:t>
            </w:r>
          </w:p>
        </w:tc>
      </w:tr>
      <w:tr>
        <w:tc>
          <w:tcPr>
            <w:tcW w:type="dxa" w:w="2339"/>
          </w:tcPr>
          <w:p>
            <w:r>
              <w:rPr>
                <w:sz w:val="20"/>
              </w:rPr>
              <w:t>ALBUREL</w:t>
            </w:r>
          </w:p>
        </w:tc>
        <w:tc>
          <w:tcPr>
            <w:tcW w:type="dxa" w:w="2339"/>
          </w:tcPr>
          <w:p>
            <w:r>
              <w:rPr>
                <w:sz w:val="20"/>
              </w:rPr>
              <w:t>CPCM (Saidal)</w:t>
            </w:r>
          </w:p>
        </w:tc>
        <w:tc>
          <w:tcPr>
            <w:tcW w:type="dxa" w:w="2339"/>
          </w:tcPr>
          <w:p>
            <w:r>
              <w:rPr>
                <w:sz w:val="20"/>
              </w:rPr>
              <w:t>Sol. perf. IV</w:t>
            </w:r>
          </w:p>
        </w:tc>
        <w:tc>
          <w:tcPr>
            <w:tcW w:type="dxa" w:w="2339"/>
          </w:tcPr>
          <w:p>
            <w:r>
              <w:rPr>
                <w:sz w:val="20"/>
              </w:rPr>
              <w:t>20 g/100 mL</w:t>
            </w:r>
          </w:p>
        </w:tc>
      </w:tr>
      <w:tr>
        <w:tc>
          <w:tcPr>
            <w:tcW w:type="dxa" w:w="2339"/>
          </w:tcPr>
          <w:p>
            <w:r>
              <w:rPr>
                <w:sz w:val="20"/>
              </w:rPr>
              <w:t>HUMAN ALBUMIN BEHRING 20%</w:t>
            </w:r>
          </w:p>
        </w:tc>
        <w:tc>
          <w:tcPr>
            <w:tcW w:type="dxa" w:w="2339"/>
          </w:tcPr>
          <w:p>
            <w:r>
              <w:rPr>
                <w:sz w:val="20"/>
              </w:rPr>
              <w:t>CSL Behring</w:t>
            </w:r>
          </w:p>
        </w:tc>
        <w:tc>
          <w:tcPr>
            <w:tcW w:type="dxa" w:w="2339"/>
          </w:tcPr>
          <w:p>
            <w:r>
              <w:rPr>
                <w:sz w:val="20"/>
              </w:rPr>
              <w:t>Sol. perf. IV</w:t>
            </w:r>
          </w:p>
        </w:tc>
        <w:tc>
          <w:tcPr>
            <w:tcW w:type="dxa" w:w="2339"/>
          </w:tcPr>
          <w:p>
            <w:r>
              <w:rPr>
                <w:sz w:val="20"/>
              </w:rPr>
              <w:t>200 g/L</w:t>
            </w:r>
          </w:p>
        </w:tc>
      </w:tr>
      <w:tr>
        <w:tc>
          <w:tcPr>
            <w:tcW w:type="dxa" w:w="2339"/>
          </w:tcPr>
          <w:p>
            <w:r>
              <w:rPr>
                <w:sz w:val="20"/>
              </w:rPr>
              <w:t>ALBUMINE HUMAINE Medicuba</w:t>
            </w:r>
          </w:p>
        </w:tc>
        <w:tc>
          <w:tcPr>
            <w:tcW w:type="dxa" w:w="2339"/>
          </w:tcPr>
          <w:p>
            <w:r>
              <w:rPr>
                <w:sz w:val="20"/>
              </w:rPr>
              <w:t>Medicuba</w:t>
            </w:r>
          </w:p>
        </w:tc>
        <w:tc>
          <w:tcPr>
            <w:tcW w:type="dxa" w:w="2339"/>
          </w:tcPr>
          <w:p>
            <w:r>
              <w:rPr>
                <w:sz w:val="20"/>
              </w:rPr>
              <w:t>Sol. inj.</w:t>
            </w:r>
          </w:p>
        </w:tc>
        <w:tc>
          <w:tcPr>
            <w:tcW w:type="dxa" w:w="2339"/>
          </w:tcPr>
          <w:p>
            <w:r>
              <w:rPr>
                <w:sz w:val="20"/>
              </w:rPr>
              <w:t>0,2 — **RETRAIT**</w:t>
            </w:r>
          </w:p>
        </w:tc>
      </w:tr>
    </w:tbl>
    <w:p/>
    <w:p>
      <w:pPr>
        <w:pStyle w:val="Heading3"/>
      </w:pPr>
      <w:r>
        <w:t>Points critiques cliniques</w:t>
      </w:r>
    </w:p>
    <w:p>
      <w:pPr>
        <w:pStyle w:val="ListBullet"/>
      </w:pPr>
      <w:r/>
      <w:r>
        <w:rPr>
          <w:b/>
        </w:rPr>
        <w:t>Surveillance TA, FC, diurèse</w:t>
      </w:r>
      <w:r>
        <w:t xml:space="preserve"> pendant la perfusion (risque de surcharge volémique, surtout sujet âgé, IC, IR).</w:t>
      </w:r>
    </w:p>
    <w:p>
      <w:pPr>
        <w:pStyle w:val="ListBullet"/>
      </w:pPr>
      <w:r/>
      <w:r>
        <w:rPr>
          <w:b/>
        </w:rPr>
        <w:t>Débit de perfusion lent</w:t>
      </w:r>
      <w:r>
        <w:t xml:space="preserve"> : ≤ 1-2 mL/min pour albumine 20 % chez l'adulte (≤ 0,2 mL/kg/h chez l'enfant), jamais en bolus rapide sauf urgence vitale (purpura fulminans).</w:t>
      </w:r>
    </w:p>
    <w:p>
      <w:pPr>
        <w:pStyle w:val="ListBullet"/>
      </w:pPr>
      <w:r/>
      <w:r>
        <w:rPr>
          <w:b/>
        </w:rPr>
        <w:t>Voie IV stricte</w:t>
      </w:r>
      <w:r>
        <w:t xml:space="preserve"> — ne jamais injecter IM (nécrose tissulaire, douleur intense).</w:t>
      </w:r>
    </w:p>
    <w:p>
      <w:pPr>
        <w:pStyle w:val="ListBullet"/>
      </w:pPr>
      <w:r/>
      <w:r>
        <w:rPr>
          <w:b/>
        </w:rPr>
        <w:t>Vérification de l'aspect</w:t>
      </w:r>
      <w:r>
        <w:t xml:space="preserve"> : solution limpide ; si trouble ou flocons, ne pas utiliser (risque de précipitation).</w:t>
      </w:r>
    </w:p>
    <w:p>
      <w:pPr>
        <w:pStyle w:val="ListBullet"/>
      </w:pPr>
      <w:r/>
      <w:r>
        <w:rPr>
          <w:b/>
        </w:rPr>
        <w:t>Surveillance ionogramme</w:t>
      </w:r>
      <w:r>
        <w:t xml:space="preserve"> (hyponatrémie de dilution, hypokaliémie).</w:t>
      </w:r>
    </w:p>
    <w:p>
      <w:pPr>
        <w:pStyle w:val="ListBullet"/>
      </w:pPr>
      <w:r/>
      <w:r>
        <w:rPr>
          <w:b/>
        </w:rPr>
        <w:t>Ne pas mélanger</w:t>
      </w:r>
      <w:r>
        <w:t xml:space="preserve"> avec médicaments autres que NaCl 0,9 % ou glucosé 5 % (compatibilité limitée — éviter hydrolysat de protéines, émulsions lipidiques, amino-acides).</w:t>
      </w:r>
    </w:p>
    <w:p>
      <w:pPr>
        <w:pStyle w:val="Heading2"/>
      </w:pPr>
      <w:r>
        <w:t>173.5. Sous-classe : Substituts plasmatiques — Facteurs de coagulation (complexe prothrombinique PCC)</w:t>
      </w:r>
    </w:p>
    <w:p>
      <w:pPr>
        <w:pStyle w:val="Heading3"/>
      </w:pPr>
      <w:r>
        <w:t>Définition pharmacologique</w:t>
      </w:r>
    </w:p>
    <w:p>
      <w:r>
        <w:t xml:space="preserve">Le </w:t>
      </w:r>
      <w:r>
        <w:rPr>
          <w:b/>
        </w:rPr>
        <w:t>complexe humain plasmatique prothrombinique (PCC)</w:t>
      </w:r>
      <w:r>
        <w:t xml:space="preserve"> — en anglais </w:t>
      </w:r>
      <w:r>
        <w:rPr>
          <w:i/>
        </w:rPr>
        <w:t>Prothrombin Complex Concentrate</w:t>
      </w:r>
      <w:r>
        <w:t xml:space="preserve"> — est une préparation purifiée contenant les </w:t>
      </w:r>
      <w:r>
        <w:rPr>
          <w:b/>
        </w:rPr>
        <w:t>facteurs de coagulation vitamine-K dépendants</w:t>
      </w:r>
      <w:r>
        <w:t xml:space="preserve"> : </w:t>
      </w:r>
      <w:r>
        <w:rPr>
          <w:b/>
        </w:rPr>
        <w:t>facteur II (prothrombine), facteur VII (proconvertine), facteur IX (Christmas) et facteur X (Stuart-Power)</w:t>
      </w:r>
      <w:r>
        <w:t xml:space="preserve">. Certaines spécialités contiennent en plus les </w:t>
      </w:r>
      <w:r>
        <w:rPr>
          <w:b/>
        </w:rPr>
        <w:t>protéines inhibitrices C et S</w:t>
      </w:r>
      <w:r>
        <w:t xml:space="preserve"> (PCC à 4 facteurs dit "4F-PCC"), conférant une meilleure tolérance thrombotique. La concentration est exprimée en </w:t>
      </w:r>
      <w:r>
        <w:rPr>
          <w:b/>
        </w:rPr>
        <w:t>UI de facteur IX</w:t>
      </w:r>
      <w:r>
        <w:t xml:space="preserve"> (1 UI = quantité de facteur IX présente dans 1 mL de plasma normal poolé).</w:t>
      </w:r>
    </w:p>
    <w:p>
      <w:pPr>
        <w:pStyle w:val="Heading3"/>
      </w:pPr>
      <w:r>
        <w:t>Mécanisme d'action</w:t>
      </w:r>
    </w:p>
    <w:p>
      <w:r>
        <w:t xml:space="preserve">Les facteurs II, VII, IX et X sont des </w:t>
      </w:r>
      <w:r>
        <w:rPr>
          <w:b/>
        </w:rPr>
        <w:t>zymogènes</w:t>
      </w:r>
      <w:r>
        <w:t xml:space="preserve"> synthétisés par le foie en présence de vitamine K (cycle de la γ-carboxylation par la γ-carboxylase vit-K dépendante). Les AVK (warfarine, acénocoumarol, fluindione) inhibent l'époxide-réductase vitamine-K, empêchant la régénération de la vitamine K active et donc la γ-carboxylation des facteurs II/VII/IX/X + protéines C/S. La demi-vie des facteurs carboxylés étant variable (FII : 60-72 h, FVII : 6 h, FIX : 24 h, FX : 40 h), l'effet AVK persiste plusieurs jours après arrêt.</w:t>
      </w:r>
    </w:p>
    <w:p>
      <w:r>
        <w:t xml:space="preserve">Le PCC apporte directement les facteurs </w:t>
      </w:r>
      <w:r>
        <w:rPr>
          <w:b/>
        </w:rPr>
        <w:t>déjà carboxylés et fonctionnels</w:t>
      </w:r>
      <w:r>
        <w:t xml:space="preserve">, contournant le blocage AVK. L'effet est </w:t>
      </w:r>
      <w:r>
        <w:rPr>
          <w:b/>
        </w:rPr>
        <w:t>immédiat</w:t>
      </w:r>
      <w:r>
        <w:t xml:space="preserve"> (en 10-30 minutes après perfusion IV) et permet de corriger l'INR d'une valeur &gt; 5 à une valeur ≤ 1,5 en moins de 30 minutes, contre 6-24 heures pour la vitamine K1 orale et 2-4 heures pour la vitamine K1 IV. Cette rapidité justifie son utilisation en </w:t>
      </w:r>
      <w:r>
        <w:rPr>
          <w:b/>
        </w:rPr>
        <w:t>urgence hémorragique vitale</w:t>
      </w:r>
      <w:r>
        <w:t xml:space="preserve"> sous AVK.</w:t>
      </w:r>
    </w:p>
    <w:p>
      <w:pPr>
        <w:pStyle w:val="Heading3"/>
      </w:pPr>
      <w:r>
        <w:t>Indications</w:t>
      </w:r>
    </w:p>
    <w:p>
      <w:pPr>
        <w:pStyle w:val="ListNumber"/>
      </w:pPr>
      <w:r/>
      <w:r>
        <w:rPr>
          <w:b/>
        </w:rPr>
        <w:t>Antagonisation d'urgence des AVK</w:t>
      </w:r>
      <w:r>
        <w:t xml:space="preserve"> en cas d'hémorragie grave ou mettant en jeu le pronostic vital : hémorragie cérébrale, hématome compressif, hémorragie digestive active, hémorragie rétro-péritonéale, choc hémorragique.</w:t>
      </w:r>
    </w:p>
    <w:p>
      <w:pPr>
        <w:pStyle w:val="ListNumber"/>
      </w:pPr>
      <w:r/>
      <w:r>
        <w:rPr>
          <w:b/>
        </w:rPr>
        <w:t>Surdosage massif en AVK</w:t>
      </w:r>
      <w:r>
        <w:t xml:space="preserve"> avec INR très élevé (&gt; 10) même en l'absence d'hémorragie active (selon protocole).</w:t>
      </w:r>
    </w:p>
    <w:p>
      <w:pPr>
        <w:pStyle w:val="ListNumber"/>
      </w:pPr>
      <w:r/>
      <w:r>
        <w:rPr>
          <w:b/>
        </w:rPr>
        <w:t>Correction rapide de l'INR avant chirurgie urgente</w:t>
      </w:r>
      <w:r>
        <w:t xml:space="preserve"> chez patient sous AVK (chirurgie cardiaque, neurochirurgie).</w:t>
      </w:r>
    </w:p>
    <w:p>
      <w:pPr>
        <w:pStyle w:val="ListNumber"/>
      </w:pPr>
      <w:r/>
      <w:r>
        <w:rPr>
          <w:b/>
        </w:rPr>
        <w:t>Hémophilie B (déficit congénital en facteur IX)</w:t>
      </w:r>
      <w:r>
        <w:t xml:space="preserve"> : alternative au facteur IX recombinant en cas de non-disponibilité.</w:t>
      </w:r>
    </w:p>
    <w:p>
      <w:pPr>
        <w:pStyle w:val="ListNumber"/>
      </w:pPr>
      <w:r/>
      <w:r>
        <w:rPr>
          <w:b/>
        </w:rPr>
        <w:t>Déficit acquis en facteur II, VII, IX, X</w:t>
      </w:r>
      <w:r>
        <w:t xml:space="preserve"> (insuffisance hépatocellulaire sévère, avitaminose K, malabsorption) — indication de seconde intention.</w:t>
      </w:r>
    </w:p>
    <w:p>
      <w:pPr>
        <w:pStyle w:val="Heading3"/>
      </w:pPr>
      <w:r>
        <w:t>Posologie</w:t>
      </w:r>
    </w:p>
    <w:p>
      <w:pPr>
        <w:pStyle w:val="ListBullet"/>
      </w:pPr>
      <w:r>
        <w:t xml:space="preserve">Dose usuelle : </w:t>
      </w:r>
      <w:r>
        <w:rPr>
          <w:b/>
        </w:rPr>
        <w:t>25-50 UI/kg</w:t>
      </w:r>
      <w:r>
        <w:t xml:space="preserve"> en IV lente (perfusion sur 5-10 minutes) pour antagonisation AVK avec INR cible ≤ 1,5.</w:t>
      </w:r>
    </w:p>
    <w:p>
      <w:pPr>
        <w:pStyle w:val="ListBullet"/>
      </w:pPr>
      <w:r>
        <w:t>Dose adaptée au poids et à l'INR initial : pour INR 2-4 → 25 UI/kg ; pour INR 4-6 → 35 UI/kg ; pour INR &gt; 6 → 50 UI/kg.</w:t>
      </w:r>
    </w:p>
    <w:p>
      <w:pPr>
        <w:pStyle w:val="ListBullet"/>
      </w:pPr>
      <w:r/>
      <w:r>
        <w:rPr>
          <w:b/>
        </w:rPr>
        <w:t>Association systématique avec vitamine K1</w:t>
      </w:r>
      <w:r>
        <w:t xml:space="preserve"> (10 mg IV ou per os) pour éviter la levée d'effet du PCC à 6-8 h (la vitamine K1 assure la synthèse endogène des facteurs AVK-dépendants).</w:t>
      </w:r>
    </w:p>
    <w:p>
      <w:pPr>
        <w:pStyle w:val="Heading3"/>
      </w:pPr>
      <w:r>
        <w:t>Contre-indications</w:t>
      </w:r>
    </w:p>
    <w:p>
      <w:pPr>
        <w:pStyle w:val="ListBullet"/>
      </w:pPr>
      <w:r/>
      <w:r>
        <w:rPr>
          <w:b/>
        </w:rPr>
        <w:t>Thrombose aiguë</w:t>
      </w:r>
      <w:r>
        <w:t xml:space="preserve"> (infarctus du myocarde récent, AVC ischémique récent, embolie pulmonaire).</w:t>
      </w:r>
    </w:p>
    <w:p>
      <w:pPr>
        <w:pStyle w:val="ListBullet"/>
      </w:pPr>
      <w:r/>
      <w:r>
        <w:rPr>
          <w:b/>
        </w:rPr>
        <w:t>Coagulopathie de consommation</w:t>
      </w:r>
      <w:r>
        <w:t xml:space="preserve"> (CIVD) sauf si hémorragie grave menaçante.</w:t>
      </w:r>
    </w:p>
    <w:p>
      <w:pPr>
        <w:pStyle w:val="ListBullet"/>
      </w:pPr>
      <w:r/>
      <w:r>
        <w:rPr>
          <w:b/>
        </w:rPr>
        <w:t>Allaitement</w:t>
      </w:r>
      <w:r>
        <w:t xml:space="preserve"> : à évaluer selon le rapport bénéfice/risque.</w:t>
      </w:r>
    </w:p>
    <w:p>
      <w:pPr>
        <w:pStyle w:val="ListBullet"/>
      </w:pPr>
      <w:r/>
      <w:r>
        <w:rPr>
          <w:b/>
        </w:rPr>
        <w:t>Hypersensibilité</w:t>
      </w:r>
      <w:r>
        <w:t xml:space="preserve"> connue aux protéines plasmatiques humaines.</w:t>
      </w:r>
    </w:p>
    <w:p>
      <w:pPr>
        <w:pStyle w:val="Heading3"/>
      </w:pPr>
      <w:r>
        <w:t>Spécialité algérienne disponible</w:t>
      </w:r>
    </w:p>
    <w:p>
      <w:r/>
      <w:r>
        <w:rPr>
          <w:b/>
        </w:rPr>
        <w:t>OCTAPLEX</w:t>
      </w:r>
      <w:r>
        <w:t xml:space="preserve"> (Octapharma Pharmazeutika, Autriche) — Poudre + solvant pour solution pour perfusion, </w:t>
      </w:r>
      <w:r>
        <w:rPr>
          <w:b/>
        </w:rPr>
        <w:t>500 UI</w:t>
      </w:r>
      <w:r>
        <w:t xml:space="preserve"> (4 facteurs), flacon de poudre + flacon solvant 20 mL. Liste I. Statut ACTIF. Spécialité de 4 facteurs (4F-PCC) contenant les facteurs II, VII, IX, X + protéines C et S, avec héparine (attention si allergie à l'héparine — PDT/Thrombopénie induite par l'héparine TIH).</w:t>
      </w:r>
    </w:p>
    <w:p>
      <w:pPr>
        <w:pStyle w:val="Heading3"/>
      </w:pPr>
      <w:r>
        <w:t>Points critiques cliniques</w:t>
      </w:r>
    </w:p>
    <w:p>
      <w:pPr>
        <w:pStyle w:val="ListBullet"/>
      </w:pPr>
      <w:r/>
      <w:r>
        <w:rPr>
          <w:b/>
        </w:rPr>
        <w:t>Risque thromboembolique</w:t>
      </w:r>
      <w:r>
        <w:t xml:space="preserve"> : 2-5 % des cas (thrombose veineuse profonde, embolie pulmonaire, AVC ischémique, infarctus du myocarde, surtout en cas de dose &gt; 50 UI/kg, sujet âgé, cancer, antécédent thromboembolique).</w:t>
      </w:r>
    </w:p>
    <w:p>
      <w:pPr>
        <w:pStyle w:val="ListBullet"/>
      </w:pPr>
      <w:r/>
      <w:r>
        <w:rPr>
          <w:b/>
        </w:rPr>
        <w:t>Surveillance INR</w:t>
      </w:r>
      <w:r>
        <w:t xml:space="preserve"> toutes les 30 minutes après perfusion puis à 6 h, 12 h, 24 h (effet transitoire du PCC, levée en 6-8 h justifiant la vitamine K1 associée).</w:t>
      </w:r>
    </w:p>
    <w:p>
      <w:pPr>
        <w:pStyle w:val="ListBullet"/>
      </w:pPr>
      <w:r/>
      <w:r>
        <w:rPr>
          <w:b/>
        </w:rPr>
        <w:t>Administration IV lente</w:t>
      </w:r>
      <w:r>
        <w:t xml:space="preserve"> : ne pas dépasser 2-3 UI/kg/min (soit ≈ 100 UI/min chez adulte) — risque de choc anaphylactoïde si perfusion rapide.</w:t>
      </w:r>
    </w:p>
    <w:p>
      <w:pPr>
        <w:pStyle w:val="ListBullet"/>
      </w:pPr>
      <w:r/>
      <w:r>
        <w:rPr>
          <w:b/>
        </w:rPr>
        <w:t>Surveillance ECG</w:t>
      </w:r>
      <w:r>
        <w:t xml:space="preserve"> : risque de thrombose coronaire.</w:t>
      </w:r>
    </w:p>
    <w:p>
      <w:pPr>
        <w:pStyle w:val="ListBullet"/>
      </w:pPr>
      <w:r/>
      <w:r>
        <w:rPr>
          <w:b/>
        </w:rPr>
        <w:t>Surveillance D-dimères</w:t>
      </w:r>
      <w:r>
        <w:t xml:space="preserve"> et complexes solubles (CIVD déclenchée).</w:t>
      </w:r>
    </w:p>
    <w:p>
      <w:pPr>
        <w:pStyle w:val="ListBullet"/>
      </w:pPr>
      <w:r/>
      <w:r>
        <w:rPr>
          <w:b/>
        </w:rPr>
        <w:t>Ne pas mélanger</w:t>
      </w:r>
      <w:r>
        <w:t xml:space="preserve"> dans la même ligne IV avec d'autres médicaments (incompatibilité physico-chimique).</w:t>
      </w:r>
    </w:p>
    <w:p>
      <w:pPr>
        <w:pStyle w:val="ListBullet"/>
      </w:pPr>
      <w:r/>
      <w:r>
        <w:rPr>
          <w:b/>
        </w:rPr>
        <w:t>Respecter la chaîne du froid</w:t>
      </w:r>
      <w:r>
        <w:t xml:space="preserve"> (conservation 2-8 °C, ne pas congeler), reconstitution immédiate après ouverture (usage &lt; 4 h après reconstitution).</w:t>
      </w:r>
    </w:p>
    <w:p>
      <w:pPr>
        <w:pStyle w:val="ListBullet"/>
      </w:pPr>
      <w:r/>
      <w:r>
        <w:rPr>
          <w:b/>
        </w:rPr>
        <w:t>Traçabilité nominative</w:t>
      </w:r>
      <w:r>
        <w:t xml:space="preserve"> obligatoire (registre hémovigilance).</w:t>
      </w:r>
    </w:p>
    <w:p>
      <w:pPr>
        <w:pStyle w:val="ListBullet"/>
      </w:pPr>
      <w:r/>
      <w:r>
        <w:rPr>
          <w:b/>
        </w:rPr>
        <w:t>Toujours associer vitamine K1</w:t>
      </w:r>
      <w:r>
        <w:t xml:space="preserve"> (10 mg IV lent ou per os) pour effet prolongé.</w:t>
      </w:r>
    </w:p>
    <w:p>
      <w:pPr>
        <w:pStyle w:val="Heading2"/>
      </w:pPr>
      <w:r>
        <w:t>173.6. Fiches DCI détaillées (4)</w:t>
      </w:r>
    </w:p>
    <w:p>
      <w:pPr>
        <w:pStyle w:val="Heading3"/>
      </w:pPr>
      <w:r>
        <w:t>173.6.1. DCI : Immunoglobuline humaine anti-D (Rhophylac)</w:t>
      </w:r>
    </w:p>
    <w:p>
      <w:pPr>
        <w:pStyle w:val="Heading4"/>
      </w:pPr>
      <w:r>
        <w:t>1. Liste catégories pharmaco-thérapeutiques</w:t>
      </w:r>
    </w:p>
    <w:p>
      <w:r/>
      <w:r>
        <w:rPr>
          <w:b/>
        </w:rPr>
        <w:t>Catégories :</w:t>
      </w:r>
      <w:r>
        <w:t xml:space="preserve"> Immunoglobuline humaine spécifique ; Immunoglobuline anti-D (anti-Rh₀) ; Immunoglobuline polyvalente IgG humaine ; Médicament dérivé du sang ; Prévention de l'immunisation feto-maternelle ; Médecine obstétricale ; Sérothérapie passive. </w:t>
      </w:r>
      <w:r>
        <w:rPr>
          <w:b/>
        </w:rPr>
        <w:t>Liste I</w:t>
      </w:r>
      <w:r>
        <w:t xml:space="preserve"> (sur ordonnance médicale). Spécialités hospitalières et officinales. Prescription réservée aux gynécologues-obstétriciens, sages-femmes en exercice hospitalier, médecins généralistes en urgence post-événement immunogène. Traçabilité nominative obligatoire (registre hémovigilance du CNTS).</w:t>
      </w:r>
    </w:p>
    <w:p>
      <w:pPr>
        <w:pStyle w:val="Heading4"/>
      </w:pPr>
      <w:r>
        <w:t>2. Table commerciale des spécialités algériennes (nomenclature Avril 2026)</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RHOPHYLAC 300</w:t>
            </w:r>
          </w:p>
        </w:tc>
        <w:tc>
          <w:tcPr>
            <w:tcW w:type="dxa" w:w="1559"/>
          </w:tcPr>
          <w:p>
            <w:r>
              <w:rPr>
                <w:sz w:val="20"/>
              </w:rPr>
              <w:t>CSL Behring AG</w:t>
            </w:r>
          </w:p>
        </w:tc>
        <w:tc>
          <w:tcPr>
            <w:tcW w:type="dxa" w:w="1559"/>
          </w:tcPr>
          <w:p>
            <w:r>
              <w:rPr>
                <w:sz w:val="20"/>
              </w:rPr>
              <w:t>Solution injectable en seringue préremplie IM/IV, 150 µg/mL (300 µg/2 mL ou 1500 UI/2 mL)</w:t>
            </w:r>
          </w:p>
        </w:tc>
        <w:tc>
          <w:tcPr>
            <w:tcW w:type="dxa" w:w="1559"/>
          </w:tcPr>
          <w:p>
            <w:r>
              <w:rPr>
                <w:sz w:val="20"/>
              </w:rPr>
              <w:t>Boîte de 1 seringue préremplie de 2 mL</w:t>
            </w:r>
          </w:p>
        </w:tc>
        <w:tc>
          <w:tcPr>
            <w:tcW w:type="dxa" w:w="1559"/>
          </w:tcPr>
          <w:p>
            <w:r>
              <w:rPr>
                <w:sz w:val="20"/>
              </w:rPr>
              <w:t>Liste I</w:t>
            </w:r>
          </w:p>
        </w:tc>
        <w:tc>
          <w:tcPr>
            <w:tcW w:type="dxa" w:w="1559"/>
          </w:tcPr>
          <w:p>
            <w:r>
              <w:rPr>
                <w:sz w:val="20"/>
              </w:rPr>
              <w:t>Actif</w:t>
            </w:r>
          </w:p>
        </w:tc>
      </w:tr>
      <w:tr>
        <w:tc>
          <w:tcPr>
            <w:tcW w:type="dxa" w:w="1559"/>
          </w:tcPr>
          <w:p>
            <w:r>
              <w:rPr>
                <w:sz w:val="20"/>
              </w:rPr>
              <w:t>RHOCLONE</w:t>
            </w:r>
          </w:p>
        </w:tc>
        <w:tc>
          <w:tcPr>
            <w:tcW w:type="dxa" w:w="1559"/>
          </w:tcPr>
          <w:p>
            <w:r>
              <w:rPr>
                <w:sz w:val="20"/>
              </w:rPr>
              <w:t>Bharat Serums and Vaccines Limited</w:t>
            </w:r>
          </w:p>
        </w:tc>
        <w:tc>
          <w:tcPr>
            <w:tcW w:type="dxa" w:w="1559"/>
          </w:tcPr>
          <w:p>
            <w:r>
              <w:rPr>
                <w:sz w:val="20"/>
              </w:rPr>
              <w:t>Solution injectable, 300 µg</w:t>
            </w:r>
          </w:p>
        </w:tc>
        <w:tc>
          <w:tcPr>
            <w:tcW w:type="dxa" w:w="1559"/>
          </w:tcPr>
          <w:p>
            <w:r>
              <w:rPr>
                <w:sz w:val="20"/>
              </w:rPr>
              <w:t>Boîte de 1 flacon de 2 mL</w:t>
            </w:r>
          </w:p>
        </w:tc>
        <w:tc>
          <w:tcPr>
            <w:tcW w:type="dxa" w:w="1559"/>
          </w:tcPr>
          <w:p>
            <w:r>
              <w:rPr>
                <w:sz w:val="20"/>
              </w:rPr>
              <w:t>Liste I</w:t>
            </w:r>
          </w:p>
        </w:tc>
        <w:tc>
          <w:tcPr>
            <w:tcW w:type="dxa" w:w="1559"/>
          </w:tcPr>
          <w:p>
            <w:r>
              <w:rPr>
                <w:sz w:val="20"/>
              </w:rPr>
              <w:t>Actif</w:t>
            </w:r>
          </w:p>
        </w:tc>
      </w:tr>
      <w:tr>
        <w:tc>
          <w:tcPr>
            <w:tcW w:type="dxa" w:w="1559"/>
          </w:tcPr>
          <w:p>
            <w:r>
              <w:rPr>
                <w:sz w:val="20"/>
              </w:rPr>
              <w:t>IMMUNOGLOBULINE HUMAINE ANTI-D (Rho)</w:t>
            </w:r>
          </w:p>
        </w:tc>
        <w:tc>
          <w:tcPr>
            <w:tcW w:type="dxa" w:w="1559"/>
          </w:tcPr>
          <w:p>
            <w:r>
              <w:rPr>
                <w:sz w:val="20"/>
              </w:rPr>
              <w:t>Farmacuba</w:t>
            </w:r>
          </w:p>
        </w:tc>
        <w:tc>
          <w:tcPr>
            <w:tcW w:type="dxa" w:w="1559"/>
          </w:tcPr>
          <w:p>
            <w:r>
              <w:rPr>
                <w:sz w:val="20"/>
              </w:rPr>
              <w:t>Solution injectable, 250 µg/mL</w:t>
            </w:r>
          </w:p>
        </w:tc>
        <w:tc>
          <w:tcPr>
            <w:tcW w:type="dxa" w:w="1559"/>
          </w:tcPr>
          <w:p>
            <w:r>
              <w:rPr>
                <w:sz w:val="20"/>
              </w:rPr>
              <w:t>Boîte de 1 ampoule de 2 mL</w:t>
            </w:r>
          </w:p>
        </w:tc>
        <w:tc>
          <w:tcPr>
            <w:tcW w:type="dxa" w:w="1559"/>
          </w:tcPr>
          <w:p>
            <w:r>
              <w:rPr>
                <w:sz w:val="20"/>
              </w:rPr>
              <w:t>Liste I</w:t>
            </w:r>
          </w:p>
        </w:tc>
        <w:tc>
          <w:tcPr>
            <w:tcW w:type="dxa" w:w="1559"/>
          </w:tcPr>
          <w:p>
            <w:r>
              <w:rPr>
                <w:sz w:val="20"/>
              </w:rPr>
              <w:t>Non Renouvelable</w:t>
            </w:r>
          </w:p>
        </w:tc>
      </w:tr>
      <w:tr>
        <w:tc>
          <w:tcPr>
            <w:tcW w:type="dxa" w:w="1559"/>
          </w:tcPr>
          <w:p>
            <w:r>
              <w:rPr>
                <w:sz w:val="20"/>
              </w:rPr>
              <w:t>PARTOBULIN SDF 1250 UI</w:t>
            </w:r>
          </w:p>
        </w:tc>
        <w:tc>
          <w:tcPr>
            <w:tcW w:type="dxa" w:w="1559"/>
          </w:tcPr>
          <w:p>
            <w:r>
              <w:rPr>
                <w:sz w:val="20"/>
              </w:rPr>
              <w:t>Baxter AG</w:t>
            </w:r>
          </w:p>
        </w:tc>
        <w:tc>
          <w:tcPr>
            <w:tcW w:type="dxa" w:w="1559"/>
          </w:tcPr>
          <w:p>
            <w:r>
              <w:rPr>
                <w:sz w:val="20"/>
              </w:rPr>
              <w:t>Solution injectable IM, 250 µg/mL</w:t>
            </w:r>
          </w:p>
        </w:tc>
        <w:tc>
          <w:tcPr>
            <w:tcW w:type="dxa" w:w="1559"/>
          </w:tcPr>
          <w:p>
            <w:r>
              <w:rPr>
                <w:sz w:val="20"/>
              </w:rPr>
              <w:t>Boîte de 1 seringue pré-remplie de 1 mL</w:t>
            </w:r>
          </w:p>
        </w:tc>
        <w:tc>
          <w:tcPr>
            <w:tcW w:type="dxa" w:w="1559"/>
          </w:tcPr>
          <w:p>
            <w:r>
              <w:rPr>
                <w:sz w:val="20"/>
              </w:rPr>
              <w:t>Liste I</w:t>
            </w:r>
          </w:p>
        </w:tc>
        <w:tc>
          <w:tcPr>
            <w:tcW w:type="dxa" w:w="1559"/>
          </w:tcPr>
          <w:p>
            <w:r>
              <w:rPr>
                <w:sz w:val="20"/>
              </w:rPr>
              <w:t>Retrait (R)</w:t>
            </w:r>
          </w:p>
        </w:tc>
      </w:tr>
    </w:tbl>
    <w:p/>
    <w:p>
      <w:r/>
      <w:r>
        <w:rPr>
          <w:b/>
        </w:rPr>
        <w:t>Remarque sur la nomenclature :</w:t>
      </w:r>
      <w:r>
        <w:t xml:space="preserve"> Le nom commercial "RHOPHYLAC" est utilisé dans la littérature internationale et comme nom de classe pour cette DCI (le terme "Immunoglobuline anti-D (Rhophylac)" dans la désignation algérienne fait référence à la spécialité de référence CSL Behring). La spécialité </w:t>
      </w:r>
      <w:r>
        <w:rPr>
          <w:b/>
        </w:rPr>
        <w:t>Rhophylac 300</w:t>
      </w:r>
      <w:r>
        <w:t xml:space="preserve"> est la seule forme autorisée en voie IV en plus de la voie IM (sérums pré-remplis stériles sans conservateur, forme galénique adaptée à l'injection IV lente).</w:t>
      </w:r>
    </w:p>
    <w:p>
      <w:pPr>
        <w:pStyle w:val="Heading4"/>
      </w:pPr>
      <w:r>
        <w:t>3. Mécanisme d'action moléculaire, cellulaire et physiologique</w:t>
      </w:r>
    </w:p>
    <w:p>
      <w:r>
        <w:t>L'immunoglobuline anti-D est composée d'</w:t>
      </w:r>
      <w:r>
        <w:rPr>
          <w:b/>
        </w:rPr>
        <w:t>IgG1 polyclonales humaines dirigées contre l'épitope D du système Rhésus</w:t>
      </w:r>
      <w:r>
        <w:t xml:space="preserve"> (antigène RhD, protéine membranaire des globules rouges codée par le gène RHD sur le chromosome 1p36.11). Le mécanisme d'action comporte plusieurs étapes successives :</w:t>
      </w:r>
    </w:p>
    <w:p>
      <w:r/>
      <w:r>
        <w:rPr>
          <w:b/>
        </w:rPr>
        <w:t>Étape 1 — Capture passive des globules rouges fœtaux RhD+ dans la circulation maternelle :</w:t>
      </w:r>
      <w:r>
        <w:t xml:space="preserve"> lors d'un traumatisme obstétrical (accouchement, césarienne, amniocentèse, traumatisme abdominal, IVG, FCS), des hématies fœtales RhD+ franchissent la barrière placentaire et gagnent la circulation maternelle (volume feto-maternel pouvant atteindre 30 mL à terme, parfois moins de 0,1 mL lors d'une amniocentèse). Le système immunitaire maternel RhD− reconnaît l'antigène D comme étranger, déclenchant une réponse immunitaire primaire en 4-12 semaines.</w:t>
      </w:r>
    </w:p>
    <w:p>
      <w:r/>
      <w:r>
        <w:rPr>
          <w:b/>
        </w:rPr>
        <w:t>Étape 2 — Saturation des épitopes D par les IgG anti-D exogènes :</w:t>
      </w:r>
      <w:r>
        <w:t xml:space="preserve"> après injection IM, l'IgG anti-D diffuse progressivement dans la circulation maternelle (concentration maximale en 24-72 h) et se fixe sur les épitopes D des globules rouges fœtaux circulants. Cette opsonisation est complète lorsque le rapport IgG anti-D / épitopes D est saturant (règle de dosage : 10-15 µg d'IgG anti-D par mL de sang fœtal RhD+ transfusé, soit 300 µg pour 30 mL de sang fœtal).</w:t>
      </w:r>
    </w:p>
    <w:p>
      <w:r/>
      <w:r>
        <w:rPr>
          <w:b/>
        </w:rPr>
        <w:t>Étape 3 — Clearance splénique par les macrophages FcγR+ :</w:t>
      </w:r>
      <w:r>
        <w:t xml:space="preserve"> les globules rouges fœtaux opsonisés par les IgG anti-D sont reconnus par les </w:t>
      </w:r>
      <w:r>
        <w:rPr>
          <w:b/>
        </w:rPr>
        <w:t>récepteurs Fcγ des macrophages spléniques</w:t>
      </w:r>
      <w:r>
        <w:t xml:space="preserve"> (FcγRI/CD64 haute affinité, FcγRIII/CD16, FcγRII/CD32) et </w:t>
      </w:r>
      <w:r>
        <w:rPr>
          <w:b/>
        </w:rPr>
        <w:t>phagocytés</w:t>
      </w:r>
      <w:r>
        <w:t xml:space="preserve"> dans la pulpe rouge splénique. Cette clearance prévient le contact direct entre l'antigène D fœtal et les lymphocytes B naïfs maternels.</w:t>
      </w:r>
    </w:p>
    <w:p>
      <w:r/>
      <w:r>
        <w:rPr>
          <w:b/>
        </w:rPr>
        <w:t>Étape 4 — Blocage de l'immunisation active maternelle :</w:t>
      </w:r>
      <w:r>
        <w:t xml:space="preserve"> sans IgG anti-D, l'antigène D fœtal serait capté par les cellules présentatrices d'antigène (CPA) maternelles (cellules dendritiques, macrophages), présenté aux lymphocytes T CD4+ helper, qui activeraient à leur tour les lymphocytes B spécifiques de l'antigène D. Ces lymphocytes B se différencieraient en plasmocytes sécrétant des IgG anti-D maternels (immunisation active, irréversible) capables de traverser la barrière placentaire lors d'une grossesse ultérieure et de détruire les globules rouges fœtaux RhD+ (maladie hémolytique du nouveau-né — MHN). L'injection d'IgG anti-D exogènes court-circuite cette activation en éliminant rapidement l'antigène avant qu'il ne soit présenté au système immunitaire adaptatif maternel.</w:t>
      </w:r>
    </w:p>
    <w:p>
      <w:r/>
      <w:r>
        <w:rPr>
          <w:b/>
        </w:rPr>
        <w:t>Étape 5 — Tolérance immunitaire :</w:t>
      </w:r>
      <w:r>
        <w:t xml:space="preserve"> des travaux récents suggèrent un mécanisme supplémentaire de </w:t>
      </w:r>
      <w:r>
        <w:rPr>
          <w:b/>
        </w:rPr>
        <w:t>tolérance active</w:t>
      </w:r>
      <w:r>
        <w:t xml:space="preserve"> via l'engagement des récepteurs inhibiteurs FcγRIIB sur les lymphocytes B maternels, induisant une anergie spécifique anti-D.</w:t>
      </w:r>
    </w:p>
    <w:p>
      <w:r>
        <w:t xml:space="preserve">Le résultat final est la </w:t>
      </w:r>
      <w:r>
        <w:rPr>
          <w:b/>
        </w:rPr>
        <w:t>prévention quasi complète de l'immunisation maternelle</w:t>
      </w:r>
      <w:r>
        <w:t xml:space="preserve"> : risque d'immunisation de 12-16 % sans prophylaxie → &lt; 0,1 % avec prophylaxie systématique anténatale à 28 SA + post-partum précoce.</w:t>
      </w:r>
    </w:p>
    <w:p>
      <w:pPr>
        <w:pStyle w:val="Heading4"/>
      </w:pPr>
      <w:r>
        <w:t>4. Pharmacocinétique (Profil PK)</w:t>
      </w:r>
    </w:p>
    <w:p>
      <w:pPr>
        <w:pStyle w:val="ListBullet"/>
      </w:pPr>
      <w:r/>
      <w:r>
        <w:rPr>
          <w:b/>
        </w:rPr>
        <w:t>Résorption IM :</w:t>
      </w:r>
      <w:r>
        <w:t xml:space="preserve"> pic sérique à 24-72 h (médiane 48 h) ; biodisponibilité IM ≈ 95 %.</w:t>
      </w:r>
    </w:p>
    <w:p>
      <w:pPr>
        <w:pStyle w:val="ListBullet"/>
      </w:pPr>
      <w:r/>
      <w:r>
        <w:rPr>
          <w:b/>
        </w:rPr>
        <w:t>Distribution :</w:t>
      </w:r>
      <w:r>
        <w:t xml:space="preserve"> volume de distribution ≈ 5-7 L (limité au compartiment plasmatique et interstitial); diffusion transplacentaire passive négligeable (IgG maternelles exogènes ne traversent pas massivement la barrière placentaire avant 28 SA).</w:t>
      </w:r>
    </w:p>
    <w:p>
      <w:pPr>
        <w:pStyle w:val="ListBullet"/>
      </w:pPr>
      <w:r/>
      <w:r>
        <w:rPr>
          <w:b/>
        </w:rPr>
        <w:t>Demi-vie d'élimination :</w:t>
      </w:r>
      <w:r>
        <w:t xml:space="preserve"> 21-25 jours (similaire aux IgG endogènes), métabolisme par protéolyse lysosomale dans les macrophages et cellules endothéliales.</w:t>
      </w:r>
    </w:p>
    <w:p>
      <w:pPr>
        <w:pStyle w:val="ListBullet"/>
      </w:pPr>
      <w:r/>
      <w:r>
        <w:rPr>
          <w:b/>
        </w:rPr>
        <w:t>Voie IV (Rhophylac 300 uniquement) :</w:t>
      </w:r>
      <w:r>
        <w:t xml:space="preserve"> pic sérique immédiat (5-10 min), biodisponibilité 100 %, mais risque d'hémolyse plus marqué (dose maximale IV recommandée : 600 µg).</w:t>
      </w:r>
    </w:p>
    <w:p>
      <w:pPr>
        <w:pStyle w:val="ListBullet"/>
      </w:pPr>
      <w:r/>
      <w:r>
        <w:rPr>
          <w:b/>
        </w:rPr>
        <w:t>Aucune adaptation nécessaire</w:t>
      </w:r>
      <w:r>
        <w:t xml:space="preserve"> en IR ou IH (métabolisme protéolytique non enzymatique).</w:t>
      </w:r>
    </w:p>
    <w:p>
      <w:pPr>
        <w:pStyle w:val="Heading4"/>
      </w:pPr>
      <w:r>
        <w:t>5. Indications thérapeutiques</w:t>
      </w:r>
    </w:p>
    <w:p>
      <w:r/>
      <w:r>
        <w:rPr>
          <w:b/>
        </w:rPr>
        <w:t>Indications validées (RCP ANSM/HAS) :</w:t>
      </w:r>
      <w:r/>
    </w:p>
    <w:p>
      <w:pPr>
        <w:pStyle w:val="ListNumber"/>
      </w:pPr>
      <w:r/>
      <w:r>
        <w:rPr>
          <w:b/>
        </w:rPr>
        <w:t>Prophylaxie anténatale systématique à 28 SA</w:t>
      </w:r>
      <w:r>
        <w:t xml:space="preserve"> chez toute femme RhD− non immunisée (anti-D indécelables) portant un fœtus RhD+ (ou de statut inconnu) : 1500 UI IM en une injection.</w:t>
      </w:r>
    </w:p>
    <w:p>
      <w:pPr>
        <w:pStyle w:val="ListNumber"/>
      </w:pPr>
      <w:r/>
      <w:r>
        <w:rPr>
          <w:b/>
        </w:rPr>
        <w:t>Prophylaxie post-partum dans les 72 h</w:t>
      </w:r>
      <w:r>
        <w:t xml:space="preserve"> chez toute femme RhD− ayant accouché d'un enfant RhD+ : 1500 UI IM en une injection.</w:t>
      </w:r>
    </w:p>
    <w:p>
      <w:pPr>
        <w:pStyle w:val="ListNumber"/>
      </w:pPr>
      <w:r/>
      <w:r>
        <w:rPr>
          <w:b/>
        </w:rPr>
        <w:t>Prophylaxie post-événement immunogène</w:t>
      </w:r>
      <w:r>
        <w:t xml:space="preserve"> à toute période de la grossesse :</w:t>
      </w:r>
    </w:p>
    <w:p>
      <w:pPr>
        <w:pStyle w:val="ListBullet"/>
      </w:pPr>
      <w:r>
        <w:t>Avant 12 SA : 250 UI (50 µg) IM après IVG, FCS, GEU, môle hydatiforme.</w:t>
      </w:r>
    </w:p>
    <w:p>
      <w:pPr>
        <w:pStyle w:val="ListBullet"/>
      </w:pPr>
      <w:r>
        <w:t>Entre 12 et 20 SA : 500 UI (100 µg) IM après amniocentèse, biopsie de trophoblaste, traumatisme abdominal, saignement vaginal, mort fœtale.</w:t>
      </w:r>
    </w:p>
    <w:p>
      <w:pPr>
        <w:pStyle w:val="ListBullet"/>
      </w:pPr>
      <w:r>
        <w:t>Après 20 SA : 1500 UI (300 µg) IM après amniocentèse, version par manœuvre externe, traumatisme abdominal, saignement antepartum, mort fœtale in utero.</w:t>
      </w:r>
    </w:p>
    <w:p>
      <w:pPr>
        <w:pStyle w:val="ListNumber"/>
      </w:pPr>
      <w:r/>
      <w:r>
        <w:rPr>
          <w:b/>
        </w:rPr>
        <w:t>Transfusion incompatible accidentelle</w:t>
      </w:r>
      <w:r>
        <w:t xml:space="preserve"> : 25-50 µg (125-250 UI) par mL de sang RhD+ transfusé, à répartir sur plusieurs jours.</w:t>
      </w:r>
    </w:p>
    <w:p>
      <w:r/>
      <w:r>
        <w:rPr>
          <w:b/>
        </w:rPr>
        <w:t>Indication particulière :</w:t>
      </w:r>
      <w:r>
        <w:t xml:space="preserve"> polyhydramnios sévère ou autre situation à fort volume feto-maternel : majoration de la dose à 300 µg (1500 UI) ou 600 µg (3000 UI) selon évaluation.</w:t>
      </w:r>
    </w:p>
    <w:p>
      <w:pPr>
        <w:pStyle w:val="Heading4"/>
      </w:pPr>
      <w:r>
        <w:t>6. Posologie et mode d'administration</w:t>
      </w:r>
    </w:p>
    <w:p>
      <w:r/>
      <w:r>
        <w:rPr>
          <w:b/>
        </w:rPr>
        <w:t>Posologie standard adulte :</w:t>
      </w:r>
      <w:r/>
    </w:p>
    <w:p>
      <w:pPr>
        <w:pStyle w:val="ListBullet"/>
      </w:pPr>
      <w:r>
        <w:t xml:space="preserve">28 SA prophylaxie systématique : </w:t>
      </w:r>
      <w:r>
        <w:rPr>
          <w:b/>
        </w:rPr>
        <w:t>1500 UI (300 µg) IM</w:t>
      </w:r>
      <w:r>
        <w:t xml:space="preserve"> (1 seringue Rhophylac 300) ou RHOCLONE 300 µg.</w:t>
      </w:r>
    </w:p>
    <w:p>
      <w:pPr>
        <w:pStyle w:val="ListBullet"/>
      </w:pPr>
      <w:r>
        <w:t xml:space="preserve">Post-partum 72 h : </w:t>
      </w:r>
      <w:r>
        <w:rPr>
          <w:b/>
        </w:rPr>
        <w:t>1500 UI (300 µg) IM</w:t>
      </w:r>
      <w:r>
        <w:t>.</w:t>
      </w:r>
    </w:p>
    <w:p>
      <w:pPr>
        <w:pStyle w:val="ListBullet"/>
      </w:pPr>
      <w:r>
        <w:t>Post-événement immunogène (selon terme) : 250 à 1500 UI IM.</w:t>
      </w:r>
    </w:p>
    <w:p>
      <w:pPr>
        <w:pStyle w:val="ListBullet"/>
      </w:pPr>
      <w:r>
        <w:t>Transfusion incompatible : 25-50 µg/mL sang transfusé.</w:t>
      </w:r>
    </w:p>
    <w:p>
      <w:r/>
      <w:r>
        <w:rPr>
          <w:b/>
        </w:rPr>
        <w:t>Voie d'administration :</w:t>
      </w:r>
      <w:r/>
    </w:p>
    <w:p>
      <w:pPr>
        <w:pStyle w:val="ListBullet"/>
      </w:pPr>
      <w:r/>
      <w:r>
        <w:rPr>
          <w:b/>
        </w:rPr>
        <w:t>Voie IM stricte</w:t>
      </w:r>
      <w:r>
        <w:t xml:space="preserve"> pour la majorité des spécialités (RHOCLONE, anciennes spécialités retirées).</w:t>
      </w:r>
    </w:p>
    <w:p>
      <w:pPr>
        <w:pStyle w:val="ListBullet"/>
      </w:pPr>
      <w:r/>
      <w:r>
        <w:rPr>
          <w:b/>
        </w:rPr>
        <w:t>Voie IM ou IV</w:t>
      </w:r>
      <w:r>
        <w:t xml:space="preserve"> pour RHOPHYLAC 300 (autorisation IV lente, sur 2-3 minutes, en cas d'urgence ou de troubles de la coagulation rendant l'IM dangereuse).</w:t>
      </w:r>
    </w:p>
    <w:p>
      <w:pPr>
        <w:pStyle w:val="ListBullet"/>
      </w:pPr>
      <w:r>
        <w:t>Site d'injection IM : muscle deltoïde ou grand fessier (quadriceps chez la femme très maigre).</w:t>
      </w:r>
    </w:p>
    <w:p>
      <w:pPr>
        <w:pStyle w:val="ListBullet"/>
      </w:pPr>
      <w:r>
        <w:t>Ne jamais injecter intra-vasculaire avec une forme IM stricte (choc anaphylactoïde).</w:t>
      </w:r>
    </w:p>
    <w:p>
      <w:pPr>
        <w:pStyle w:val="Heading4"/>
      </w:pPr>
      <w:r>
        <w:t>7. Effets indésirables et prévention</w:t>
      </w:r>
    </w:p>
    <w:p>
      <w:r/>
      <w:r>
        <w:rPr>
          <w:b/>
        </w:rPr>
        <w:t>Effets indésirables fréquents (&gt; 1 %) :</w:t>
      </w:r>
      <w:r/>
    </w:p>
    <w:p>
      <w:pPr>
        <w:pStyle w:val="ListBullet"/>
      </w:pPr>
      <w:r>
        <w:t>Réactions locales au site d'injection : douleur (15 %), induration, rougeur (10 %).</w:t>
      </w:r>
    </w:p>
    <w:p>
      <w:pPr>
        <w:pStyle w:val="ListBullet"/>
      </w:pPr>
      <w:r>
        <w:t>Fièvre modérée, frissons (5 %), céphalées (3 %).</w:t>
      </w:r>
    </w:p>
    <w:p>
      <w:pPr>
        <w:pStyle w:val="ListBullet"/>
      </w:pPr>
      <w:r>
        <w:t>Douleurs articulaires transitoires.</w:t>
      </w:r>
    </w:p>
    <w:p>
      <w:r/>
      <w:r>
        <w:rPr>
          <w:b/>
        </w:rPr>
        <w:t>Effets indésirables rares (&lt; 0,1 %) :</w:t>
      </w:r>
      <w:r/>
    </w:p>
    <w:p>
      <w:pPr>
        <w:pStyle w:val="ListBullet"/>
      </w:pPr>
      <w:r>
        <w:t>Réactions d'hypersensibilité (urticaire, angio-œdème, exceptionnellement choc anaphylactique) — surveillance 30 min post-injection en milieu médicalisé.</w:t>
      </w:r>
    </w:p>
    <w:p>
      <w:pPr>
        <w:pStyle w:val="ListBullet"/>
      </w:pPr>
      <w:r>
        <w:t>Hémolyse transitoire modérée (baisse de l'hémoglobine, hyperbilirubinémie modérée) — surtout après doses massives.</w:t>
      </w:r>
    </w:p>
    <w:p>
      <w:pPr>
        <w:pStyle w:val="ListBullet"/>
      </w:pPr>
      <w:r>
        <w:t>Headaches aseptiques méningées exceptionnels (hyperprotéinorrhée).</w:t>
      </w:r>
    </w:p>
    <w:p>
      <w:r/>
      <w:r>
        <w:rPr>
          <w:b/>
        </w:rPr>
        <w:t>Prévention :</w:t>
      </w:r>
      <w:r/>
    </w:p>
    <w:p>
      <w:pPr>
        <w:pStyle w:val="ListBullet"/>
      </w:pPr>
      <w:r>
        <w:t>Vérification du groupe Rhésus de la mère et de l'enfant avant injection.</w:t>
      </w:r>
    </w:p>
    <w:p>
      <w:pPr>
        <w:pStyle w:val="ListBullet"/>
      </w:pPr>
      <w:r>
        <w:t>Vérification de l'absence d'immunisation anti-D préalable (RAI négative) — l'injection d'IgG anti-D à une femme déjà immunisée est inutile mais non dangereuse.</w:t>
      </w:r>
    </w:p>
    <w:p>
      <w:pPr>
        <w:pStyle w:val="ListBullet"/>
      </w:pPr>
      <w:r>
        <w:t>Surveillance 20-30 minutes post-injection (réaction allergique).</w:t>
      </w:r>
    </w:p>
    <w:p>
      <w:pPr>
        <w:pStyle w:val="ListBullet"/>
      </w:pPr>
      <w:r>
        <w:t>Respect strict du délai des 72 h post-partum.</w:t>
      </w:r>
    </w:p>
    <w:p>
      <w:pPr>
        <w:pStyle w:val="Heading4"/>
      </w:pPr>
      <w:r>
        <w:t>8. Interactions médicamenteuses</w:t>
      </w:r>
    </w:p>
    <w:p>
      <w:pPr>
        <w:pStyle w:val="ListBullet"/>
      </w:pPr>
      <w:r/>
      <w:r>
        <w:rPr>
          <w:b/>
        </w:rPr>
        <w:t>Aucune interaction médicamenteuse significative</w:t>
      </w:r>
      <w:r>
        <w:t xml:space="preserve"> (IgG exogènes non métabolisées par CYP450).</w:t>
      </w:r>
    </w:p>
    <w:p>
      <w:pPr>
        <w:pStyle w:val="ListBullet"/>
      </w:pPr>
      <w:r/>
      <w:r>
        <w:rPr>
          <w:b/>
        </w:rPr>
        <w:t>Vaccinations à virus vivants atténués</w:t>
      </w:r>
      <w:r>
        <w:t xml:space="preserve"> (rougeole-oreillons-rubéole, fièvre jaune, varicelle, BCG) : espacer de 3 mois après IgG anti-D (efficacité vaccinale potentiellement réduite par neutralisation passive). En pratique, l'IgG anti-D n'interfère pas avec les vaccins inactivés (tétanos, hépatite B, grippe, COVID-19).</w:t>
      </w:r>
    </w:p>
    <w:p>
      <w:pPr>
        <w:pStyle w:val="ListBullet"/>
      </w:pPr>
      <w:r/>
      <w:r>
        <w:rPr>
          <w:b/>
        </w:rPr>
        <w:t>Corticostéroïdes</w:t>
      </w:r>
      <w:r>
        <w:t xml:space="preserve"> : pas d'interaction majeure ; le passage transplacentaire des IgG anti-D reste efficace malgré corticothérapie maternelle.</w:t>
      </w:r>
    </w:p>
    <w:p>
      <w:pPr>
        <w:pStyle w:val="ListBullet"/>
      </w:pPr>
      <w:r/>
      <w:r>
        <w:rPr>
          <w:b/>
        </w:rPr>
        <w:t>Aspirine à dose antiagrégante</w:t>
      </w:r>
      <w:r>
        <w:t xml:space="preserve"> (&lt; 300 mg/j) ou héparine de bas poids moléculaire : ne contre-indique pas l'IM (mais privilégier voie IV Rhophylac si trouble de la coagulation ou plaquettes &lt; 50 G/L).</w:t>
      </w:r>
    </w:p>
    <w:p>
      <w:pPr>
        <w:pStyle w:val="Heading4"/>
      </w:pPr>
      <w:r>
        <w:t>9. Grossesse, allaitement et CRAT</w:t>
      </w:r>
    </w:p>
    <w:p>
      <w:r/>
      <w:r>
        <w:rPr>
          <w:b/>
        </w:rPr>
        <w:t>Grossesse :</w:t>
      </w:r>
      <w:r/>
    </w:p>
    <w:p>
      <w:pPr>
        <w:pStyle w:val="ListBullet"/>
      </w:pPr>
      <w:r>
        <w:t xml:space="preserve">Spécialité </w:t>
      </w:r>
      <w:r>
        <w:rPr>
          <w:b/>
        </w:rPr>
        <w:t>explicitement prescrite pendant la grossesse</w:t>
      </w:r>
      <w:r>
        <w:t xml:space="preserve"> pour prévention de l'immunisation feto-maternelle.</w:t>
      </w:r>
    </w:p>
    <w:p>
      <w:pPr>
        <w:pStyle w:val="ListBullet"/>
      </w:pPr>
      <w:r>
        <w:t>CRAT : "À PROPOSER" — l'IgG anti-D ne traverse pas massivement la barrière placentaire avant 28 SA (barrière immuno-compétente). À 28 SA (moment de la prophylaxie systématique), le passage passif est possible mais sans conséquence pour le fœtus RhD+ (les IgG anti-D exogènes se fixent préférentiellement sur les rares globules rouges fœtaux ayant gagné la circulation maternelle, et non sur les GR fœtaux in situ).</w:t>
      </w:r>
    </w:p>
    <w:p>
      <w:pPr>
        <w:pStyle w:val="ListBullet"/>
      </w:pPr>
      <w:r/>
      <w:r>
        <w:rPr>
          <w:b/>
        </w:rPr>
        <w:t>Aucun effet tératogène</w:t>
      </w:r>
      <w:r>
        <w:t xml:space="preserve"> attendu (IgG humaines, pas de passage avant 16-20 SA en quantité significative).</w:t>
      </w:r>
    </w:p>
    <w:p>
      <w:pPr>
        <w:pStyle w:val="ListBullet"/>
      </w:pPr>
      <w:r>
        <w:t>Compatible avec l'aspirine à dose antiagrégante prescrite dans les prééclampsies.</w:t>
      </w:r>
    </w:p>
    <w:p>
      <w:r/>
      <w:r>
        <w:rPr>
          <w:b/>
        </w:rPr>
        <w:t>Allaitement :</w:t>
      </w:r>
      <w:r/>
    </w:p>
    <w:p>
      <w:pPr>
        <w:pStyle w:val="ListBullet"/>
      </w:pPr>
      <w:r/>
      <w:r>
        <w:rPr>
          <w:b/>
        </w:rPr>
        <w:t>Compatible</w:t>
      </w:r>
      <w:r>
        <w:t xml:space="preserve"> (CRAT : "À PROPOSER"). Les IgG sont excrétées dans le lait maternel en quantité faible (surtout colostrum), dégradées par les protéases digestives infantiles, et n'induisent pas d'immunisation active du nouveau-né.</w:t>
      </w:r>
    </w:p>
    <w:p>
      <w:pPr>
        <w:pStyle w:val="ListBullet"/>
      </w:pPr>
      <w:r>
        <w:t>Aucun effet indésirable rapporté chez le nouveau-né allaité.</w:t>
      </w:r>
    </w:p>
    <w:p>
      <w:pPr>
        <w:pStyle w:val="Heading4"/>
      </w:pPr>
      <w:r>
        <w:t>10. Formes galéniques disponibles</w:t>
      </w:r>
    </w:p>
    <w:p>
      <w:pPr>
        <w:pStyle w:val="ListBullet"/>
      </w:pPr>
      <w:r/>
      <w:r>
        <w:rPr>
          <w:b/>
        </w:rPr>
        <w:t>Seringue préremplie IM/IV</w:t>
      </w:r>
      <w:r>
        <w:t xml:space="preserve"> (RHOPHYLAC 300) : 2 mL, 150 µg/mL, 300 µg/2 mL ou 1500 UI/2 mL. Solution prête à l'emploi, stérile, sans conservateur.</w:t>
      </w:r>
    </w:p>
    <w:p>
      <w:pPr>
        <w:pStyle w:val="ListBullet"/>
      </w:pPr>
      <w:r/>
      <w:r>
        <w:rPr>
          <w:b/>
        </w:rPr>
        <w:t>Flacon</w:t>
      </w:r>
      <w:r>
        <w:t xml:space="preserve"> (RHOCLONE) : 2 mL, 300 µg, à prélever avec seringue.</w:t>
      </w:r>
    </w:p>
    <w:p>
      <w:pPr>
        <w:pStyle w:val="ListBullet"/>
      </w:pPr>
      <w:r>
        <w:t xml:space="preserve">Conservation : </w:t>
      </w:r>
      <w:r>
        <w:rPr>
          <w:b/>
        </w:rPr>
        <w:t>+2 à +8 °C</w:t>
      </w:r>
      <w:r>
        <w:t>, à l'abri de la lumière, ne pas congeler.</w:t>
      </w:r>
    </w:p>
    <w:p>
      <w:pPr>
        <w:pStyle w:val="ListBullet"/>
      </w:pPr>
      <w:r>
        <w:t>Pas d'agitation vigoureuse (risque de dénaturation protéique).</w:t>
      </w:r>
    </w:p>
    <w:p>
      <w:pPr>
        <w:pStyle w:val="Heading4"/>
      </w:pPr>
      <w:r>
        <w:t>11. Conseils au patient</w:t>
      </w:r>
    </w:p>
    <w:p>
      <w:r/>
      <w:r>
        <w:rPr>
          <w:b/>
        </w:rPr>
        <w:t>Conseils à la patiente RhD− :</w:t>
      </w:r>
      <w:r/>
    </w:p>
    <w:p>
      <w:pPr>
        <w:pStyle w:val="ListBullet"/>
      </w:pPr>
      <w:r>
        <w:t>"Cette injection prévient une complication grave lors d'une prochaine grossesse : la maladie hémolytique du nouveau-né."</w:t>
      </w:r>
    </w:p>
    <w:p>
      <w:pPr>
        <w:pStyle w:val="ListBullet"/>
      </w:pPr>
      <w:r>
        <w:t xml:space="preserve">"Elle doit être administrée </w:t>
      </w:r>
      <w:r>
        <w:rPr>
          <w:b/>
        </w:rPr>
        <w:t>dans les 72 heures</w:t>
      </w:r>
      <w:r>
        <w:t xml:space="preserve"> après l'accouchement (ou fausse couche, IVG, amniocentèse) — au-delà, son efficacité diminue considérablement."</w:t>
      </w:r>
    </w:p>
    <w:p>
      <w:pPr>
        <w:pStyle w:val="ListBullet"/>
      </w:pPr>
      <w:r>
        <w:t>"L'injection se fait dans le muscle (bras ou fesse), peut être douloureuse sur quelques minutes."</w:t>
      </w:r>
    </w:p>
    <w:p>
      <w:pPr>
        <w:pStyle w:val="ListBullet"/>
      </w:pPr>
      <w:r>
        <w:t>"Une fièvre modérée et des courbatures peuvent survenir dans les 24 heures — paracétamol autorisé."</w:t>
      </w:r>
    </w:p>
    <w:p>
      <w:pPr>
        <w:pStyle w:val="ListBullet"/>
      </w:pPr>
      <w:r>
        <w:t>"Sur place à la maternité pendant 20-30 minutes après l'injection pour surveillance."</w:t>
      </w:r>
    </w:p>
    <w:p>
      <w:pPr>
        <w:pStyle w:val="ListBullet"/>
      </w:pPr>
      <w:r>
        <w:t>"Conservez la carte de groupe sanguin et le carnet de grossesse mentionnant l'injection."</w:t>
      </w:r>
    </w:p>
    <w:p>
      <w:pPr>
        <w:pStyle w:val="ListBullet"/>
      </w:pPr>
      <w:r>
        <w:t>"Compatible avec l'allaitement maternel."</w:t>
      </w:r>
    </w:p>
    <w:p>
      <w:pPr>
        <w:pStyle w:val="ListBullet"/>
      </w:pPr>
      <w:r>
        <w:t>"Pour la grossesse suivante : nouvelle injection systématique à 28 SA."</w:t>
      </w:r>
    </w:p>
    <w:p>
      <w:pPr>
        <w:pStyle w:val="Heading4"/>
      </w:pPr>
      <w:r>
        <w:t>12. Pièges au comptoir — Règles d'or</w:t>
      </w:r>
    </w:p>
    <w:p>
      <w:pPr>
        <w:pStyle w:val="ListNumber"/>
      </w:pPr>
      <w:r/>
      <w:r>
        <w:rPr>
          <w:b/>
        </w:rPr>
        <w:t>Voie IM ≠ voie IV :</w:t>
      </w:r>
      <w:r>
        <w:t xml:space="preserve"> RHOCLONE est strictement IM (jamais IV), RHOPHYLAC 300 peut être IM ou IV. Vérifier la spécialité avant administration.</w:t>
      </w:r>
    </w:p>
    <w:p>
      <w:pPr>
        <w:pStyle w:val="ListNumber"/>
      </w:pPr>
      <w:r/>
      <w:r>
        <w:rPr>
          <w:b/>
        </w:rPr>
        <w:t>Délai des 72 h post-partum :</w:t>
      </w:r>
      <w:r>
        <w:t xml:space="preserve"> au-delà, l'efficacité chute de 50 % à 96 h et de 80 % à 7 jours — la patiente doit être informée de consulter en urgence en cas d'accouchement inopiné à domicile.</w:t>
      </w:r>
    </w:p>
    <w:p>
      <w:pPr>
        <w:pStyle w:val="ListNumber"/>
      </w:pPr>
      <w:r/>
      <w:r>
        <w:rPr>
          <w:b/>
        </w:rPr>
        <w:t>Ne pas injecter une femme déjà immunisée :</w:t>
      </w:r>
      <w:r>
        <w:t xml:space="preserve"> vérifier la RAI ; si IgG anti-D déjà présents (immunisation active), l'injection est inutile (mais non dangereuse).</w:t>
      </w:r>
    </w:p>
    <w:p>
      <w:pPr>
        <w:pStyle w:val="ListNumber"/>
      </w:pPr>
      <w:r/>
      <w:r>
        <w:rPr>
          <w:b/>
        </w:rPr>
        <w:t>Vérifier le Rhésus de l'enfant</w:t>
      </w:r>
      <w:r>
        <w:t xml:space="preserve"> en post-partum avant d'injecter (n'injecter que si enfant RhD+ ou inconnu).</w:t>
      </w:r>
    </w:p>
    <w:p>
      <w:pPr>
        <w:pStyle w:val="ListNumber"/>
      </w:pPr>
      <w:r/>
      <w:r>
        <w:rPr>
          <w:b/>
        </w:rPr>
        <w:t>Pas de CI à l'allaitement</w:t>
      </w:r>
      <w:r>
        <w:t xml:space="preserve"> — disculper la patiente de cette crainte fréquente.</w:t>
      </w:r>
    </w:p>
    <w:p>
      <w:pPr>
        <w:pStyle w:val="ListNumber"/>
      </w:pPr>
      <w:r/>
      <w:r>
        <w:rPr>
          <w:b/>
        </w:rPr>
        <w:t>Ne pas confondre</w:t>
      </w:r>
      <w:r>
        <w:t xml:space="preserve"> avec les immunoglobulines anti-HBs (anti-hépatite B) ou polyvalentes IV (IgIV) — DCI et indications totalement différentes.</w:t>
      </w:r>
    </w:p>
    <w:p>
      <w:pPr>
        <w:pStyle w:val="ListNumber"/>
      </w:pPr>
      <w:r/>
      <w:r>
        <w:rPr>
          <w:b/>
        </w:rPr>
        <w:t>Si allergie grave connue aux IgG humaines</w:t>
      </w:r>
      <w:r>
        <w:t xml:space="preserve"> : administrer en milieu hospitalier avec surveillance rapprochée, ou discuter alternative (pas d'alternative pharmacologique disponible).</w:t>
      </w:r>
    </w:p>
    <w:p>
      <w:pPr>
        <w:pStyle w:val="ListNumber"/>
      </w:pPr>
      <w:r/>
      <w:r>
        <w:rPr>
          <w:b/>
        </w:rPr>
        <w:t>Réchauffer la seringue</w:t>
      </w:r>
      <w:r>
        <w:t xml:space="preserve"> à température ambiante avant injection (diminue la douleur locale).</w:t>
      </w:r>
    </w:p>
    <w:p>
      <w:pPr>
        <w:pStyle w:val="ListNumber"/>
      </w:pPr>
      <w:r/>
      <w:r>
        <w:rPr>
          <w:b/>
        </w:rPr>
        <w:t>Ne jamais agiter</w:t>
      </w:r>
      <w:r>
        <w:t xml:space="preserve"> le flacon ou la seringue (déanturation protéique).</w:t>
      </w:r>
    </w:p>
    <w:p>
      <w:pPr>
        <w:pStyle w:val="Heading3"/>
      </w:pPr>
      <w:r>
        <w:t>173.6.2. DCI : Immunoglobuline humaine anti-hépatite B (anti-HBs)</w:t>
      </w:r>
    </w:p>
    <w:p>
      <w:pPr>
        <w:pStyle w:val="Heading4"/>
      </w:pPr>
      <w:r>
        <w:t>1. Liste catégories pharmaco-thérapeutiques</w:t>
      </w:r>
    </w:p>
    <w:p>
      <w:r/>
      <w:r>
        <w:rPr>
          <w:b/>
        </w:rPr>
        <w:t>Catégories :</w:t>
      </w:r>
      <w:r>
        <w:t xml:space="preserve"> Immunoglobuline humaine spécifique ; Immunoglobuline anti-hépatite B ; Immunoglobuline polyvalente IgG humaine ; Médicament dérivé du sang ; Sérothérapie passive ; Prophylaxie post-exposition ; Prévention transmission verticale VHB ; Prévention réinfection greffon hépatique. </w:t>
      </w:r>
      <w:r>
        <w:rPr>
          <w:b/>
        </w:rPr>
        <w:t>Liste I</w:t>
      </w:r>
      <w:r>
        <w:t xml:space="preserve"> (sur ordonnance). Spécialités hospitalières et officinales. Prescription réservée aux pédiatres-néonatologues, infectiologues, hépatologues, urgentistes. Traçabilité nominative obligatoire.</w:t>
      </w:r>
    </w:p>
    <w:p>
      <w:pPr>
        <w:pStyle w:val="Heading4"/>
      </w:pPr>
      <w:r>
        <w:t>2. Table commerciale des spécialités algériennes (nomenclature Avril 2026)</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HEPATECT CP</w:t>
            </w:r>
          </w:p>
        </w:tc>
        <w:tc>
          <w:tcPr>
            <w:tcW w:type="dxa" w:w="1559"/>
          </w:tcPr>
          <w:p>
            <w:r>
              <w:rPr>
                <w:sz w:val="20"/>
              </w:rPr>
              <w:t>Biotest Pharma GmbH</w:t>
            </w:r>
          </w:p>
        </w:tc>
        <w:tc>
          <w:tcPr>
            <w:tcW w:type="dxa" w:w="1559"/>
          </w:tcPr>
          <w:p>
            <w:r>
              <w:rPr>
                <w:sz w:val="20"/>
              </w:rPr>
              <w:t>Solution pour perfusion IV, 50 UI/mL</w:t>
            </w:r>
          </w:p>
        </w:tc>
        <w:tc>
          <w:tcPr>
            <w:tcW w:type="dxa" w:w="1559"/>
          </w:tcPr>
          <w:p>
            <w:r>
              <w:rPr>
                <w:sz w:val="20"/>
              </w:rPr>
              <w:t>Boîte de 1 flacon de 2 mL et de 100 mL</w:t>
            </w:r>
          </w:p>
        </w:tc>
        <w:tc>
          <w:tcPr>
            <w:tcW w:type="dxa" w:w="1559"/>
          </w:tcPr>
          <w:p>
            <w:r>
              <w:rPr>
                <w:sz w:val="20"/>
              </w:rPr>
              <w:t>Liste I</w:t>
            </w:r>
          </w:p>
        </w:tc>
        <w:tc>
          <w:tcPr>
            <w:tcW w:type="dxa" w:w="1559"/>
          </w:tcPr>
          <w:p>
            <w:r>
              <w:rPr>
                <w:sz w:val="20"/>
              </w:rPr>
              <w:t>Actif</w:t>
            </w:r>
          </w:p>
        </w:tc>
      </w:tr>
      <w:tr>
        <w:tc>
          <w:tcPr>
            <w:tcW w:type="dxa" w:w="1559"/>
          </w:tcPr>
          <w:p>
            <w:r>
              <w:rPr>
                <w:sz w:val="20"/>
              </w:rPr>
              <w:t>FOVEPTA 200 UI-UI</w:t>
            </w:r>
          </w:p>
        </w:tc>
        <w:tc>
          <w:tcPr>
            <w:tcW w:type="dxa" w:w="1559"/>
          </w:tcPr>
          <w:p>
            <w:r>
              <w:rPr>
                <w:sz w:val="20"/>
              </w:rPr>
              <w:t>Biotest Pharma GmbH</w:t>
            </w:r>
          </w:p>
        </w:tc>
        <w:tc>
          <w:tcPr>
            <w:tcW w:type="dxa" w:w="1559"/>
          </w:tcPr>
          <w:p>
            <w:r>
              <w:rPr>
                <w:sz w:val="20"/>
              </w:rPr>
              <w:t>Solution injectable en seringue préremplie IM, 500 UI/mL</w:t>
            </w:r>
          </w:p>
        </w:tc>
        <w:tc>
          <w:tcPr>
            <w:tcW w:type="dxa" w:w="1559"/>
          </w:tcPr>
          <w:p>
            <w:r>
              <w:rPr>
                <w:sz w:val="20"/>
              </w:rPr>
              <w:t>Boîte de 1 seringue préremplie de 0,4 mL (200 UI/0,4 mL)</w:t>
            </w:r>
          </w:p>
        </w:tc>
        <w:tc>
          <w:tcPr>
            <w:tcW w:type="dxa" w:w="1559"/>
          </w:tcPr>
          <w:p>
            <w:r>
              <w:rPr>
                <w:sz w:val="20"/>
              </w:rPr>
              <w:t>Liste I</w:t>
            </w:r>
          </w:p>
        </w:tc>
        <w:tc>
          <w:tcPr>
            <w:tcW w:type="dxa" w:w="1559"/>
          </w:tcPr>
          <w:p>
            <w:r>
              <w:rPr>
                <w:sz w:val="20"/>
              </w:rPr>
              <w:t>Actif</w:t>
            </w:r>
          </w:p>
        </w:tc>
      </w:tr>
      <w:tr>
        <w:tc>
          <w:tcPr>
            <w:tcW w:type="dxa" w:w="1559"/>
          </w:tcPr>
          <w:p>
            <w:r>
              <w:rPr>
                <w:sz w:val="20"/>
              </w:rPr>
              <w:t>HEPATITIS B IMMUNOGLOBULIN P BEHRING</w:t>
            </w:r>
          </w:p>
        </w:tc>
        <w:tc>
          <w:tcPr>
            <w:tcW w:type="dxa" w:w="1559"/>
          </w:tcPr>
          <w:p>
            <w:r>
              <w:rPr>
                <w:sz w:val="20"/>
              </w:rPr>
              <w:t>CSL Behring GmbH</w:t>
            </w:r>
          </w:p>
        </w:tc>
        <w:tc>
          <w:tcPr>
            <w:tcW w:type="dxa" w:w="1559"/>
          </w:tcPr>
          <w:p>
            <w:r>
              <w:rPr>
                <w:sz w:val="20"/>
              </w:rPr>
              <w:t>Solution injectable IM en seringue préremplie, 200 UI/mL</w:t>
            </w:r>
          </w:p>
        </w:tc>
        <w:tc>
          <w:tcPr>
            <w:tcW w:type="dxa" w:w="1559"/>
          </w:tcPr>
          <w:p>
            <w:r>
              <w:rPr>
                <w:sz w:val="20"/>
              </w:rPr>
              <w:t>Boîte de 1 seringue pré-remplie de 1 mL</w:t>
            </w:r>
          </w:p>
        </w:tc>
        <w:tc>
          <w:tcPr>
            <w:tcW w:type="dxa" w:w="1559"/>
          </w:tcPr>
          <w:p>
            <w:r>
              <w:rPr>
                <w:sz w:val="20"/>
              </w:rPr>
              <w:t>Liste I</w:t>
            </w:r>
          </w:p>
        </w:tc>
        <w:tc>
          <w:tcPr>
            <w:tcW w:type="dxa" w:w="1559"/>
          </w:tcPr>
          <w:p>
            <w:r>
              <w:rPr>
                <w:sz w:val="20"/>
              </w:rPr>
              <w:t>Actif</w:t>
            </w:r>
          </w:p>
        </w:tc>
      </w:tr>
      <w:tr>
        <w:tc>
          <w:tcPr>
            <w:tcW w:type="dxa" w:w="1559"/>
          </w:tcPr>
          <w:p>
            <w:r>
              <w:rPr>
                <w:sz w:val="20"/>
              </w:rPr>
              <w:t>HEPATITIS B IMMUNOGLOBULIN P BEHRING</w:t>
            </w:r>
          </w:p>
        </w:tc>
        <w:tc>
          <w:tcPr>
            <w:tcW w:type="dxa" w:w="1559"/>
          </w:tcPr>
          <w:p>
            <w:r>
              <w:rPr>
                <w:sz w:val="20"/>
              </w:rPr>
              <w:t>CSL Behring GmbH</w:t>
            </w:r>
          </w:p>
        </w:tc>
        <w:tc>
          <w:tcPr>
            <w:tcW w:type="dxa" w:w="1559"/>
          </w:tcPr>
          <w:p>
            <w:r>
              <w:rPr>
                <w:sz w:val="20"/>
              </w:rPr>
              <w:t>Solution injectable IM en seringue préremplie, 1000 UI/5 mL</w:t>
            </w:r>
          </w:p>
        </w:tc>
        <w:tc>
          <w:tcPr>
            <w:tcW w:type="dxa" w:w="1559"/>
          </w:tcPr>
          <w:p>
            <w:r>
              <w:rPr>
                <w:sz w:val="20"/>
              </w:rPr>
              <w:t>Boîte de 1 seringue pré-remplie de 5 mL</w:t>
            </w:r>
          </w:p>
        </w:tc>
        <w:tc>
          <w:tcPr>
            <w:tcW w:type="dxa" w:w="1559"/>
          </w:tcPr>
          <w:p>
            <w:r>
              <w:rPr>
                <w:sz w:val="20"/>
              </w:rPr>
              <w:t>Liste I</w:t>
            </w:r>
          </w:p>
        </w:tc>
        <w:tc>
          <w:tcPr>
            <w:tcW w:type="dxa" w:w="1559"/>
          </w:tcPr>
          <w:p>
            <w:r>
              <w:rPr>
                <w:sz w:val="20"/>
              </w:rPr>
              <w:t>Actif</w:t>
            </w:r>
          </w:p>
        </w:tc>
      </w:tr>
    </w:tbl>
    <w:p/>
    <w:p>
      <w:r/>
      <w:r>
        <w:rPr>
          <w:b/>
        </w:rPr>
        <w:t>Remarque :</w:t>
      </w:r>
      <w:r>
        <w:t xml:space="preserve"> deux formes galéniques distinctes coexistent : (1) </w:t>
      </w:r>
      <w:r>
        <w:rPr>
          <w:b/>
        </w:rPr>
        <w:t>forme IM</w:t>
      </w:r>
      <w:r>
        <w:t xml:space="preserve"> (FOVEPTA, Hepatitis B P Behring) pour la prophylaxie post-exposition courante et le nouveau-né de mère AgHBs+, (2) </w:t>
      </w:r>
      <w:r>
        <w:rPr>
          <w:b/>
        </w:rPr>
        <w:t>forme IV</w:t>
      </w:r>
      <w:r>
        <w:t xml:space="preserve"> (HEPATECT CP) réservée à la prophylaxie per- et post-transplantation hépatique (volumes importants, perfusion lente sous surveillance médicale stricte).</w:t>
      </w:r>
    </w:p>
    <w:p>
      <w:pPr>
        <w:pStyle w:val="Heading4"/>
      </w:pPr>
      <w:r>
        <w:t>3. Mécanisme d'action moléculaire, cellulaire et physiologique</w:t>
      </w:r>
    </w:p>
    <w:p>
      <w:r>
        <w:t>L'immunoglobuline anti-hépatite B (IgHBs) est composée d'</w:t>
      </w:r>
      <w:r>
        <w:rPr>
          <w:b/>
        </w:rPr>
        <w:t>IgG polyclonales humaines dirigées contre l'antigène de surface du virus de l'hépatite B (HBs)</w:t>
      </w:r>
      <w:r>
        <w:t>. Le mécanisme d'action repose sur la neutralisation directe des particules virales :</w:t>
      </w:r>
    </w:p>
    <w:p>
      <w:r/>
      <w:r>
        <w:rPr>
          <w:b/>
        </w:rPr>
        <w:t>Étape 1 — Reconnaissance de l'antigène HBs :</w:t>
      </w:r>
      <w:r>
        <w:t xml:space="preserve"> le virus de l'hépatite B (VHB, Hepadnaviridae) est enveloppé par une glycoprotéine de surface, l'antigène HBs, qui se lie à son récepteur hépatocytaire, le </w:t>
      </w:r>
      <w:r>
        <w:rPr>
          <w:b/>
        </w:rPr>
        <w:t>transporteur NTCP</w:t>
      </w:r>
      <w:r>
        <w:t xml:space="preserve"> (Na+/taurocholate cotransporting polypeptide, SLC10A1). Cette interaction permet l'internalisation du virus dans l'hépatocyte par endocytose médiée par l'Eps15 homology domain protein 1 (EHD1).</w:t>
      </w:r>
    </w:p>
    <w:p>
      <w:r/>
      <w:r>
        <w:rPr>
          <w:b/>
        </w:rPr>
        <w:t>Étape 2 — Neutralisation par les IgG anti-HBs :</w:t>
      </w:r>
      <w:r>
        <w:t xml:space="preserve"> les IgG anti-HBs exogènes se fixent sur les épitopes conformationnels "a" de l'antigène HBs (déterminant antigénique commun à tous les sous-types ayw, adr, adw, ayr — y compris le sous-type algérien prédominant </w:t>
      </w:r>
      <w:r>
        <w:rPr>
          <w:b/>
        </w:rPr>
        <w:t>ayw2</w:t>
      </w:r>
      <w:r>
        <w:t>). Cette liaison empêche l'interaction du virus avec le NTCP hépatocytaire, bloquant ainsi l'entrée du virus dans les cellules hépatiques.</w:t>
      </w:r>
    </w:p>
    <w:p>
      <w:r/>
      <w:r>
        <w:rPr>
          <w:b/>
        </w:rPr>
        <w:t>Étape 3 — Clearance par le système réticulo-endothélial :</w:t>
      </w:r>
      <w:r>
        <w:t xml:space="preserve"> les complexes immuns (virus + IgG) sont éliminés par les </w:t>
      </w:r>
      <w:r>
        <w:rPr>
          <w:b/>
        </w:rPr>
        <w:t>macrophages spléniques et hépatiques</w:t>
      </w:r>
      <w:r>
        <w:t xml:space="preserve"> via les récepteurs FcγR (FcγRI, FcγRII, FcγRIII) qui reconnaissent la portion Fc des IgG. Cette clearance est rapide (quelques heures) et empêche la dissémination virale hépatique.</w:t>
      </w:r>
    </w:p>
    <w:p>
      <w:r/>
      <w:r>
        <w:rPr>
          <w:b/>
        </w:rPr>
        <w:t>Étape 4 — Effet protecteur transitoire :</w:t>
      </w:r>
      <w:r>
        <w:t xml:space="preserve"> la demi-vie des IgHBs est de </w:t>
      </w:r>
      <w:r>
        <w:rPr>
          <w:b/>
        </w:rPr>
        <w:t>21-25 jours</w:t>
      </w:r>
      <w:r>
        <w:t>, conférant une protection passive immédiate mais transitoire. Cette protection suffit à couvrir la fenêtre critique où la vaccination active (développement d'anticorps anti-HBs endogènes) n'a pas encore atteint un titre protecteur (≥ 10 UI/L), soit 2-4 semaines après la première dose vaccinale.</w:t>
      </w:r>
    </w:p>
    <w:p>
      <w:r/>
      <w:r>
        <w:rPr>
          <w:b/>
        </w:rPr>
        <w:t>Étape 5 — Complémentarité avec la vaccination active :</w:t>
      </w:r>
      <w:r>
        <w:t xml:space="preserve"> la prophylaxie post-exposition combine systématiquement IgHBs (protection immédiate) et vaccin VHB (protection différée mais durable, mémoire immunitaire à vie). Cette stratégie réduit le risque de transmission verticale (nouveau-né de mère AgHBs+) de </w:t>
      </w:r>
      <w:r>
        <w:rPr>
          <w:b/>
        </w:rPr>
        <w:t>90 %</w:t>
      </w:r>
      <w:r>
        <w:t xml:space="preserve"> (sans intervention) à </w:t>
      </w:r>
      <w:r>
        <w:rPr>
          <w:b/>
        </w:rPr>
        <w:t>&lt; 5 %</w:t>
      </w:r>
      <w:r>
        <w:t xml:space="preserve"> (avec IgHBs + vaccin à la naissance).</w:t>
      </w:r>
    </w:p>
    <w:p>
      <w:pPr>
        <w:pStyle w:val="Heading4"/>
      </w:pPr>
      <w:r>
        <w:t>4. Pharmacocinétique (Profil PK)</w:t>
      </w:r>
    </w:p>
    <w:p>
      <w:pPr>
        <w:pStyle w:val="ListBullet"/>
      </w:pPr>
      <w:r/>
      <w:r>
        <w:rPr>
          <w:b/>
        </w:rPr>
        <w:t>Résorption IM :</w:t>
      </w:r>
      <w:r>
        <w:t xml:space="preserve"> pic sérique à 4-7 jours ; biodisponibilité IM ≈ 95 %.</w:t>
      </w:r>
    </w:p>
    <w:p>
      <w:pPr>
        <w:pStyle w:val="ListBullet"/>
      </w:pPr>
      <w:r/>
      <w:r>
        <w:rPr>
          <w:b/>
        </w:rPr>
        <w:t>Distribution :</w:t>
      </w:r>
      <w:r>
        <w:t xml:space="preserve"> volume de distribution ≈ 5-7 L (compartiment vasculaire et interstitial) ; passage transplacentaire passif en fin de grossesse (intérêt limité dans la prophylaxie post-exposition du nouveau-né, où l'administration est post-natale).</w:t>
      </w:r>
    </w:p>
    <w:p>
      <w:pPr>
        <w:pStyle w:val="ListBullet"/>
      </w:pPr>
      <w:r/>
      <w:r>
        <w:rPr>
          <w:b/>
        </w:rPr>
        <w:t>Demi-vie d'élimination :</w:t>
      </w:r>
      <w:r>
        <w:t xml:space="preserve"> 21-25 jours (similaire aux autres IgG humaines).</w:t>
      </w:r>
    </w:p>
    <w:p>
      <w:pPr>
        <w:pStyle w:val="ListBullet"/>
      </w:pPr>
      <w:r/>
      <w:r>
        <w:rPr>
          <w:b/>
        </w:rPr>
        <w:t>Métabolisme :</w:t>
      </w:r>
      <w:r>
        <w:t xml:space="preserve"> protéolyse lysosomale dans les macrophages et cellules endothéliales, sans intervention CYP450.</w:t>
      </w:r>
    </w:p>
    <w:p>
      <w:pPr>
        <w:pStyle w:val="ListBullet"/>
      </w:pPr>
      <w:r/>
      <w:r>
        <w:rPr>
          <w:b/>
        </w:rPr>
        <w:t>Forme IV (HEPATECT CP) :</w:t>
      </w:r>
      <w:r>
        <w:t xml:space="preserve"> biodisponibilité immédiate (5-10 minutes), utilisation en transplantation hépatique avec adaptation selon les taux circulants d'anti-HBs (cible ≥ 100-500 UI/L selon contexte).</w:t>
      </w:r>
    </w:p>
    <w:p>
      <w:pPr>
        <w:pStyle w:val="Heading4"/>
      </w:pPr>
      <w:r>
        <w:t>5. Indications thérapeutiques</w:t>
      </w:r>
    </w:p>
    <w:p>
      <w:r/>
      <w:r>
        <w:rPr>
          <w:b/>
        </w:rPr>
        <w:t>Indications validées (RCP ANSM/HAS/OMS) :</w:t>
      </w:r>
      <w:r/>
    </w:p>
    <w:p>
      <w:pPr>
        <w:pStyle w:val="ListNumber"/>
      </w:pPr>
      <w:r/>
      <w:r>
        <w:rPr>
          <w:b/>
        </w:rPr>
        <w:t>Prophylaxie post-exposition au VHB</w:t>
      </w:r>
      <w:r>
        <w:t xml:space="preserve"> chez sujet non vacciné, non répondeur à la vaccination (anti-HBs &lt; 10 UI/L), ou statut vaccinal inconnu :</w:t>
      </w:r>
    </w:p>
    <w:p>
      <w:pPr>
        <w:pStyle w:val="ListBullet"/>
      </w:pPr>
      <w:r/>
      <w:r>
        <w:rPr>
          <w:b/>
        </w:rPr>
        <w:t>Accident d'exposition au sang (AES)</w:t>
      </w:r>
      <w:r>
        <w:t xml:space="preserve"> : 500 UI IM ASAP (idéalement &lt; 24 h, au plus tard &lt; 7 jours) + vaccination VHB en site différent.</w:t>
      </w:r>
    </w:p>
    <w:p>
      <w:pPr>
        <w:pStyle w:val="ListBullet"/>
      </w:pPr>
      <w:r/>
      <w:r>
        <w:rPr>
          <w:b/>
        </w:rPr>
        <w:t>Exposition sexuelle</w:t>
      </w:r>
      <w:r>
        <w:t xml:space="preserve"> avec partenaire AgHBs+ : 500-1000 UI IM ASAP (&lt; 14 jours) + vaccination.</w:t>
      </w:r>
    </w:p>
    <w:p>
      <w:pPr>
        <w:pStyle w:val="ListBullet"/>
      </w:pPr>
      <w:r/>
      <w:r>
        <w:rPr>
          <w:b/>
        </w:rPr>
        <w:t>Nouveau-né de mère AgHBs+</w:t>
      </w:r>
      <w:r>
        <w:t xml:space="preserve"> : 30 UI IM à la naissance (H0-H12) + vaccin VHB en site différent.</w:t>
      </w:r>
    </w:p>
    <w:p>
      <w:pPr>
        <w:pStyle w:val="ListNumber"/>
      </w:pPr>
      <w:r/>
      <w:r>
        <w:rPr>
          <w:b/>
        </w:rPr>
        <w:t>Prévention de la réinfection du greffon hépatique</w:t>
      </w:r>
      <w:r>
        <w:t xml:space="preserve"> chez receveur transplanté pour cirrhose VHB :</w:t>
      </w:r>
    </w:p>
    <w:p>
      <w:pPr>
        <w:pStyle w:val="ListBullet"/>
      </w:pPr>
      <w:r>
        <w:t>Induction per-transplantation : 10 000 UI IV (HEPATECT CP) en peropératoire.</w:t>
      </w:r>
    </w:p>
    <w:p>
      <w:pPr>
        <w:pStyle w:val="ListBullet"/>
      </w:pPr>
      <w:r>
        <w:t>Entretien : perfusions IV mensuelles adaptées au taux d'anti-HBs circulants (cible 100-500 UI/L selon protocole).</w:t>
      </w:r>
    </w:p>
    <w:p>
      <w:pPr>
        <w:pStyle w:val="ListNumber"/>
      </w:pPr>
      <w:r/>
      <w:r>
        <w:rPr>
          <w:b/>
        </w:rPr>
        <w:t>Transplantation d'organe plein ou de moelle osseuse</w:t>
      </w:r>
      <w:r>
        <w:t xml:space="preserve"> à partir de donneur AgHBs+ chez receveur non immunisé : prophylaxie péri-transplantation.</w:t>
      </w:r>
    </w:p>
    <w:p>
      <w:pPr>
        <w:pStyle w:val="ListNumber"/>
      </w:pPr>
      <w:r/>
      <w:r>
        <w:rPr>
          <w:b/>
        </w:rPr>
        <w:t>Patients hémodialysés non répondeurs à la vaccination</w:t>
      </w:r>
      <w:r>
        <w:t xml:space="preserve"> VHB : prophylaxie post-exposition.</w:t>
      </w:r>
    </w:p>
    <w:p>
      <w:r/>
      <w:r>
        <w:rPr>
          <w:b/>
        </w:rPr>
        <w:t>Indication particulière en Algérie :</w:t>
      </w:r>
      <w:r>
        <w:t xml:space="preserve"> la prophylaxie du nouveau-né de mère AgHBs+ est essentielle dans les régions de forte prévalence (oasis du Sud, zones rurales) ; le dépistage prénatal de l'AgHBs chez toute femme enceinte est obligatoire (loi de santé publique).</w:t>
      </w:r>
    </w:p>
    <w:p>
      <w:pPr>
        <w:pStyle w:val="Heading4"/>
      </w:pPr>
      <w:r>
        <w:t>6. Posologie et mode d'administration</w:t>
      </w:r>
    </w:p>
    <w:p>
      <w:r/>
      <w:r>
        <w:rPr>
          <w:b/>
        </w:rPr>
        <w:t>Posologie adulte :</w:t>
      </w:r>
      <w:r/>
    </w:p>
    <w:p>
      <w:pPr>
        <w:pStyle w:val="ListBullet"/>
      </w:pPr>
      <w:r/>
      <w:r>
        <w:rPr>
          <w:b/>
        </w:rPr>
        <w:t>AES</w:t>
      </w:r>
      <w:r>
        <w:t xml:space="preserve"> : 500 UI IM ASAP + vaccin VHB en site séparé. Si sujet non vacciné ou statut inconnu, renouveler à 1 mois et 6 mois.</w:t>
      </w:r>
    </w:p>
    <w:p>
      <w:pPr>
        <w:pStyle w:val="ListBullet"/>
      </w:pPr>
      <w:r/>
      <w:r>
        <w:rPr>
          <w:b/>
        </w:rPr>
        <w:t>Exposition sexuelle</w:t>
      </w:r>
      <w:r>
        <w:t xml:space="preserve"> : 1000 UI IM ASAP + vaccin.</w:t>
      </w:r>
    </w:p>
    <w:p>
      <w:pPr>
        <w:pStyle w:val="ListBullet"/>
      </w:pPr>
      <w:r/>
      <w:r>
        <w:rPr>
          <w:b/>
        </w:rPr>
        <w:t>Nouveau-né de mère AgHBs+</w:t>
      </w:r>
      <w:r>
        <w:t xml:space="preserve"> : </w:t>
      </w:r>
      <w:r>
        <w:rPr>
          <w:b/>
        </w:rPr>
        <w:t>30 UI IM à la naissance (H0-H12)</w:t>
      </w:r>
      <w:r>
        <w:t xml:space="preserve"> dans la cuisse antérolatérale + vaccin VHB (10 µg IM, autre cuisse). Schéma vaccin complet à 0, 1, 6 mois.</w:t>
      </w:r>
    </w:p>
    <w:p>
      <w:pPr>
        <w:pStyle w:val="ListBullet"/>
      </w:pPr>
      <w:r/>
      <w:r>
        <w:rPr>
          <w:b/>
        </w:rPr>
        <w:t>Transplantation hépatique</w:t>
      </w:r>
      <w:r>
        <w:t xml:space="preserve"> : 10 000 UI IV (HEPATECT CP) peropératoire, puis 5000 UI IV mensuel adapté au taux anti-HBs.</w:t>
      </w:r>
    </w:p>
    <w:p>
      <w:r/>
      <w:r>
        <w:rPr>
          <w:b/>
        </w:rPr>
        <w:t>Voie d'administration :</w:t>
      </w:r>
      <w:r/>
    </w:p>
    <w:p>
      <w:pPr>
        <w:pStyle w:val="ListBullet"/>
      </w:pPr>
      <w:r/>
      <w:r>
        <w:rPr>
          <w:b/>
        </w:rPr>
        <w:t>Voie IM stricte</w:t>
      </w:r>
      <w:r>
        <w:t xml:space="preserve"> pour FOVEPTA et Hepatitis B P Behring (cuisse antérolatérale chez nourrisson, deltoïde chez adulte).</w:t>
      </w:r>
    </w:p>
    <w:p>
      <w:pPr>
        <w:pStyle w:val="ListBullet"/>
      </w:pPr>
      <w:r/>
      <w:r>
        <w:rPr>
          <w:b/>
        </w:rPr>
        <w:t>Voie IV stricte</w:t>
      </w:r>
      <w:r>
        <w:t xml:space="preserve"> pour HEPATECT CP (perfusion lente, débit ≤ 2 mL/min, surveillance médicale continue).</w:t>
      </w:r>
    </w:p>
    <w:p>
      <w:pPr>
        <w:pStyle w:val="ListBullet"/>
      </w:pPr>
      <w:r/>
      <w:r>
        <w:rPr>
          <w:b/>
        </w:rPr>
        <w:t>Sites séparés</w:t>
      </w:r>
      <w:r>
        <w:t xml:space="preserve"> pour IgHBs et vaccin VHB (jamais dans la même seringue, jamais au même site).</w:t>
      </w:r>
    </w:p>
    <w:p>
      <w:pPr>
        <w:pStyle w:val="Heading4"/>
      </w:pPr>
      <w:r>
        <w:t>7. Effets indésirables et prévention</w:t>
      </w:r>
    </w:p>
    <w:p>
      <w:r/>
      <w:r>
        <w:rPr>
          <w:b/>
        </w:rPr>
        <w:t>Effets indésirables fréquents (&gt; 1 %) :</w:t>
      </w:r>
      <w:r/>
    </w:p>
    <w:p>
      <w:pPr>
        <w:pStyle w:val="ListBullet"/>
      </w:pPr>
      <w:r>
        <w:t>Réactions locales au site d'injection : douleur (10-15 %), induration, rougeur (5-10 %).</w:t>
      </w:r>
    </w:p>
    <w:p>
      <w:pPr>
        <w:pStyle w:val="ListBullet"/>
      </w:pPr>
      <w:r>
        <w:t>Fièvre modérée, frissons (3 %).</w:t>
      </w:r>
    </w:p>
    <w:p>
      <w:pPr>
        <w:pStyle w:val="ListBullet"/>
      </w:pPr>
      <w:r>
        <w:t>Céphalées, myalgies transitoires (2-3 %).</w:t>
      </w:r>
    </w:p>
    <w:p>
      <w:pPr>
        <w:pStyle w:val="ListBullet"/>
      </w:pPr>
      <w:r>
        <w:t>Réactions allergiques cutanées (urticaire, prurit) (&lt; 1 %).</w:t>
      </w:r>
    </w:p>
    <w:p>
      <w:r/>
      <w:r>
        <w:rPr>
          <w:b/>
        </w:rPr>
        <w:t>Effets indésirables rares (&lt; 0,1 %) :</w:t>
      </w:r>
      <w:r/>
    </w:p>
    <w:p>
      <w:pPr>
        <w:pStyle w:val="ListBullet"/>
      </w:pPr>
      <w:r>
        <w:t>Réactions d'hypersensibilité systémique (angio-œdème, bronchospasme, exceptionnellement choc anaphylactique).</w:t>
      </w:r>
    </w:p>
    <w:p>
      <w:pPr>
        <w:pStyle w:val="ListBullet"/>
      </w:pPr>
      <w:r>
        <w:t>Hémolyse transitoire modérée (surtout après doses massives IV).</w:t>
      </w:r>
    </w:p>
    <w:p>
      <w:pPr>
        <w:pStyle w:val="ListBullet"/>
      </w:pPr>
      <w:r>
        <w:t>Méningite aseptique exceptionnelle.</w:t>
      </w:r>
    </w:p>
    <w:p>
      <w:pPr>
        <w:pStyle w:val="ListBullet"/>
      </w:pPr>
      <w:r>
        <w:t>Thrombo-embolie veineuse (cas exceptionnels avec doses massives IV chez patients alités).</w:t>
      </w:r>
    </w:p>
    <w:p>
      <w:r/>
      <w:r>
        <w:rPr>
          <w:b/>
        </w:rPr>
        <w:t>Prévention :</w:t>
      </w:r>
      <w:r/>
    </w:p>
    <w:p>
      <w:pPr>
        <w:pStyle w:val="ListBullet"/>
      </w:pPr>
      <w:r>
        <w:t>Vérifier l'absence d'antécédents d'allergie aux IgG humaines.</w:t>
      </w:r>
    </w:p>
    <w:p>
      <w:pPr>
        <w:pStyle w:val="ListBullet"/>
      </w:pPr>
      <w:r>
        <w:t>Surveillance 20-30 minutes post-injection (réaction allergique).</w:t>
      </w:r>
    </w:p>
    <w:p>
      <w:pPr>
        <w:pStyle w:val="ListBullet"/>
      </w:pPr>
      <w:r>
        <w:t>Respecter la voie d'administration (IM ≠ IV selon la spécialité).</w:t>
      </w:r>
    </w:p>
    <w:p>
      <w:pPr>
        <w:pStyle w:val="ListBullet"/>
      </w:pPr>
      <w:r>
        <w:t>Pour HEPATECT CP IV : perfusion lente, surveillance médicale stricte (régénération du liquide d'ascite en particulier).</w:t>
      </w:r>
    </w:p>
    <w:p>
      <w:pPr>
        <w:pStyle w:val="Heading4"/>
      </w:pPr>
      <w:r>
        <w:t>8. Interactions médicamenteuses</w:t>
      </w:r>
    </w:p>
    <w:p>
      <w:pPr>
        <w:pStyle w:val="ListBullet"/>
      </w:pPr>
      <w:r/>
      <w:r>
        <w:rPr>
          <w:b/>
        </w:rPr>
        <w:t>Aucune interaction médicamenteuse systémique significative</w:t>
      </w:r>
      <w:r>
        <w:t xml:space="preserve"> (IgG exogènes non métabolisées par CYP450).</w:t>
      </w:r>
    </w:p>
    <w:p>
      <w:pPr>
        <w:pStyle w:val="ListBullet"/>
      </w:pPr>
      <w:r/>
      <w:r>
        <w:rPr>
          <w:b/>
        </w:rPr>
        <w:t>Vaccinations à virus vivants atténués</w:t>
      </w:r>
      <w:r>
        <w:t xml:space="preserve"> : espacer de 3 mois après IgHBs (réduction possible de l'efficacité vaccinale par neutralisation passive). Pas d'interaction avec vaccins inactivés (tétanos, poliomyélite injectable, hépatite A, grippe, COVID-19).</w:t>
      </w:r>
    </w:p>
    <w:p>
      <w:pPr>
        <w:pStyle w:val="ListBullet"/>
      </w:pPr>
      <w:r/>
      <w:r>
        <w:rPr>
          <w:b/>
        </w:rPr>
        <w:t>Vaccin VHB</w:t>
      </w:r>
      <w:r>
        <w:t xml:space="preserve"> : ne jamais mélanger dans la même seringue ; administrer en sites séparés.</w:t>
      </w:r>
    </w:p>
    <w:p>
      <w:pPr>
        <w:pStyle w:val="ListBullet"/>
      </w:pPr>
      <w:r/>
      <w:r>
        <w:rPr>
          <w:b/>
        </w:rPr>
        <w:t>Autres Ig spécifiques (anti-tétanique, anti-rabique, anti-cytomégalovirus)</w:t>
      </w:r>
      <w:r>
        <w:t xml:space="preserve"> : pas d'interaction, mais éviter l'administration simultanée de volumes importants d'IgIV polyvalente (compétition FcγR).</w:t>
      </w:r>
    </w:p>
    <w:p>
      <w:pPr>
        <w:pStyle w:val="Heading4"/>
      </w:pPr>
      <w:r>
        <w:t>9. Grossesse, allaitement et CRAT</w:t>
      </w:r>
    </w:p>
    <w:p>
      <w:r/>
      <w:r>
        <w:rPr>
          <w:b/>
        </w:rPr>
        <w:t>Grossesse :</w:t>
      </w:r>
      <w:r/>
    </w:p>
    <w:p>
      <w:pPr>
        <w:pStyle w:val="ListBullet"/>
      </w:pPr>
      <w:r>
        <w:t>CRAT : "À PROPOSER" — l'IgHBs peut être administrée pendant la grossesse en cas d'exposition documentée (AES, partenaire AgHBs+) car le bénéfice (prévention de l'hépatite B aiguë chez la mère et le fœtus) dépasse le risque théorique.</w:t>
      </w:r>
    </w:p>
    <w:p>
      <w:pPr>
        <w:pStyle w:val="ListBullet"/>
      </w:pPr>
      <w:r>
        <w:t>Les IgG anti-HBs peuvent traverser la barrière placentaire en fin de grossesse, conférant une protection passive transitoire au nouveau-né (effet bénéfique additif).</w:t>
      </w:r>
    </w:p>
    <w:p>
      <w:pPr>
        <w:pStyle w:val="ListBullet"/>
      </w:pPr>
      <w:r/>
      <w:r>
        <w:rPr>
          <w:b/>
        </w:rPr>
        <w:t>Aucun effet tératogène</w:t>
      </w:r>
      <w:r>
        <w:t xml:space="preserve"> documenté.</w:t>
      </w:r>
    </w:p>
    <w:p>
      <w:r/>
      <w:r>
        <w:rPr>
          <w:b/>
        </w:rPr>
        <w:t>Allaitement :</w:t>
      </w:r>
      <w:r/>
    </w:p>
    <w:p>
      <w:pPr>
        <w:pStyle w:val="ListBullet"/>
      </w:pPr>
      <w:r/>
      <w:r>
        <w:rPr>
          <w:b/>
        </w:rPr>
        <w:t>Compatible</w:t>
      </w:r>
      <w:r>
        <w:t xml:space="preserve"> (CRAT : "À PROPOSER"). Les IgG sont excrétées dans le lait en faible quantité, dégradées par les protéases digestives infantiles. Aucun effet indésirable rapporté.</w:t>
      </w:r>
    </w:p>
    <w:p>
      <w:pPr>
        <w:pStyle w:val="ListBullet"/>
      </w:pPr>
      <w:r>
        <w:t>En cas de mère AgHBs+ : l'allaitement maternel n'est pas contre-indiqué si le nouveau-né a reçu IgHBs + vaccin VHB à la naissance (recommandations OMS).</w:t>
      </w:r>
    </w:p>
    <w:p>
      <w:pPr>
        <w:pStyle w:val="Heading4"/>
      </w:pPr>
      <w:r>
        <w:t>10. Formes galéniques disponibles</w:t>
      </w:r>
    </w:p>
    <w:p>
      <w:pPr>
        <w:pStyle w:val="ListBullet"/>
      </w:pPr>
      <w:r/>
      <w:r>
        <w:rPr>
          <w:b/>
        </w:rPr>
        <w:t>Seringue préremplie IM</w:t>
      </w:r>
      <w:r>
        <w:t xml:space="preserve"> (FOVEPTA 200 UI, Hepatitis B P Behring 200 UI/mL et 1000 UI/5 mL) : solution prête à l'emploi, stérile, sans conservateur.</w:t>
      </w:r>
    </w:p>
    <w:p>
      <w:pPr>
        <w:pStyle w:val="ListBullet"/>
      </w:pPr>
      <w:r/>
      <w:r>
        <w:rPr>
          <w:b/>
        </w:rPr>
        <w:t>Flacon pour perfusion IV</w:t>
      </w:r>
      <w:r>
        <w:t xml:space="preserve"> (HEPATECT CP) : 2 mL (100 UI) ou 100 mL (5000 UI), solution à diluer éventuellement dans NaCl 0,9 % ou glucosé 5 %.</w:t>
      </w:r>
    </w:p>
    <w:p>
      <w:pPr>
        <w:pStyle w:val="ListBullet"/>
      </w:pPr>
      <w:r>
        <w:t xml:space="preserve">Conservation : </w:t>
      </w:r>
      <w:r>
        <w:rPr>
          <w:b/>
        </w:rPr>
        <w:t>+2 à +8 °C</w:t>
      </w:r>
      <w:r>
        <w:t>, à l'abri de la lumière, ne pas congeler.</w:t>
      </w:r>
    </w:p>
    <w:p>
      <w:pPr>
        <w:pStyle w:val="ListBullet"/>
      </w:pPr>
      <w:r>
        <w:t>Pas d'agitation vigoureuse (dénaturation protéique).</w:t>
      </w:r>
    </w:p>
    <w:p>
      <w:pPr>
        <w:pStyle w:val="Heading4"/>
      </w:pPr>
      <w:r>
        <w:t>11. Conseils au patient</w:t>
      </w:r>
    </w:p>
    <w:p>
      <w:r/>
      <w:r>
        <w:rPr>
          <w:b/>
        </w:rPr>
        <w:t>Conseils au sujet exposé :</w:t>
      </w:r>
      <w:r/>
    </w:p>
    <w:p>
      <w:pPr>
        <w:pStyle w:val="ListBullet"/>
      </w:pPr>
      <w:r>
        <w:t>"Cette injection protège immédiatement contre l'hépatite B, mais la protection est transitoire (≈ 3-6 mois). L'association avec le vaccin VHB assure une protection durable à vie."</w:t>
      </w:r>
    </w:p>
    <w:p>
      <w:pPr>
        <w:pStyle w:val="ListBullet"/>
      </w:pPr>
      <w:r>
        <w:t>"L'injection se fait dans le muscle (deltoïde ou cuisse), peut être douloureuse sur quelques minutes."</w:t>
      </w:r>
    </w:p>
    <w:p>
      <w:pPr>
        <w:pStyle w:val="ListBullet"/>
      </w:pPr>
      <w:r>
        <w:t>"Pour le nouveau-né de mère AgHBs+ : injection à la naissance (avant 12 h) + vaccin en site différent + 2ᵉ dose à 1 mois + 3ᵉ dose à 6 mois. Contrôle anti-HBs à 9-12 mois."</w:t>
      </w:r>
    </w:p>
    <w:p>
      <w:pPr>
        <w:pStyle w:val="ListBullet"/>
      </w:pPr>
      <w:r>
        <w:t>"Surveillance 20-30 minutes après l'injection (réaction allergique rare)."</w:t>
      </w:r>
    </w:p>
    <w:p>
      <w:pPr>
        <w:pStyle w:val="ListBullet"/>
      </w:pPr>
      <w:r>
        <w:t>"Une fièvre modérée et des courbatures peuvent survenir dans les 24 heures — paracétamol autorisé."</w:t>
      </w:r>
    </w:p>
    <w:p>
      <w:pPr>
        <w:pStyle w:val="ListBullet"/>
      </w:pPr>
      <w:r>
        <w:t>"Compatible avec l'allaitement maternel."</w:t>
      </w:r>
    </w:p>
    <w:p>
      <w:pPr>
        <w:pStyle w:val="ListBullet"/>
      </w:pPr>
      <w:r>
        <w:t>"Pour AES : consultation ASAP (&lt; 24 h idéalement, &lt; 7 jours max)."</w:t>
      </w:r>
    </w:p>
    <w:p>
      <w:pPr>
        <w:pStyle w:val="Heading4"/>
      </w:pPr>
      <w:r>
        <w:t>12. Pièges au comptoir — Règles d'or</w:t>
      </w:r>
    </w:p>
    <w:p>
      <w:pPr>
        <w:pStyle w:val="ListNumber"/>
      </w:pPr>
      <w:r/>
      <w:r>
        <w:rPr>
          <w:b/>
        </w:rPr>
        <w:t>Voie IM ≠ voie IV :</w:t>
      </w:r>
      <w:r>
        <w:t xml:space="preserve"> FOVEPTA et Hepatitis B P Behring IM stricte ; HEPATECT CP IV stricte. Ne jamais inverser.</w:t>
      </w:r>
    </w:p>
    <w:p>
      <w:pPr>
        <w:pStyle w:val="ListNumber"/>
      </w:pPr>
      <w:r/>
      <w:r>
        <w:rPr>
          <w:b/>
        </w:rPr>
        <w:t>Délai ≤ 24 h post-exposition</w:t>
      </w:r>
      <w:r>
        <w:t xml:space="preserve"> (idéalement H0-H12 chez le nouveau-né) ; au-delà, l'efficacité diminue.</w:t>
      </w:r>
    </w:p>
    <w:p>
      <w:pPr>
        <w:pStyle w:val="ListNumber"/>
      </w:pPr>
      <w:r/>
      <w:r>
        <w:rPr>
          <w:b/>
        </w:rPr>
        <w:t>Sites séparés</w:t>
      </w:r>
      <w:r>
        <w:t xml:space="preserve"> pour IgHBs et vaccin VHB — jamais mélangés dans la même seringue.</w:t>
      </w:r>
    </w:p>
    <w:p>
      <w:pPr>
        <w:pStyle w:val="ListNumber"/>
      </w:pPr>
      <w:r/>
      <w:r>
        <w:rPr>
          <w:b/>
        </w:rPr>
        <w:t>Nouveau-né de mère AgHBs+ : 30 UI IM à la naissance (H0-H12) + vaccin</w:t>
      </w:r>
      <w:r>
        <w:t xml:space="preserve"> — schéma combiné obligatoire (la vaccination seule est insuffisante, surtout si charge virale maternelle élevée).</w:t>
      </w:r>
    </w:p>
    <w:p>
      <w:pPr>
        <w:pStyle w:val="ListNumber"/>
      </w:pPr>
      <w:r/>
      <w:r>
        <w:rPr>
          <w:b/>
        </w:rPr>
        <w:t>Vérifier le statut vaccinal et le titre anti-HBs</w:t>
      </w:r>
      <w:r>
        <w:t xml:space="preserve"> du sujet exposé (si anti-HBs ≥ 10 UI/L documenté récemment, IgHBs non nécessaire pour AES simple).</w:t>
      </w:r>
    </w:p>
    <w:p>
      <w:pPr>
        <w:pStyle w:val="ListNumber"/>
      </w:pPr>
      <w:r/>
      <w:r>
        <w:rPr>
          <w:b/>
        </w:rPr>
        <w:t>Ne pas confondre</w:t>
      </w:r>
      <w:r>
        <w:t xml:space="preserve"> avec les immunoglobulines anti-D (indication obstétricale totalement différente) ou polyvalentes IV (IgIV).</w:t>
      </w:r>
    </w:p>
    <w:p>
      <w:pPr>
        <w:pStyle w:val="ListNumber"/>
      </w:pPr>
      <w:r/>
      <w:r>
        <w:rPr>
          <w:b/>
        </w:rPr>
        <w:t>Pas de CI à l'allaitement</w:t>
      </w:r>
      <w:r>
        <w:t xml:space="preserve"> — disculper la patiente de cette crainte fréquente.</w:t>
      </w:r>
    </w:p>
    <w:p>
      <w:pPr>
        <w:pStyle w:val="ListNumber"/>
      </w:pPr>
      <w:r/>
      <w:r>
        <w:rPr>
          <w:b/>
        </w:rPr>
        <w:t>Respecter la chaîne du froid</w:t>
      </w:r>
      <w:r>
        <w:t xml:space="preserve"> (+2 à +8 °C) ; ne pas congeler (dénaturation protéique).</w:t>
      </w:r>
    </w:p>
    <w:p>
      <w:pPr>
        <w:pStyle w:val="ListNumber"/>
      </w:pPr>
      <w:r/>
      <w:r>
        <w:rPr>
          <w:b/>
        </w:rPr>
        <w:t>HEPATECT CP</w:t>
      </w:r>
      <w:r>
        <w:t xml:space="preserve"> : perfusion IV lente (débit ≤ 2 mL/min), surveillance médicale stricte (choc anaphylactoïde).</w:t>
      </w:r>
    </w:p>
    <w:p>
      <w:pPr>
        <w:pStyle w:val="Heading3"/>
      </w:pPr>
      <w:r>
        <w:t>173.6.3. DCI : Albumine humaine</w:t>
      </w:r>
    </w:p>
    <w:p>
      <w:pPr>
        <w:pStyle w:val="Heading4"/>
      </w:pPr>
      <w:r>
        <w:t>1. Liste catégories pharmaco-thérapeutiques</w:t>
      </w:r>
    </w:p>
    <w:p>
      <w:r/>
      <w:r>
        <w:rPr>
          <w:b/>
        </w:rPr>
        <w:t>Catégories :</w:t>
      </w:r>
      <w:r>
        <w:t xml:space="preserve"> Substitut du plasma ; Protéine plasmatique humaine ; Expandeur volémique oncotique ; Médicament dérivé du sang ; Pression oncotique ; Transport macromoléculaire ; Anti-œdémateux ; Prévention hypovolémie post-paracentèse ; Réanimation hémodynamique. </w:t>
      </w:r>
      <w:r>
        <w:rPr>
          <w:b/>
        </w:rPr>
        <w:t>Liste I</w:t>
      </w:r>
      <w:r>
        <w:t xml:space="preserve"> (sur ordonnance). Spécialités hospitalières principalement (services de réanimation, hépatologie, néphrologie, chirurgie lourde, urgences). Délivrance exceptionnelle en officine sur prescription hospitalière pour traitement ambulatoire prolongé (rare). Traçabilité nominative obligatoire.</w:t>
      </w:r>
    </w:p>
    <w:p>
      <w:pPr>
        <w:pStyle w:val="Heading4"/>
      </w:pPr>
      <w:r>
        <w:t>2. Table commerciale des spécialités algériennes (nomenclature Avril 2026)</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ALBUMINE HUMAINE 20% BIOTEST</w:t>
            </w:r>
          </w:p>
        </w:tc>
        <w:tc>
          <w:tcPr>
            <w:tcW w:type="dxa" w:w="1559"/>
          </w:tcPr>
          <w:p>
            <w:r>
              <w:rPr>
                <w:sz w:val="20"/>
              </w:rPr>
              <w:t>Biotest Pharma GmbH</w:t>
            </w:r>
          </w:p>
        </w:tc>
        <w:tc>
          <w:tcPr>
            <w:tcW w:type="dxa" w:w="1559"/>
          </w:tcPr>
          <w:p>
            <w:r>
              <w:rPr>
                <w:sz w:val="20"/>
              </w:rPr>
              <w:t>Solution pour perfusion IV, 0,2 (20 %)</w:t>
            </w:r>
          </w:p>
        </w:tc>
        <w:tc>
          <w:tcPr>
            <w:tcW w:type="dxa" w:w="1559"/>
          </w:tcPr>
          <w:p>
            <w:r>
              <w:rPr>
                <w:sz w:val="20"/>
              </w:rPr>
              <w:t>Flacon de 50 mL et flacon de 100 mL</w:t>
            </w:r>
          </w:p>
        </w:tc>
        <w:tc>
          <w:tcPr>
            <w:tcW w:type="dxa" w:w="1559"/>
          </w:tcPr>
          <w:p>
            <w:r>
              <w:rPr>
                <w:sz w:val="20"/>
              </w:rPr>
              <w:t>Liste I</w:t>
            </w:r>
          </w:p>
        </w:tc>
        <w:tc>
          <w:tcPr>
            <w:tcW w:type="dxa" w:w="1559"/>
          </w:tcPr>
          <w:p>
            <w:r>
              <w:rPr>
                <w:sz w:val="20"/>
              </w:rPr>
              <w:t>Actif</w:t>
            </w:r>
          </w:p>
        </w:tc>
      </w:tr>
      <w:tr>
        <w:tc>
          <w:tcPr>
            <w:tcW w:type="dxa" w:w="1559"/>
          </w:tcPr>
          <w:p>
            <w:r>
              <w:rPr>
                <w:sz w:val="20"/>
              </w:rPr>
              <w:t>SK ALBUMIN 20% INJECTION</w:t>
            </w:r>
          </w:p>
        </w:tc>
        <w:tc>
          <w:tcPr>
            <w:tcW w:type="dxa" w:w="1559"/>
          </w:tcPr>
          <w:p>
            <w:r>
              <w:rPr>
                <w:sz w:val="20"/>
              </w:rPr>
              <w:t>SK Plasma Co. Ltd</w:t>
            </w:r>
          </w:p>
        </w:tc>
        <w:tc>
          <w:tcPr>
            <w:tcW w:type="dxa" w:w="1559"/>
          </w:tcPr>
          <w:p>
            <w:r>
              <w:rPr>
                <w:sz w:val="20"/>
              </w:rPr>
              <w:t>Solution pour perfusion IV, 0,2 (20 %)</w:t>
            </w:r>
          </w:p>
        </w:tc>
        <w:tc>
          <w:tcPr>
            <w:tcW w:type="dxa" w:w="1559"/>
          </w:tcPr>
          <w:p>
            <w:r>
              <w:rPr>
                <w:sz w:val="20"/>
              </w:rPr>
              <w:t>Flacon de 50 mL et flacon de 100 mL</w:t>
            </w:r>
          </w:p>
        </w:tc>
        <w:tc>
          <w:tcPr>
            <w:tcW w:type="dxa" w:w="1559"/>
          </w:tcPr>
          <w:p>
            <w:r>
              <w:rPr>
                <w:sz w:val="20"/>
              </w:rPr>
              <w:t>Liste I</w:t>
            </w:r>
          </w:p>
        </w:tc>
        <w:tc>
          <w:tcPr>
            <w:tcW w:type="dxa" w:w="1559"/>
          </w:tcPr>
          <w:p>
            <w:r>
              <w:rPr>
                <w:sz w:val="20"/>
              </w:rPr>
              <w:t>Actif</w:t>
            </w:r>
          </w:p>
        </w:tc>
      </w:tr>
      <w:tr>
        <w:tc>
          <w:tcPr>
            <w:tcW w:type="dxa" w:w="1559"/>
          </w:tcPr>
          <w:p>
            <w:r>
              <w:rPr>
                <w:sz w:val="20"/>
              </w:rPr>
              <w:t>ALBUTEN 20%</w:t>
            </w:r>
          </w:p>
        </w:tc>
        <w:tc>
          <w:tcPr>
            <w:tcW w:type="dxa" w:w="1559"/>
          </w:tcPr>
          <w:p>
            <w:r>
              <w:rPr>
                <w:sz w:val="20"/>
              </w:rPr>
              <w:t>Instituto Grifols S.A.</w:t>
            </w:r>
          </w:p>
        </w:tc>
        <w:tc>
          <w:tcPr>
            <w:tcW w:type="dxa" w:w="1559"/>
          </w:tcPr>
          <w:p>
            <w:r>
              <w:rPr>
                <w:sz w:val="20"/>
              </w:rPr>
              <w:t>Solution pour perfusion IV, 0,2 (20 %)</w:t>
            </w:r>
          </w:p>
        </w:tc>
        <w:tc>
          <w:tcPr>
            <w:tcW w:type="dxa" w:w="1559"/>
          </w:tcPr>
          <w:p>
            <w:r>
              <w:rPr>
                <w:sz w:val="20"/>
              </w:rPr>
              <w:t>Flacon de 50 mL et flacon de 100 mL</w:t>
            </w:r>
          </w:p>
        </w:tc>
        <w:tc>
          <w:tcPr>
            <w:tcW w:type="dxa" w:w="1559"/>
          </w:tcPr>
          <w:p>
            <w:r>
              <w:rPr>
                <w:sz w:val="20"/>
              </w:rPr>
              <w:t>Liste I</w:t>
            </w:r>
          </w:p>
        </w:tc>
        <w:tc>
          <w:tcPr>
            <w:tcW w:type="dxa" w:w="1559"/>
          </w:tcPr>
          <w:p>
            <w:r>
              <w:rPr>
                <w:sz w:val="20"/>
              </w:rPr>
              <w:t>Actif</w:t>
            </w:r>
          </w:p>
        </w:tc>
      </w:tr>
      <w:tr>
        <w:tc>
          <w:tcPr>
            <w:tcW w:type="dxa" w:w="1559"/>
          </w:tcPr>
          <w:p>
            <w:r>
              <w:rPr>
                <w:sz w:val="20"/>
              </w:rPr>
              <w:t>HUMAN ALBUMIN BAXTER</w:t>
            </w:r>
          </w:p>
        </w:tc>
        <w:tc>
          <w:tcPr>
            <w:tcW w:type="dxa" w:w="1559"/>
          </w:tcPr>
          <w:p>
            <w:r>
              <w:rPr>
                <w:sz w:val="20"/>
              </w:rPr>
              <w:t>Baxter AG</w:t>
            </w:r>
          </w:p>
        </w:tc>
        <w:tc>
          <w:tcPr>
            <w:tcW w:type="dxa" w:w="1559"/>
          </w:tcPr>
          <w:p>
            <w:r>
              <w:rPr>
                <w:sz w:val="20"/>
              </w:rPr>
              <w:t>Solution injectable IV, 0,2 (20 %)</w:t>
            </w:r>
          </w:p>
        </w:tc>
        <w:tc>
          <w:tcPr>
            <w:tcW w:type="dxa" w:w="1559"/>
          </w:tcPr>
          <w:p>
            <w:r>
              <w:rPr>
                <w:sz w:val="20"/>
              </w:rPr>
              <w:t>Flacon de 50 mL et flacon de 100 mL</w:t>
            </w:r>
          </w:p>
        </w:tc>
        <w:tc>
          <w:tcPr>
            <w:tcW w:type="dxa" w:w="1559"/>
          </w:tcPr>
          <w:p>
            <w:r>
              <w:rPr>
                <w:sz w:val="20"/>
              </w:rPr>
              <w:t>Liste I</w:t>
            </w:r>
          </w:p>
        </w:tc>
        <w:tc>
          <w:tcPr>
            <w:tcW w:type="dxa" w:w="1559"/>
          </w:tcPr>
          <w:p>
            <w:r>
              <w:rPr>
                <w:sz w:val="20"/>
              </w:rPr>
              <w:t>Actif</w:t>
            </w:r>
          </w:p>
        </w:tc>
      </w:tr>
      <w:tr>
        <w:tc>
          <w:tcPr>
            <w:tcW w:type="dxa" w:w="1559"/>
          </w:tcPr>
          <w:p>
            <w:r>
              <w:rPr>
                <w:sz w:val="20"/>
              </w:rPr>
              <w:t>VIALEBEX</w:t>
            </w:r>
          </w:p>
        </w:tc>
        <w:tc>
          <w:tcPr>
            <w:tcW w:type="dxa" w:w="1559"/>
          </w:tcPr>
          <w:p>
            <w:r>
              <w:rPr>
                <w:sz w:val="20"/>
              </w:rPr>
              <w:t>LFB Biomédicaments</w:t>
            </w:r>
          </w:p>
        </w:tc>
        <w:tc>
          <w:tcPr>
            <w:tcW w:type="dxa" w:w="1559"/>
          </w:tcPr>
          <w:p>
            <w:r>
              <w:rPr>
                <w:sz w:val="20"/>
              </w:rPr>
              <w:t>Solution pour perfusion IV, 0,2 (20 %)</w:t>
            </w:r>
          </w:p>
        </w:tc>
        <w:tc>
          <w:tcPr>
            <w:tcW w:type="dxa" w:w="1559"/>
          </w:tcPr>
          <w:p>
            <w:r>
              <w:rPr>
                <w:sz w:val="20"/>
              </w:rPr>
              <w:t>Flacon de 50 mL et flacon de 100 mL</w:t>
            </w:r>
          </w:p>
        </w:tc>
        <w:tc>
          <w:tcPr>
            <w:tcW w:type="dxa" w:w="1559"/>
          </w:tcPr>
          <w:p>
            <w:r>
              <w:rPr>
                <w:sz w:val="20"/>
              </w:rPr>
              <w:t>Liste I</w:t>
            </w:r>
          </w:p>
        </w:tc>
        <w:tc>
          <w:tcPr>
            <w:tcW w:type="dxa" w:w="1559"/>
          </w:tcPr>
          <w:p>
            <w:r>
              <w:rPr>
                <w:sz w:val="20"/>
              </w:rPr>
              <w:t>Actif</w:t>
            </w:r>
          </w:p>
        </w:tc>
      </w:tr>
      <w:tr>
        <w:tc>
          <w:tcPr>
            <w:tcW w:type="dxa" w:w="1559"/>
          </w:tcPr>
          <w:p>
            <w:r>
              <w:rPr>
                <w:sz w:val="20"/>
              </w:rPr>
              <w:t>ALBUREL</w:t>
            </w:r>
          </w:p>
        </w:tc>
        <w:tc>
          <w:tcPr>
            <w:tcW w:type="dxa" w:w="1559"/>
          </w:tcPr>
          <w:p>
            <w:r>
              <w:rPr>
                <w:sz w:val="20"/>
              </w:rPr>
              <w:t>CPCM (Saidal)</w:t>
            </w:r>
          </w:p>
        </w:tc>
        <w:tc>
          <w:tcPr>
            <w:tcW w:type="dxa" w:w="1559"/>
          </w:tcPr>
          <w:p>
            <w:r>
              <w:rPr>
                <w:sz w:val="20"/>
              </w:rPr>
              <w:t>Solution pour perfusion IV, 20 % (20 g/100 mL)</w:t>
            </w:r>
          </w:p>
        </w:tc>
        <w:tc>
          <w:tcPr>
            <w:tcW w:type="dxa" w:w="1559"/>
          </w:tcPr>
          <w:p>
            <w:r>
              <w:rPr>
                <w:sz w:val="20"/>
              </w:rPr>
              <w:t>Boîte de 1 flacon de 50 mL et 1 flacon de 100 mL</w:t>
            </w:r>
          </w:p>
        </w:tc>
        <w:tc>
          <w:tcPr>
            <w:tcW w:type="dxa" w:w="1559"/>
          </w:tcPr>
          <w:p>
            <w:r>
              <w:rPr>
                <w:sz w:val="20"/>
              </w:rPr>
              <w:t>—</w:t>
            </w:r>
          </w:p>
        </w:tc>
        <w:tc>
          <w:tcPr>
            <w:tcW w:type="dxa" w:w="1559"/>
          </w:tcPr>
          <w:p>
            <w:r>
              <w:rPr>
                <w:sz w:val="20"/>
              </w:rPr>
              <w:t>Actif</w:t>
            </w:r>
          </w:p>
        </w:tc>
      </w:tr>
      <w:tr>
        <w:tc>
          <w:tcPr>
            <w:tcW w:type="dxa" w:w="1559"/>
          </w:tcPr>
          <w:p>
            <w:r>
              <w:rPr>
                <w:sz w:val="20"/>
              </w:rPr>
              <w:t>HUMAN ALBUMIN BEHRING 20%</w:t>
            </w:r>
          </w:p>
        </w:tc>
        <w:tc>
          <w:tcPr>
            <w:tcW w:type="dxa" w:w="1559"/>
          </w:tcPr>
          <w:p>
            <w:r>
              <w:rPr>
                <w:sz w:val="20"/>
              </w:rPr>
              <w:t>CSL Behring GmbH</w:t>
            </w:r>
          </w:p>
        </w:tc>
        <w:tc>
          <w:tcPr>
            <w:tcW w:type="dxa" w:w="1559"/>
          </w:tcPr>
          <w:p>
            <w:r>
              <w:rPr>
                <w:sz w:val="20"/>
              </w:rPr>
              <w:t>Solution pour perfusion IV, 200 g/L</w:t>
            </w:r>
          </w:p>
        </w:tc>
        <w:tc>
          <w:tcPr>
            <w:tcW w:type="dxa" w:w="1559"/>
          </w:tcPr>
          <w:p>
            <w:r>
              <w:rPr>
                <w:sz w:val="20"/>
              </w:rPr>
              <w:t>Flacon de 50 mL (9,6 g albumine) + flacon de 100 mL (19,2 g albumine)</w:t>
            </w:r>
          </w:p>
        </w:tc>
        <w:tc>
          <w:tcPr>
            <w:tcW w:type="dxa" w:w="1559"/>
          </w:tcPr>
          <w:p>
            <w:r>
              <w:rPr>
                <w:sz w:val="20"/>
              </w:rPr>
              <w:t>—</w:t>
            </w:r>
          </w:p>
        </w:tc>
        <w:tc>
          <w:tcPr>
            <w:tcW w:type="dxa" w:w="1559"/>
          </w:tcPr>
          <w:p>
            <w:r>
              <w:rPr>
                <w:sz w:val="20"/>
              </w:rPr>
              <w:t>Actif</w:t>
            </w:r>
          </w:p>
        </w:tc>
      </w:tr>
      <w:tr>
        <w:tc>
          <w:tcPr>
            <w:tcW w:type="dxa" w:w="1559"/>
          </w:tcPr>
          <w:p>
            <w:r>
              <w:rPr>
                <w:sz w:val="20"/>
              </w:rPr>
              <w:t>ALBUMINE HUMAINE</w:t>
            </w:r>
          </w:p>
        </w:tc>
        <w:tc>
          <w:tcPr>
            <w:tcW w:type="dxa" w:w="1559"/>
          </w:tcPr>
          <w:p>
            <w:r>
              <w:rPr>
                <w:sz w:val="20"/>
              </w:rPr>
              <w:t>Medicuba</w:t>
            </w:r>
          </w:p>
        </w:tc>
        <w:tc>
          <w:tcPr>
            <w:tcW w:type="dxa" w:w="1559"/>
          </w:tcPr>
          <w:p>
            <w:r>
              <w:rPr>
                <w:sz w:val="20"/>
              </w:rPr>
              <w:t>Solution injectable, 0,2 (20 %)</w:t>
            </w:r>
          </w:p>
        </w:tc>
        <w:tc>
          <w:tcPr>
            <w:tcW w:type="dxa" w:w="1559"/>
          </w:tcPr>
          <w:p>
            <w:r>
              <w:rPr>
                <w:sz w:val="20"/>
              </w:rPr>
              <w:t>Flacon de 50 mL</w:t>
            </w:r>
          </w:p>
        </w:tc>
        <w:tc>
          <w:tcPr>
            <w:tcW w:type="dxa" w:w="1559"/>
          </w:tcPr>
          <w:p>
            <w:r>
              <w:rPr>
                <w:sz w:val="20"/>
              </w:rPr>
              <w:t>—</w:t>
            </w:r>
          </w:p>
        </w:tc>
        <w:tc>
          <w:tcPr>
            <w:tcW w:type="dxa" w:w="1559"/>
          </w:tcPr>
          <w:p>
            <w:r>
              <w:rPr>
                <w:sz w:val="20"/>
              </w:rPr>
              <w:t>Retrait (R)</w:t>
            </w:r>
          </w:p>
        </w:tc>
      </w:tr>
    </w:tbl>
    <w:p/>
    <w:p>
      <w:r/>
      <w:r>
        <w:rPr>
          <w:b/>
        </w:rPr>
        <w:t>Remarque :</w:t>
      </w:r>
      <w:r>
        <w:t xml:space="preserve"> Sept spécialités </w:t>
      </w:r>
      <w:r>
        <w:rPr>
          <w:b/>
        </w:rPr>
        <w:t>actives</w:t>
      </w:r>
      <w:r>
        <w:t xml:space="preserve"> sont commercialisées en Algérie pour l'albumine humaine 20 %, dont une production locale </w:t>
      </w:r>
      <w:r>
        <w:rPr>
          <w:b/>
        </w:rPr>
        <w:t>ALBUREL</w:t>
      </w:r>
      <w:r>
        <w:t xml:space="preserve"> (CPCM/Saidal). Toutes sont à la concentration </w:t>
      </w:r>
      <w:r>
        <w:rPr>
          <w:b/>
        </w:rPr>
        <w:t>20 g/L</w:t>
      </w:r>
      <w:r>
        <w:t xml:space="preserve"> (ou 200 g/L selon libellé), avec conditionnements 50 mL (10 g) et 100 mL (20 g). La spécialité </w:t>
      </w:r>
      <w:r>
        <w:rPr>
          <w:b/>
        </w:rPr>
        <w:t>Medicuba</w:t>
      </w:r>
      <w:r>
        <w:t xml:space="preserve"> est en retrait. Aucune spécialité à 4 % ou 5 % n'est commercialisée en Algérie (les Services hospitaliers utilisent la dilution extemporanée de l'albumine 20 % dans NaCl 0,9 % pour obtenir 4-5 %).</w:t>
      </w:r>
    </w:p>
    <w:p>
      <w:pPr>
        <w:pStyle w:val="Heading4"/>
      </w:pPr>
      <w:r>
        <w:t>3. Mécanisme d'action moléculaire, cellulaire et physiologique</w:t>
      </w:r>
    </w:p>
    <w:p>
      <w:r>
        <w:t>L'albumine humaine est la protéine plasmatique la plus abondante (35-50 g/L ; 50-60 % des protéines totales plasmatiques ; 75-80 % de la pression oncotique plasmatique). Ses trois effets pharmacologiques principaux :</w:t>
      </w:r>
    </w:p>
    <w:p>
      <w:r/>
      <w:r>
        <w:rPr>
          <w:b/>
        </w:rPr>
        <w:t>Effet 1 — Expansion volémique oncotique :</w:t>
      </w:r>
      <w:r>
        <w:t xml:space="preserve"> l'albumine exerce une </w:t>
      </w:r>
      <w:r>
        <w:rPr>
          <w:b/>
        </w:rPr>
        <w:t>pression oncotique</w:t>
      </w:r>
      <w:r>
        <w:t xml:space="preserve"> (pression colloïdo-osmotique) d'environ 25-30 mmHg dans le plasma, contre &lt; 5 mmHg dans le liquide interstitiel. Ce gradient oncotique retient l'eau dans le compartiment vasculaire selon la loi de Starling : </w:t>
      </w:r>
      <w:r>
        <w:rPr>
          <w:b/>
        </w:rPr>
        <w:t>Pnet = (Pcap - Pint) - (πcap - πint)</w:t>
      </w:r>
      <w:r>
        <w:t xml:space="preserve">. Une baisse de la πcap (hypoalbuminémie) entraîne une fuite d'eau vers le secteur interstitiel (œdèmes). L'administration d'albumine 20 % (200 g/L vs 40 g/L physiologique) génère un </w:t>
      </w:r>
      <w:r>
        <w:rPr>
          <w:b/>
        </w:rPr>
        <w:t>gradient oncotique positif puissant</w:t>
      </w:r>
      <w:r>
        <w:t xml:space="preserve"> qui mobilise l'eau interstitielle vers le compartiment vasculaire. Un gramme d'albumine retient environ </w:t>
      </w:r>
      <w:r>
        <w:rPr>
          <w:b/>
        </w:rPr>
        <w:t>18 mL d'eau</w:t>
      </w:r>
      <w:r>
        <w:t xml:space="preserve">, soit </w:t>
      </w:r>
      <w:r>
        <w:rPr>
          <w:b/>
        </w:rPr>
        <w:t>360 mL pour 20 g (flacon 100 mL d'albumine 20 %)</w:t>
      </w:r>
      <w:r>
        <w:t>.</w:t>
      </w:r>
    </w:p>
    <w:p>
      <w:r/>
      <w:r>
        <w:rPr>
          <w:b/>
        </w:rPr>
        <w:t>Effet 2 — Transport macromoléculaire :</w:t>
      </w:r>
      <w:r>
        <w:t xml:space="preserve"> l'albumine est le principal transporteur plasmatique des :</w:t>
      </w:r>
    </w:p>
    <w:p>
      <w:pPr>
        <w:pStyle w:val="ListBullet"/>
      </w:pPr>
      <w:r/>
      <w:r>
        <w:rPr>
          <w:b/>
        </w:rPr>
        <w:t>Acides gras libres non estérifiés</w:t>
      </w:r>
      <w:r>
        <w:t xml:space="preserve"> (NEFA) ;</w:t>
      </w:r>
    </w:p>
    <w:p>
      <w:pPr>
        <w:pStyle w:val="ListBullet"/>
      </w:pPr>
      <w:r/>
      <w:r>
        <w:rPr>
          <w:b/>
        </w:rPr>
        <w:t>Bilirubine</w:t>
      </w:r>
      <w:r>
        <w:t xml:space="preserve"> non conjuguée (fraction libre : neurotoxique pour le nouveau-né — kernictère) ;</w:t>
      </w:r>
    </w:p>
    <w:p>
      <w:pPr>
        <w:pStyle w:val="ListBullet"/>
      </w:pPr>
      <w:r/>
      <w:r>
        <w:rPr>
          <w:b/>
        </w:rPr>
        <w:t>Hormones thyroïdiennes</w:t>
      </w:r>
      <w:r>
        <w:t xml:space="preserve"> (T4, T3) ;</w:t>
      </w:r>
    </w:p>
    <w:p>
      <w:pPr>
        <w:pStyle w:val="ListBullet"/>
      </w:pPr>
      <w:r/>
      <w:r>
        <w:rPr>
          <w:b/>
        </w:rPr>
        <w:t>Ions métalliques</w:t>
      </w:r>
      <w:r>
        <w:t xml:space="preserve"> (Cu²⁺, Zn²⁺, Ca²⁺, Mg²⁺) ;</w:t>
      </w:r>
    </w:p>
    <w:p>
      <w:pPr>
        <w:pStyle w:val="ListBullet"/>
      </w:pPr>
      <w:r/>
      <w:r>
        <w:rPr>
          <w:b/>
        </w:rPr>
        <w:t>Médicaments</w:t>
      </w:r>
      <w:r>
        <w:t xml:space="preserve"> : acide valproïque (fraction libre augmente si hypoalbuminémie, toxicité), warfarine, diclofénac, diazépam, midazolam, digitoxine, furosémide (fraction libre augmente), salicylates.</w:t>
      </w:r>
    </w:p>
    <w:p>
      <w:r>
        <w:t>L'hypoalbuminémie augmente la fraction libre des médicaments à forte liaison protéique, exposant à la toxicité. L'albumine humaine exogène corrige partiellement cette anomalie.</w:t>
      </w:r>
    </w:p>
    <w:p>
      <w:r/>
      <w:r>
        <w:rPr>
          <w:b/>
        </w:rPr>
        <w:t>Effet 3 — Anti-oxydant et anti-inflammatoire :</w:t>
      </w:r>
      <w:r>
        <w:t xml:space="preserve"> l'albumine possède un résidu cystéine libre (Cys-34) capable de capter les radicaux libres (ROS, RNS) et de neutraliser les espèces oxygénées réactives. Elle se lie également aux endotoxines bactériennes (LPS), aux acides biliaires (effet anti-cholestatique), et aux métaux lourds. L'albumine exogène pourrait ainsi contribuer à l'effet anti-inflammatoire en réanimation septique.</w:t>
      </w:r>
    </w:p>
    <w:p>
      <w:r/>
      <w:r>
        <w:rPr>
          <w:b/>
        </w:rPr>
        <w:t>Effet 4 — Capacité tampon :</w:t>
      </w:r>
      <w:r>
        <w:t xml:space="preserve"> l'albumine contribue pour environ 15 % à la capacité tampon plasmatique (groupements histidine et acides aminés ionisables).</w:t>
      </w:r>
    </w:p>
    <w:p>
      <w:pPr>
        <w:pStyle w:val="Heading4"/>
      </w:pPr>
      <w:r>
        <w:t>4. Pharmacocinétique (Profil PK)</w:t>
      </w:r>
    </w:p>
    <w:p>
      <w:pPr>
        <w:pStyle w:val="ListBullet"/>
      </w:pPr>
      <w:r/>
      <w:r>
        <w:rPr>
          <w:b/>
        </w:rPr>
        <w:t>Distribution :</w:t>
      </w:r>
      <w:r>
        <w:t xml:space="preserve"> volume de distribution ≈ 7-10 L (compartiment plasmatique + secteur interstitial), avec un équilibre en 24-48 h. En cas de fuite capillaire (sepsis sévère, SDRA, brûlures étendues), la distribution est élargie et l'efficacité volémique réduite.</w:t>
      </w:r>
    </w:p>
    <w:p>
      <w:pPr>
        <w:pStyle w:val="ListBullet"/>
      </w:pPr>
      <w:r/>
      <w:r>
        <w:rPr>
          <w:b/>
        </w:rPr>
        <w:t>Demi-vie plasmatique :</w:t>
      </w:r>
      <w:r>
        <w:t xml:space="preserve"> 15-20 jours (synthèse hépatique 10-15 g/jour, dégradation protéolytique par les lysosomes endothéliaux et hépatiques).</w:t>
      </w:r>
    </w:p>
    <w:p>
      <w:pPr>
        <w:pStyle w:val="ListBullet"/>
      </w:pPr>
      <w:r/>
      <w:r>
        <w:rPr>
          <w:b/>
        </w:rPr>
        <w:t>Métabolisme :</w:t>
      </w:r>
      <w:r>
        <w:t xml:space="preserve"> protéolyse lysosomale, sans intervention CYP450 — pas d'adaptation nécessaire en IR ou IH.</w:t>
      </w:r>
    </w:p>
    <w:p>
      <w:pPr>
        <w:pStyle w:val="ListBullet"/>
      </w:pPr>
      <w:r/>
      <w:r>
        <w:rPr>
          <w:b/>
        </w:rPr>
        <w:t>Élimination :</w:t>
      </w:r>
      <w:r>
        <w:t xml:space="preserve"> négligeable par rein (filtration glomérulaire minime en raison du poids moléculaire 66,5 kDa) — en cas de syndrome néphrotique, fuite urinaire massive d'albumine (néphropathie perte de protéines).</w:t>
      </w:r>
    </w:p>
    <w:p>
      <w:pPr>
        <w:pStyle w:val="ListBullet"/>
      </w:pPr>
      <w:r/>
      <w:r>
        <w:rPr>
          <w:b/>
        </w:rPr>
        <w:t>Biodisponibilité IV :</w:t>
      </w:r>
      <w:r>
        <w:t xml:space="preserve"> 100 % (voie IV stricte).</w:t>
      </w:r>
    </w:p>
    <w:p>
      <w:pPr>
        <w:pStyle w:val="Heading4"/>
      </w:pPr>
      <w:r>
        <w:t>5. Indications thérapeutiques</w:t>
      </w:r>
    </w:p>
    <w:p>
      <w:r/>
      <w:r>
        <w:rPr>
          <w:b/>
        </w:rPr>
        <w:t>Indications validées (RCP ANSM/HAS/ESICM/Surviving Sepsis Campaign) :</w:t>
      </w:r>
      <w:r/>
    </w:p>
    <w:p>
      <w:pPr>
        <w:pStyle w:val="ListNumber"/>
      </w:pPr>
      <w:r/>
      <w:r>
        <w:rPr>
          <w:b/>
        </w:rPr>
        <w:t>Hypovolémie réfractaire au remplissage par cristalloïdes</w:t>
      </w:r>
      <w:r>
        <w:t xml:space="preserve"> :</w:t>
      </w:r>
    </w:p>
    <w:p>
      <w:pPr>
        <w:pStyle w:val="ListBullet"/>
      </w:pPr>
      <w:r>
        <w:t>Choc hémorragique après restauration de la masse globulaire (CGR).</w:t>
      </w:r>
    </w:p>
    <w:p>
      <w:pPr>
        <w:pStyle w:val="ListBullet"/>
      </w:pPr>
      <w:r>
        <w:t>Choc septique avec hypoalbuminémie marquée (&lt; 30 g/L) et choc persistant malgré cristalloïdes (recommandations SSC 2021 : albumine 20 % si choc septique avec hypoalbuminémie).</w:t>
      </w:r>
    </w:p>
    <w:p>
      <w:pPr>
        <w:pStyle w:val="ListBullet"/>
      </w:pPr>
      <w:r>
        <w:t>Choc distributif (anaphylactique, spinal) réfractaire.</w:t>
      </w:r>
    </w:p>
    <w:p>
      <w:pPr>
        <w:pStyle w:val="ListNumber"/>
      </w:pPr>
      <w:r/>
      <w:r>
        <w:rPr>
          <w:b/>
        </w:rPr>
        <w:t>Hypoalbuminémie symptomatique</w:t>
      </w:r>
      <w:r>
        <w:t xml:space="preserve"> :</w:t>
      </w:r>
    </w:p>
    <w:p>
      <w:pPr>
        <w:pStyle w:val="ListBullet"/>
      </w:pPr>
      <w:r>
        <w:t>Cirrhose décompensée avec ascite, syndrome hépato-rénal.</w:t>
      </w:r>
    </w:p>
    <w:p>
      <w:pPr>
        <w:pStyle w:val="ListBullet"/>
      </w:pPr>
      <w:r>
        <w:t>Syndrome néphrotique avec œdèmes massifs.</w:t>
      </w:r>
    </w:p>
    <w:p>
      <w:pPr>
        <w:pStyle w:val="ListBullet"/>
      </w:pPr>
      <w:r>
        <w:t>Entéropathie exsudative (maladie de Waldmann, lymphangiectasie intestinale).</w:t>
      </w:r>
    </w:p>
    <w:p>
      <w:pPr>
        <w:pStyle w:val="ListNumber"/>
      </w:pPr>
      <w:r/>
      <w:r>
        <w:rPr>
          <w:b/>
        </w:rPr>
        <w:t>Prévention de l'hypovolémie post-paracentèse</w:t>
      </w:r>
      <w:r>
        <w:t xml:space="preserve"> :</w:t>
      </w:r>
    </w:p>
    <w:p>
      <w:pPr>
        <w:pStyle w:val="ListBullet"/>
      </w:pPr>
      <w:r>
        <w:t xml:space="preserve">Ascite évacuée &gt; 5 L : </w:t>
      </w:r>
      <w:r>
        <w:rPr>
          <w:b/>
        </w:rPr>
        <w:t>6-8 g d'albumine 20 % par litre d'ascite</w:t>
      </w:r>
      <w:r>
        <w:t xml:space="preserve"> au-delà de 5 L (soit 30-40 mL d'albumine 20 % par litre d'ascite au-delà de 5 L).</w:t>
      </w:r>
    </w:p>
    <w:p>
      <w:pPr>
        <w:pStyle w:val="ListBullet"/>
      </w:pPr>
      <w:r>
        <w:t>Recommandations EASL/Baveno VII.</w:t>
      </w:r>
    </w:p>
    <w:p>
      <w:pPr>
        <w:pStyle w:val="ListNumber"/>
      </w:pPr>
      <w:r/>
      <w:r>
        <w:rPr>
          <w:b/>
        </w:rPr>
        <w:t>Purpura fulminans</w:t>
      </w:r>
      <w:r>
        <w:t xml:space="preserve"> (méningococcémie, choc septique pédiatrique) : expansion volémique d'urgence.</w:t>
      </w:r>
    </w:p>
    <w:p>
      <w:pPr>
        <w:pStyle w:val="ListNumber"/>
      </w:pPr>
      <w:r/>
      <w:r>
        <w:rPr>
          <w:b/>
        </w:rPr>
        <w:t>Syndrome hépato-rénal (SHR)</w:t>
      </w:r>
      <w:r>
        <w:t xml:space="preserve"> : en association avec vasoconstricteurs splanchniques (terlipressine, octréotide + midodrine).</w:t>
      </w:r>
    </w:p>
    <w:p>
      <w:pPr>
        <w:pStyle w:val="ListNumber"/>
      </w:pPr>
      <w:r/>
      <w:r>
        <w:rPr>
          <w:b/>
        </w:rPr>
        <w:t>Œdème cérébral cirrhotique</w:t>
      </w:r>
      <w:r>
        <w:t xml:space="preserve"> (encéphalopathie hépatique avec œdème cérébral) et exceptionnellement œdème aigu du poumon non cardiogénique.</w:t>
      </w:r>
    </w:p>
    <w:p>
      <w:pPr>
        <w:pStyle w:val="Heading4"/>
      </w:pPr>
      <w:r>
        <w:t>6. Posologie et mode d'administration</w:t>
      </w:r>
    </w:p>
    <w:p>
      <w:r/>
      <w:r>
        <w:rPr>
          <w:b/>
        </w:rPr>
        <w:t>Posologie adulte standard :</w:t>
      </w:r>
      <w:r/>
    </w:p>
    <w:p>
      <w:pPr>
        <w:pStyle w:val="ListBullet"/>
      </w:pPr>
      <w:r/>
      <w:r>
        <w:rPr>
          <w:b/>
        </w:rPr>
        <w:t>Hypovolémie / choc septique</w:t>
      </w:r>
      <w:r>
        <w:t xml:space="preserve"> : 100-200 mL d'albumine 20 % (= 20-40 g) IV sur 30 min, à renouveler selon état hémodynamique (objectif : PAM ≥ 65 mmHg, diurèse ≥ 0,5 mL/kg/h, lactates en baisse).</w:t>
      </w:r>
    </w:p>
    <w:p>
      <w:pPr>
        <w:pStyle w:val="ListBullet"/>
      </w:pPr>
      <w:r/>
      <w:r>
        <w:rPr>
          <w:b/>
        </w:rPr>
        <w:t>Prévention post-paracentèse</w:t>
      </w:r>
      <w:r>
        <w:t xml:space="preserve"> : 6-8 g par litre d'ascite au-delà de 5 L (soit 30-40 mL d'albumine 20 % par litre excédentaire).</w:t>
      </w:r>
    </w:p>
    <w:p>
      <w:pPr>
        <w:pStyle w:val="ListBullet"/>
      </w:pPr>
      <w:r/>
      <w:r>
        <w:rPr>
          <w:b/>
        </w:rPr>
        <w:t>Syndrome néphrotique</w:t>
      </w:r>
      <w:r>
        <w:t xml:space="preserve"> : 50-100 mL d'albumine 20 % IV sur 1-2 h + furosémide IV (effet synergique sur la diurèse).</w:t>
      </w:r>
    </w:p>
    <w:p>
      <w:pPr>
        <w:pStyle w:val="ListBullet"/>
      </w:pPr>
      <w:r/>
      <w:r>
        <w:rPr>
          <w:b/>
        </w:rPr>
        <w:t>Purpura fulminans</w:t>
      </w:r>
      <w:r>
        <w:t xml:space="preserve"> (pédiatrie) : 0,5-1 g/kg en bolus IV (≈ 2,5-5 mL/kg d'albumine 20 %).</w:t>
      </w:r>
    </w:p>
    <w:p>
      <w:r/>
      <w:r>
        <w:rPr>
          <w:b/>
        </w:rPr>
        <w:t>Voie d'administration :</w:t>
      </w:r>
      <w:r/>
    </w:p>
    <w:p>
      <w:pPr>
        <w:pStyle w:val="ListBullet"/>
      </w:pPr>
      <w:r/>
      <w:r>
        <w:rPr>
          <w:b/>
        </w:rPr>
        <w:t>Voie IV stricte</w:t>
      </w:r>
      <w:r>
        <w:t xml:space="preserve"> (perfuseur ou voie centrale).</w:t>
      </w:r>
    </w:p>
    <w:p>
      <w:pPr>
        <w:pStyle w:val="ListBullet"/>
      </w:pPr>
      <w:r/>
      <w:r>
        <w:rPr>
          <w:b/>
        </w:rPr>
        <w:t>Débit de perfusion</w:t>
      </w:r>
      <w:r>
        <w:t xml:space="preserve"> :</w:t>
      </w:r>
    </w:p>
    <w:p>
      <w:pPr>
        <w:pStyle w:val="ListBullet"/>
      </w:pPr>
      <w:r>
        <w:t>Albumine 20 % adulte : 1-2 mL/min (max 5 mL/min en urgence vitale).</w:t>
      </w:r>
    </w:p>
    <w:p>
      <w:pPr>
        <w:pStyle w:val="ListBullet"/>
      </w:pPr>
      <w:r>
        <w:t>Enfant : 0,2-0,5 mL/kg/h (adapter au poids et à la tolérance hémodynamique).</w:t>
      </w:r>
    </w:p>
    <w:p>
      <w:pPr>
        <w:pStyle w:val="ListBullet"/>
      </w:pPr>
      <w:r/>
      <w:r>
        <w:rPr>
          <w:b/>
        </w:rPr>
        <w:t>Ne jamais injecter IM</w:t>
      </w:r>
      <w:r>
        <w:t xml:space="preserve"> (risque de nécrose tissulaire, douleur intense).</w:t>
      </w:r>
    </w:p>
    <w:p>
      <w:pPr>
        <w:pStyle w:val="ListBullet"/>
      </w:pPr>
      <w:r/>
      <w:r>
        <w:rPr>
          <w:b/>
        </w:rPr>
        <w:t>Ne jamais injecter en bolus</w:t>
      </w:r>
      <w:r>
        <w:t xml:space="preserve"> sauf urgence vitale (purpura fulminans) — risque de surcharge volémique aiguë.</w:t>
      </w:r>
    </w:p>
    <w:p>
      <w:pPr>
        <w:pStyle w:val="Heading4"/>
      </w:pPr>
      <w:r>
        <w:t>7. Effets indésirables et prévention</w:t>
      </w:r>
    </w:p>
    <w:p>
      <w:r/>
      <w:r>
        <w:rPr>
          <w:b/>
        </w:rPr>
        <w:t>Effets indésirables fréquents (&gt; 1 %) :</w:t>
      </w:r>
      <w:r/>
    </w:p>
    <w:p>
      <w:pPr>
        <w:pStyle w:val="ListBullet"/>
      </w:pPr>
      <w:r>
        <w:t>Réactions locales au site de perfusion (douleur veineuse, phlébite).</w:t>
      </w:r>
    </w:p>
    <w:p>
      <w:pPr>
        <w:pStyle w:val="ListBullet"/>
      </w:pPr>
      <w:r>
        <w:t>Bouffées vasomotrices, fièvre modérée, frissons (surtout si perfusion rapide).</w:t>
      </w:r>
    </w:p>
    <w:p>
      <w:pPr>
        <w:pStyle w:val="ListBullet"/>
      </w:pPr>
      <w:r>
        <w:t>Hypervolémie transitoire (tachycardie, HTA).</w:t>
      </w:r>
    </w:p>
    <w:p>
      <w:r/>
      <w:r>
        <w:rPr>
          <w:b/>
        </w:rPr>
        <w:t>Effets indésirables graves (&lt; 1 %) :</w:t>
      </w:r>
      <w:r/>
    </w:p>
    <w:p>
      <w:pPr>
        <w:pStyle w:val="ListBullet"/>
      </w:pPr>
      <w:r/>
      <w:r>
        <w:rPr>
          <w:b/>
        </w:rPr>
        <w:t>Surcharge volémique</w:t>
      </w:r>
      <w:r>
        <w:t xml:space="preserve"> : œdème aigu du poumon (surtout chez sujet âgé, IC, IR, perfusion trop rapide).</w:t>
      </w:r>
    </w:p>
    <w:p>
      <w:pPr>
        <w:pStyle w:val="ListBullet"/>
      </w:pPr>
      <w:r/>
      <w:r>
        <w:rPr>
          <w:b/>
        </w:rPr>
        <w:t>Insuffisance cardiaque aiguë décompensée</w:t>
      </w:r>
      <w:r>
        <w:t xml:space="preserve"> (en cas de dose massive chez patient IC).</w:t>
      </w:r>
    </w:p>
    <w:p>
      <w:pPr>
        <w:pStyle w:val="ListBullet"/>
      </w:pPr>
      <w:r/>
      <w:r>
        <w:rPr>
          <w:b/>
        </w:rPr>
        <w:t>Hypotension transitoire</w:t>
      </w:r>
      <w:r>
        <w:t xml:space="preserve"> (effet vasodilatateur des nitres d'albumine dans certaines préparations anciennes).</w:t>
      </w:r>
    </w:p>
    <w:p>
      <w:pPr>
        <w:pStyle w:val="ListBullet"/>
      </w:pPr>
      <w:r/>
      <w:r>
        <w:rPr>
          <w:b/>
        </w:rPr>
        <w:t>Réactions d'hypersensibilité</w:t>
      </w:r>
      <w:r>
        <w:t xml:space="preserve"> (urticaire, angio-œdème, choc anaphylactique rare).</w:t>
      </w:r>
    </w:p>
    <w:p>
      <w:pPr>
        <w:pStyle w:val="ListBullet"/>
      </w:pPr>
      <w:r/>
      <w:r>
        <w:rPr>
          <w:b/>
        </w:rPr>
        <w:t>Désordres hydro-électrolytiques</w:t>
      </w:r>
      <w:r>
        <w:t xml:space="preserve"> : hyponatrémie de dilution, hypokaliémie.</w:t>
      </w:r>
    </w:p>
    <w:p>
      <w:r/>
      <w:r>
        <w:rPr>
          <w:b/>
        </w:rPr>
        <w:t>Prévention :</w:t>
      </w:r>
      <w:r/>
    </w:p>
    <w:p>
      <w:pPr>
        <w:pStyle w:val="ListBullet"/>
      </w:pPr>
      <w:r/>
      <w:r>
        <w:rPr>
          <w:b/>
        </w:rPr>
        <w:t>Surveillance continue TA, FC, ECG, diurèse</w:t>
      </w:r>
      <w:r>
        <w:t xml:space="preserve"> pendant la perfusion.</w:t>
      </w:r>
    </w:p>
    <w:p>
      <w:pPr>
        <w:pStyle w:val="ListBullet"/>
      </w:pPr>
      <w:r/>
      <w:r>
        <w:rPr>
          <w:b/>
        </w:rPr>
        <w:t>Vérification de la volémie</w:t>
      </w:r>
      <w:r>
        <w:t xml:space="preserve"> avant administration (éliminer une hypervolémie ou une IC décompensée).</w:t>
      </w:r>
    </w:p>
    <w:p>
      <w:pPr>
        <w:pStyle w:val="ListBullet"/>
      </w:pPr>
      <w:r/>
      <w:r>
        <w:rPr>
          <w:b/>
        </w:rPr>
        <w:t>Débit de perfusion lent</w:t>
      </w:r>
      <w:r>
        <w:t xml:space="preserve"> (1-2 mL/min albumine 20 % adulte).</w:t>
      </w:r>
    </w:p>
    <w:p>
      <w:pPr>
        <w:pStyle w:val="ListBullet"/>
      </w:pPr>
      <w:r/>
      <w:r>
        <w:rPr>
          <w:b/>
        </w:rPr>
        <w:t>Vérification de l'aspect</w:t>
      </w:r>
      <w:r>
        <w:t xml:space="preserve"> : solution limpide, jaune-ambre ; si trouble, flocons, ou couleur anormale, ne pas utiliser.</w:t>
      </w:r>
    </w:p>
    <w:p>
      <w:pPr>
        <w:pStyle w:val="ListBullet"/>
      </w:pPr>
      <w:r/>
      <w:r>
        <w:rPr>
          <w:b/>
        </w:rPr>
        <w:t>Surveillance ionogramme</w:t>
      </w:r>
      <w:r>
        <w:t xml:space="preserve"> à 6 h et 24 h (hyponatrémie, hypokaliémie).</w:t>
      </w:r>
    </w:p>
    <w:p>
      <w:pPr>
        <w:pStyle w:val="ListBullet"/>
      </w:pPr>
      <w:r/>
      <w:r>
        <w:rPr>
          <w:b/>
        </w:rPr>
        <w:t>Ne pas mélanger</w:t>
      </w:r>
      <w:r>
        <w:t xml:space="preserve"> avec médicaments autres que NaCl 0,9 % ou glucosé 5 % (compatibilité limitée).</w:t>
      </w:r>
    </w:p>
    <w:p>
      <w:pPr>
        <w:pStyle w:val="Heading4"/>
      </w:pPr>
      <w:r>
        <w:t>8. Interactions médicamenteuses</w:t>
      </w:r>
    </w:p>
    <w:p>
      <w:pPr>
        <w:pStyle w:val="ListBullet"/>
      </w:pPr>
      <w:r/>
      <w:r>
        <w:rPr>
          <w:b/>
        </w:rPr>
        <w:t>Aucune interaction systémique au sens CYP450</w:t>
      </w:r>
      <w:r>
        <w:t xml:space="preserve"> (albumine non métabolisée par voie enzymatique hépatique).</w:t>
      </w:r>
    </w:p>
    <w:p>
      <w:pPr>
        <w:pStyle w:val="ListBullet"/>
      </w:pPr>
      <w:r/>
      <w:r>
        <w:rPr>
          <w:b/>
        </w:rPr>
        <w:t>Médicaments à forte liaison protéique</w:t>
      </w:r>
      <w:r>
        <w:t xml:space="preserve"> : l'administration d'albumine peut augmenter la fraction liée (effet théorique) — surveillance clinique des :</w:t>
      </w:r>
    </w:p>
    <w:p>
      <w:pPr>
        <w:pStyle w:val="ListBullet"/>
      </w:pPr>
      <w:r/>
      <w:r>
        <w:rPr>
          <w:b/>
        </w:rPr>
        <w:t>Acide valproïque</w:t>
      </w:r>
      <w:r>
        <w:t xml:space="preserve"> (fraction libre diminue, activité thérapeutique potentiellement réduite).</w:t>
      </w:r>
    </w:p>
    <w:p>
      <w:pPr>
        <w:pStyle w:val="ListBullet"/>
      </w:pPr>
      <w:r/>
      <w:r>
        <w:rPr>
          <w:b/>
        </w:rPr>
        <w:t>Warfarine</w:t>
      </w:r>
      <w:r>
        <w:t xml:space="preserve"> (fraction libre diminue, INR potentiellement réduit transitoirement).</w:t>
      </w:r>
    </w:p>
    <w:p>
      <w:pPr>
        <w:pStyle w:val="ListBullet"/>
      </w:pPr>
      <w:r/>
      <w:r>
        <w:rPr>
          <w:b/>
        </w:rPr>
        <w:t>Furosémide</w:t>
      </w:r>
      <w:r>
        <w:t xml:space="preserve"> (fraction libre diminue, effet diurétique potentiellement augmenté par l'expansion volémique).</w:t>
      </w:r>
    </w:p>
    <w:p>
      <w:pPr>
        <w:pStyle w:val="ListBullet"/>
      </w:pPr>
      <w:r/>
      <w:r>
        <w:rPr>
          <w:b/>
        </w:rPr>
        <w:t>Incompatibilités physico-chimiques</w:t>
      </w:r>
      <w:r>
        <w:t xml:space="preserve"> :</w:t>
      </w:r>
    </w:p>
    <w:p>
      <w:pPr>
        <w:pStyle w:val="ListBullet"/>
      </w:pPr>
      <w:r>
        <w:t xml:space="preserve">Ne pas mélanger avec </w:t>
      </w:r>
      <w:r>
        <w:rPr>
          <w:b/>
        </w:rPr>
        <w:t>acides aminés</w:t>
      </w:r>
      <w:r>
        <w:t xml:space="preserve"> (précipitation).</w:t>
      </w:r>
    </w:p>
    <w:p>
      <w:pPr>
        <w:pStyle w:val="ListBullet"/>
      </w:pPr>
      <w:r>
        <w:t xml:space="preserve">Ne pas mélanger avec </w:t>
      </w:r>
      <w:r>
        <w:rPr>
          <w:b/>
        </w:rPr>
        <w:t>émulsions lipidiques</w:t>
      </w:r>
      <w:r>
        <w:t xml:space="preserve"> (rupture d'émulsion).</w:t>
      </w:r>
    </w:p>
    <w:p>
      <w:pPr>
        <w:pStyle w:val="ListBullet"/>
      </w:pPr>
      <w:r>
        <w:t xml:space="preserve">Ne pas mélanger avec </w:t>
      </w:r>
      <w:r>
        <w:rPr>
          <w:b/>
        </w:rPr>
        <w:t>alcool</w:t>
      </w:r>
      <w:r>
        <w:t xml:space="preserve"> (précipitation protéique).</w:t>
      </w:r>
    </w:p>
    <w:p>
      <w:pPr>
        <w:pStyle w:val="ListBullet"/>
      </w:pPr>
      <w:r>
        <w:t xml:space="preserve">Ne pas mélanger avec </w:t>
      </w:r>
      <w:r>
        <w:rPr>
          <w:b/>
        </w:rPr>
        <w:t>pénicillines</w:t>
      </w:r>
      <w:r>
        <w:t xml:space="preserve"> en perfusion continue (inactivation).</w:t>
      </w:r>
    </w:p>
    <w:p>
      <w:pPr>
        <w:pStyle w:val="ListBullet"/>
      </w:pPr>
      <w:r/>
      <w:r>
        <w:rPr>
          <w:b/>
        </w:rPr>
        <w:t>Cristalloïdes</w:t>
      </w:r>
      <w:r>
        <w:t xml:space="preserve"> (NaCl 0,9 %, Ringer Lactate) : compatibles, en particulier pour diluer l'albumine 20 % en 4-5 %.</w:t>
      </w:r>
    </w:p>
    <w:p>
      <w:pPr>
        <w:pStyle w:val="ListBullet"/>
      </w:pPr>
      <w:r/>
      <w:r>
        <w:rPr>
          <w:b/>
        </w:rPr>
        <w:t>Diurétiques de l'anse</w:t>
      </w:r>
      <w:r>
        <w:t xml:space="preserve"> (furosémide) : synergie bénéfique dans syndrome néphrotique (albumine + furosémide IV).</w:t>
      </w:r>
    </w:p>
    <w:p>
      <w:pPr>
        <w:pStyle w:val="Heading4"/>
      </w:pPr>
      <w:r>
        <w:t>9. Grossesse, allaitement et CRAT</w:t>
      </w:r>
    </w:p>
    <w:p>
      <w:r/>
      <w:r>
        <w:rPr>
          <w:b/>
        </w:rPr>
        <w:t>Grossesse :</w:t>
      </w:r>
      <w:r/>
    </w:p>
    <w:p>
      <w:pPr>
        <w:pStyle w:val="ListBullet"/>
      </w:pPr>
      <w:r>
        <w:t>CRAT : "À PROPOSER" — l'albumine humaine peut être administrée pendant la grossesse en cas de nécessité clinique (hypovolémie sévère, choc septique, syndrome néphrotique massif). Aucun effet tératogène attendu (protéine endogène humaine).</w:t>
      </w:r>
    </w:p>
    <w:p>
      <w:pPr>
        <w:pStyle w:val="ListBullet"/>
      </w:pPr>
      <w:r>
        <w:t>Le volume plasmatique augmente physiologiquement de 40-50 % pendant la grossesse, mais l'hypoalbuminémie physiologique relative (30-35 g/L au 3e trimestre) ne justifie pas de supplémentation systématique.</w:t>
      </w:r>
    </w:p>
    <w:p>
      <w:r/>
      <w:r>
        <w:rPr>
          <w:b/>
        </w:rPr>
        <w:t>Allaitement :</w:t>
      </w:r>
      <w:r/>
    </w:p>
    <w:p>
      <w:pPr>
        <w:pStyle w:val="ListBullet"/>
      </w:pPr>
      <w:r/>
      <w:r>
        <w:rPr>
          <w:b/>
        </w:rPr>
        <w:t>Compatible</w:t>
      </w:r>
      <w:r>
        <w:t xml:space="preserve"> (CRAT : "À PROPOSER"). L'albumine humaine est une protéine endogène présente naturellement dans le lait maternel. Aucun effet indésirable rapporté chez le nouveau-né allaité.</w:t>
      </w:r>
    </w:p>
    <w:p>
      <w:pPr>
        <w:pStyle w:val="Heading4"/>
      </w:pPr>
      <w:r>
        <w:t>10. Formes galéniques disponibles</w:t>
      </w:r>
    </w:p>
    <w:p>
      <w:pPr>
        <w:pStyle w:val="ListBullet"/>
      </w:pPr>
      <w:r/>
      <w:r>
        <w:rPr>
          <w:b/>
        </w:rPr>
        <w:t>Solution pour perfusion IV</w:t>
      </w:r>
      <w:r>
        <w:t xml:space="preserve"> à 20 % (200 g/L) :</w:t>
      </w:r>
    </w:p>
    <w:p>
      <w:pPr>
        <w:pStyle w:val="ListBullet"/>
      </w:pPr>
      <w:r>
        <w:t>Flacon 50 mL (= 10 g albumine) — VIALEBEX, ALBUREL, ALBUTEN 20%, Human Albumin Behring 20%, Human Albumin Baxter, Albumine Humaine 20% Biotest, SK Albumin 20%.</w:t>
      </w:r>
    </w:p>
    <w:p>
      <w:pPr>
        <w:pStyle w:val="ListBullet"/>
      </w:pPr>
      <w:r>
        <w:t>Flacon 100 mL (= 20 g albumine).</w:t>
      </w:r>
    </w:p>
    <w:p>
      <w:pPr>
        <w:pStyle w:val="ListBullet"/>
      </w:pPr>
      <w:r/>
      <w:r>
        <w:rPr>
          <w:b/>
        </w:rPr>
        <w:t>Solution injectable</w:t>
      </w:r>
      <w:r>
        <w:t xml:space="preserve"> (sans précision voie) Medicuba — RETRAIT.</w:t>
      </w:r>
    </w:p>
    <w:p>
      <w:pPr>
        <w:pStyle w:val="ListBullet"/>
      </w:pPr>
      <w:r>
        <w:t>Conservation : température ambiante ≤ 25 °C (ne pas exposer &gt; 25 °C, ne pas congeler).</w:t>
      </w:r>
    </w:p>
    <w:p>
      <w:pPr>
        <w:pStyle w:val="ListBullet"/>
      </w:pPr>
      <w:r>
        <w:t>Vérifier l'aspect limpide avant emploi.</w:t>
      </w:r>
    </w:p>
    <w:p>
      <w:pPr>
        <w:pStyle w:val="ListBullet"/>
      </w:pPr>
      <w:r>
        <w:t>Pas d'agitation vigoureuse (mousse persistante).</w:t>
      </w:r>
    </w:p>
    <w:p>
      <w:pPr>
        <w:pStyle w:val="Heading4"/>
      </w:pPr>
      <w:r>
        <w:t>11. Conseils au patient</w:t>
      </w:r>
    </w:p>
    <w:p>
      <w:r/>
      <w:r>
        <w:rPr>
          <w:b/>
        </w:rPr>
        <w:t>Conseils au patient hospitalisé / en soins :</w:t>
      </w:r>
      <w:r/>
    </w:p>
    <w:p>
      <w:pPr>
        <w:pStyle w:val="ListBullet"/>
      </w:pPr>
      <w:r>
        <w:t>"Cette perfusion restaure le volume sanguin et corrige une baisse de protéines dans le sang."</w:t>
      </w:r>
    </w:p>
    <w:p>
      <w:pPr>
        <w:pStyle w:val="ListBullet"/>
      </w:pPr>
      <w:r>
        <w:t>"Pendant la perfusion, surveillance de votre tension, de votre cœur, et de votre diurèse."</w:t>
      </w:r>
    </w:p>
    <w:p>
      <w:pPr>
        <w:pStyle w:val="ListBullet"/>
      </w:pPr>
      <w:r>
        <w:t>"Une fièvre modérée peut survenir dans les heures qui suivent — prévenez l'infirmière."</w:t>
      </w:r>
    </w:p>
    <w:p>
      <w:pPr>
        <w:pStyle w:val="ListBullet"/>
      </w:pPr>
      <w:r>
        <w:t>"En cas d'essoufflement soudain ou de douleur thoracique pendant la perfusion, alertez immédiatement (risque de surcharge volémique)."</w:t>
      </w:r>
    </w:p>
    <w:p>
      <w:pPr>
        <w:pStyle w:val="ListBullet"/>
      </w:pPr>
      <w:r>
        <w:t>"Le rythme de perfusion est lent (1-2 mL/min) pour éviter ce risque."</w:t>
      </w:r>
    </w:p>
    <w:p>
      <w:pPr>
        <w:pStyle w:val="ListBullet"/>
      </w:pPr>
      <w:r>
        <w:t>"Compatible avec l'allaitement maternel en cas de nécessité."</w:t>
      </w:r>
    </w:p>
    <w:p>
      <w:pPr>
        <w:pStyle w:val="ListBullet"/>
      </w:pPr>
      <w:r>
        <w:t>"Ne pas dépasser la prescription (risque de surcharge)."</w:t>
      </w:r>
    </w:p>
    <w:p>
      <w:pPr>
        <w:pStyle w:val="Heading4"/>
      </w:pPr>
      <w:r>
        <w:t>12. Pièges au comptoir — Règles d'or</w:t>
      </w:r>
    </w:p>
    <w:p>
      <w:pPr>
        <w:pStyle w:val="ListNumber"/>
      </w:pPr>
      <w:r/>
      <w:r>
        <w:rPr>
          <w:b/>
        </w:rPr>
        <w:t>Voie IV stricte</w:t>
      </w:r>
      <w:r>
        <w:t xml:space="preserve"> — ne jamais injecter IM (nécrose tissulaire).</w:t>
      </w:r>
    </w:p>
    <w:p>
      <w:pPr>
        <w:pStyle w:val="ListNumber"/>
      </w:pPr>
      <w:r/>
      <w:r>
        <w:rPr>
          <w:b/>
        </w:rPr>
        <w:t>Surcharge volémique (PIEGE MAJEUR)</w:t>
      </w:r>
      <w:r>
        <w:t xml:space="preserve"> : CI absolue en cas d'insuffisance cardiaque sévère décompensée, d'œdème aigu du poumon cardiogénique. Surveillance TA, FC, diurèse obligatoire.</w:t>
      </w:r>
    </w:p>
    <w:p>
      <w:pPr>
        <w:pStyle w:val="ListNumber"/>
      </w:pPr>
      <w:r/>
      <w:r>
        <w:rPr>
          <w:b/>
        </w:rPr>
        <w:t>Débit de perfusion lent</w:t>
      </w:r>
      <w:r>
        <w:t xml:space="preserve"> (1-2 mL/min adulte, ≤ 0,5 mL/kg/h enfant) — jamais en bolus rapide sauf urgence vitale.</w:t>
      </w:r>
    </w:p>
    <w:p>
      <w:pPr>
        <w:pStyle w:val="ListNumber"/>
      </w:pPr>
      <w:r/>
      <w:r>
        <w:rPr>
          <w:b/>
        </w:rPr>
        <w:t>Vérifier l'aspect</w:t>
      </w:r>
      <w:r>
        <w:t xml:space="preserve"> avant emploi : solution limpide, jaune-ambre. Si trouble, ne pas utiliser.</w:t>
      </w:r>
    </w:p>
    <w:p>
      <w:pPr>
        <w:pStyle w:val="ListNumber"/>
      </w:pPr>
      <w:r/>
      <w:r>
        <w:rPr>
          <w:b/>
        </w:rPr>
        <w:t>Prévention post-paracentèse</w:t>
      </w:r>
      <w:r>
        <w:t xml:space="preserve"> : 6-8 g/L d'ascite au-delà de 5 L — ne pas oublier (sinon hypovolémie post-paracentèse, IRA fonctionnelle).</w:t>
      </w:r>
    </w:p>
    <w:p>
      <w:pPr>
        <w:pStyle w:val="ListNumber"/>
      </w:pPr>
      <w:r/>
      <w:r>
        <w:rPr>
          <w:b/>
        </w:rPr>
        <w:t>Ne pas mélanger</w:t>
      </w:r>
      <w:r>
        <w:t xml:space="preserve"> avec amino-acides, émulsions lipidiques, pénicillines, alcool (incompatibilité physico-chimique).</w:t>
      </w:r>
    </w:p>
    <w:p>
      <w:pPr>
        <w:pStyle w:val="ListNumber"/>
      </w:pPr>
      <w:r/>
      <w:r>
        <w:rPr>
          <w:b/>
        </w:rPr>
        <w:t>Pas d'agitation vigoureuse</w:t>
      </w:r>
      <w:r>
        <w:t xml:space="preserve"> (mousse persistante, dénaturation).</w:t>
      </w:r>
    </w:p>
    <w:p>
      <w:pPr>
        <w:pStyle w:val="ListNumber"/>
      </w:pPr>
      <w:r/>
      <w:r>
        <w:rPr>
          <w:b/>
        </w:rPr>
        <w:t>Pas d'adaptation nécessaire</w:t>
      </w:r>
      <w:r>
        <w:t xml:space="preserve"> en IR ou IH (métabolisme protéolytique non enzymatique).</w:t>
      </w:r>
    </w:p>
    <w:p>
      <w:pPr>
        <w:pStyle w:val="ListNumber"/>
      </w:pPr>
      <w:r/>
      <w:r>
        <w:rPr>
          <w:b/>
        </w:rPr>
        <w:t>Effet transitoire</w:t>
      </w:r>
      <w:r>
        <w:t xml:space="preserve"> : la demi-vie plasmatique de l'albumine exogène est de 15-20 jours ; le traitement étiologique de l'hypoalbuminémie est indispensable (nutrition, traitement de la cirrhose, du syndrome néphrotique).</w:t>
      </w:r>
    </w:p>
    <w:p>
      <w:pPr>
        <w:pStyle w:val="ListNumber"/>
      </w:pPr>
      <w:r/>
      <w:r>
        <w:rPr>
          <w:b/>
        </w:rPr>
        <w:t>Ne pas confondre</w:t>
      </w:r>
      <w:r>
        <w:t xml:space="preserve"> avec les gélatines fluides modifiées (Plasmon, Geflux) ou les hydroxyéthylamidons (HEA) — substituts plasmatiques de synthèse, non dérivés du sang, mécanisme d'action et profil d'EI différents (anaphylaxie pour gélatines, néphrotoxicité pour HEA).</w:t>
      </w:r>
    </w:p>
    <w:p>
      <w:pPr>
        <w:pStyle w:val="Heading3"/>
      </w:pPr>
      <w:r>
        <w:t>173.6.4. DCI : Complexe humain plasmatique prothrombinique (PCC) — OCTAPLEX</w:t>
      </w:r>
    </w:p>
    <w:p>
      <w:pPr>
        <w:pStyle w:val="Heading4"/>
      </w:pPr>
      <w:r>
        <w:t>1. Liste catégories pharmaco-thérapeutiques</w:t>
      </w:r>
    </w:p>
    <w:p>
      <w:r/>
      <w:r>
        <w:rPr>
          <w:b/>
        </w:rPr>
        <w:t>Catégories :</w:t>
      </w:r>
      <w:r>
        <w:t xml:space="preserve"> Facteur de coagulation ; Complexe prothrombinique (PCC) ; Médicament dérivé du sang ; Facteurs vitamine K-dépendants (II, VII, IX, X) + protéines C et S ; Antidote AVK ; Antagoniste des antivitamines K ; Hémostase ; Urgence hémorragique. </w:t>
      </w:r>
      <w:r>
        <w:rPr>
          <w:b/>
        </w:rPr>
        <w:t>Liste I</w:t>
      </w:r>
      <w:r>
        <w:t xml:space="preserve"> (sur ordonnance). Spécialité exclusivement hospitalière (réservée aux services de réanimation, urgences vitales, chirurgie lourde, hématologie clinique). Traçabilité nominative obligatoire (registre hémovigilance national).</w:t>
      </w:r>
    </w:p>
    <w:p>
      <w:pPr>
        <w:pStyle w:val="Heading4"/>
      </w:pPr>
      <w:r>
        <w:t>2. Table commerciale des spécialités algériennes (nomenclature Avril 2026)</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OCTAPLEX</w:t>
            </w:r>
          </w:p>
        </w:tc>
        <w:tc>
          <w:tcPr>
            <w:tcW w:type="dxa" w:w="1559"/>
          </w:tcPr>
          <w:p>
            <w:r>
              <w:rPr>
                <w:sz w:val="20"/>
              </w:rPr>
              <w:t>Octapharma Pharmazeutika Produktionsges.m.b.H.</w:t>
            </w:r>
          </w:p>
        </w:tc>
        <w:tc>
          <w:tcPr>
            <w:tcW w:type="dxa" w:w="1559"/>
          </w:tcPr>
          <w:p>
            <w:r>
              <w:rPr>
                <w:sz w:val="20"/>
              </w:rPr>
              <w:t>Poudre et solvant pour solution pour perfusion, 500 UI</w:t>
            </w:r>
          </w:p>
        </w:tc>
        <w:tc>
          <w:tcPr>
            <w:tcW w:type="dxa" w:w="1559"/>
          </w:tcPr>
          <w:p>
            <w:r>
              <w:rPr>
                <w:sz w:val="20"/>
              </w:rPr>
              <w:t>Boîte de 1 flacon de poudre + 1 flacon de solvant de 20 mL</w:t>
            </w:r>
          </w:p>
        </w:tc>
        <w:tc>
          <w:tcPr>
            <w:tcW w:type="dxa" w:w="1559"/>
          </w:tcPr>
          <w:p>
            <w:r>
              <w:rPr>
                <w:sz w:val="20"/>
              </w:rPr>
              <w:t>Liste I</w:t>
            </w:r>
          </w:p>
        </w:tc>
        <w:tc>
          <w:tcPr>
            <w:tcW w:type="dxa" w:w="1559"/>
          </w:tcPr>
          <w:p>
            <w:r>
              <w:rPr>
                <w:sz w:val="20"/>
              </w:rPr>
              <w:t>Actif</w:t>
            </w:r>
          </w:p>
        </w:tc>
      </w:tr>
    </w:tbl>
    <w:p/>
    <w:p>
      <w:r/>
      <w:r>
        <w:rPr>
          <w:b/>
        </w:rPr>
        <w:t>Remarque :</w:t>
      </w:r>
      <w:r>
        <w:t xml:space="preserve"> OCTAPLEX est l'unique spécialité de PCC commercialisée en Algérie. Il s'agit d'un </w:t>
      </w:r>
      <w:r>
        <w:rPr>
          <w:b/>
        </w:rPr>
        <w:t>4-facteurs PCC (4F-PCC)</w:t>
      </w:r>
      <w:r>
        <w:t xml:space="preserve"> contenant les facteurs II, VII, IX et X, ainsi que les protéines C et S, de l'antithrombine III et de l'héparine (attention : ne pas utiliser en cas de thrombopénie induite par l'héparine TIH). La concentration est exprimée en UI de facteur IX (500 UI par flacon). Le produit se présente sous forme de </w:t>
      </w:r>
      <w:r>
        <w:rPr>
          <w:b/>
        </w:rPr>
        <w:t>poudre lyophilisée</w:t>
      </w:r>
      <w:r>
        <w:t xml:space="preserve"> à reconstituer avec le solvant fourni (20 mL) avant perfusion IV lente. La reconstitution se fait à l'aide du dispositif Mix2Vial fourni dans la boîte.</w:t>
      </w:r>
    </w:p>
    <w:p>
      <w:pPr>
        <w:pStyle w:val="Heading4"/>
      </w:pPr>
      <w:r>
        <w:t>3. Mécanisme d'action moléculaire, cellulaire et physiologique</w:t>
      </w:r>
    </w:p>
    <w:p>
      <w:r>
        <w:t xml:space="preserve">Le complexe humain plasmatique prothrombinique (PCC) contient les </w:t>
      </w:r>
      <w:r>
        <w:rPr>
          <w:b/>
        </w:rPr>
        <w:t>facteurs de coagulation vitamine K-dépendants</w:t>
      </w:r>
      <w:r>
        <w:t xml:space="preserve"> synthétisés par le foie : </w:t>
      </w:r>
      <w:r>
        <w:rPr>
          <w:b/>
        </w:rPr>
        <w:t>facteur II (prothrombine), facteur VII (proconvertine), facteur IX (Christmas) et facteur X (Stuart-Power)</w:t>
      </w:r>
      <w:r>
        <w:t xml:space="preserve">. La spécialité Octaplex contient en plus les </w:t>
      </w:r>
      <w:r>
        <w:rPr>
          <w:b/>
        </w:rPr>
        <w:t>protéines inhibitrices C et S</w:t>
      </w:r>
      <w:r>
        <w:t xml:space="preserve"> (elles aussi vitamine K-dépendantes), conférant un meilleur profil de tolérance thrombotique.</w:t>
      </w:r>
    </w:p>
    <w:p>
      <w:r/>
      <w:r>
        <w:rPr>
          <w:b/>
        </w:rPr>
        <w:t>Rôle physiologique des facteurs vitamine K-dépendants :</w:t>
      </w:r>
      <w:r/>
    </w:p>
    <w:p>
      <w:pPr>
        <w:pStyle w:val="ListBullet"/>
      </w:pPr>
      <w:r/>
      <w:r>
        <w:rPr>
          <w:b/>
        </w:rPr>
        <w:t>Facteur II (prothrombine)</w:t>
      </w:r>
      <w:r>
        <w:t xml:space="preserve"> : proenzyme clivée en </w:t>
      </w:r>
      <w:r>
        <w:rPr>
          <w:b/>
        </w:rPr>
        <w:t>thrombine</w:t>
      </w:r>
      <w:r>
        <w:t xml:space="preserve"> (FIIa) sous l'action du complexe prothrombinase (FXa + FVa + Ca²⁺ + phospholipides plaquettaires). La thrombine convertit le fibrinogène en fibrine, active les plaquettes, les facteurs V, VIII, XI, XIII, et exerce un effet pro-coagulant majeur.</w:t>
      </w:r>
    </w:p>
    <w:p>
      <w:pPr>
        <w:pStyle w:val="ListBullet"/>
      </w:pPr>
      <w:r/>
      <w:r>
        <w:rPr>
          <w:b/>
        </w:rPr>
        <w:t>Facteur VII</w:t>
      </w:r>
      <w:r>
        <w:t xml:space="preserve"> : cofacteur du </w:t>
      </w:r>
      <w:r>
        <w:rPr>
          <w:b/>
        </w:rPr>
        <w:t>facteur tissulaire (FT)</w:t>
      </w:r>
      <w:r>
        <w:t xml:space="preserve"> libéré par les cellules endothéliales lésées. Le complexe FT-FVIIa active FIX → FIXa et FX → FXa, déclenchant la cascade de coagulation.</w:t>
      </w:r>
    </w:p>
    <w:p>
      <w:pPr>
        <w:pStyle w:val="ListBullet"/>
      </w:pPr>
      <w:r/>
      <w:r>
        <w:rPr>
          <w:b/>
        </w:rPr>
        <w:t>Facteur IX</w:t>
      </w:r>
      <w:r>
        <w:t xml:space="preserve"> : activateur du facteur X dans la voie intrinsèque (FIXa + FVIIIa + Ca²⁺ + phospholipides → activation de FX). Le déficit congénital en FIX = hémophilie B.</w:t>
      </w:r>
    </w:p>
    <w:p>
      <w:pPr>
        <w:pStyle w:val="ListBullet"/>
      </w:pPr>
      <w:r/>
      <w:r>
        <w:rPr>
          <w:b/>
        </w:rPr>
        <w:t>Facteur X</w:t>
      </w:r>
      <w:r>
        <w:t xml:space="preserve"> : convertit la prothrombine (FII) en thrombine (FIIa) dans le complexe prothrombinase.</w:t>
      </w:r>
    </w:p>
    <w:p>
      <w:pPr>
        <w:pStyle w:val="ListBullet"/>
      </w:pPr>
      <w:r/>
      <w:r>
        <w:rPr>
          <w:b/>
        </w:rPr>
        <w:t>Protéines C et S</w:t>
      </w:r>
      <w:r>
        <w:t xml:space="preserve"> : inhibiteurs naturels de la coagulation, inactivent les facteurs Va et VIIIa (système de régulation APC-resistance).</w:t>
      </w:r>
    </w:p>
    <w:p>
      <w:r/>
      <w:r>
        <w:rPr>
          <w:b/>
        </w:rPr>
        <w:t>Action des AVK :</w:t>
      </w:r>
      <w:r>
        <w:t xml:space="preserve"> les antivitamines K (warfarine, acénocoumarol, fluindione) inhibent la </w:t>
      </w:r>
      <w:r>
        <w:rPr>
          <w:b/>
        </w:rPr>
        <w:t>vitamine K époxyde réductase</w:t>
      </w:r>
      <w:r>
        <w:t xml:space="preserve"> (VKORC1), empêchant la régénération de la forme active de la vitamine K (hydroquinone). Sans vitamine K active, la </w:t>
      </w:r>
      <w:r>
        <w:rPr>
          <w:b/>
        </w:rPr>
        <w:t>γ-carboxylase</w:t>
      </w:r>
      <w:r>
        <w:t xml:space="preserve"> hépatique ne peut pas γ-carboxyler les résidus glutamates (Glu → Gla) des facteurs II, VII, IX, X et des protéines C et S. Les facteurs ainsi synthétisés sont non fonctionnels (incapacité de fixer le Ca²⁺ et les phospholipides), générant un état d'</w:t>
      </w:r>
      <w:r>
        <w:rPr>
          <w:b/>
        </w:rPr>
        <w:t>hypocoagulabilité</w:t>
      </w:r>
      <w:r>
        <w:t xml:space="preserve"> prolongé. La demi-vie des facteurs carboxylés étant variable (FII : 60-72 h, FVII : 4-6 h, FIX : 18-24 h, FX : 40-60 h), l'effet des AVK persiste 3-5 jours après arrêt.</w:t>
      </w:r>
    </w:p>
    <w:p>
      <w:r/>
      <w:r>
        <w:rPr>
          <w:b/>
        </w:rPr>
        <w:t>Action du PCC :</w:t>
      </w:r>
      <w:r>
        <w:t xml:space="preserve"> l'administration IV de PCC apporte </w:t>
      </w:r>
      <w:r>
        <w:rPr>
          <w:b/>
        </w:rPr>
        <w:t>directement les facteurs II, VII, IX et X déjà carboxylés et fonctionnels</w:t>
      </w:r>
      <w:r>
        <w:t xml:space="preserve">, contournant le blocage AVK. L'effet est </w:t>
      </w:r>
      <w:r>
        <w:rPr>
          <w:b/>
        </w:rPr>
        <w:t>immédiat</w:t>
      </w:r>
      <w:r>
        <w:t xml:space="preserve"> :</w:t>
      </w:r>
    </w:p>
    <w:p>
      <w:pPr>
        <w:pStyle w:val="ListBullet"/>
      </w:pPr>
      <w:r>
        <w:t xml:space="preserve">Le facteur VII atteint son pic d'activité en </w:t>
      </w:r>
      <w:r>
        <w:rPr>
          <w:b/>
        </w:rPr>
        <w:t>10-30 minutes</w:t>
      </w:r>
      <w:r>
        <w:t xml:space="preserve"> après perfusion.</w:t>
      </w:r>
    </w:p>
    <w:p>
      <w:pPr>
        <w:pStyle w:val="ListBullet"/>
      </w:pPr>
      <w:r>
        <w:t xml:space="preserve">L'INR se corrige d'une valeur &gt; 5 à une valeur ≤ 1,5 en </w:t>
      </w:r>
      <w:r>
        <w:rPr>
          <w:b/>
        </w:rPr>
        <w:t>moins de 30 minutes</w:t>
      </w:r>
      <w:r>
        <w:t>.</w:t>
      </w:r>
    </w:p>
    <w:p>
      <w:pPr>
        <w:pStyle w:val="ListBullet"/>
      </w:pPr>
      <w:r>
        <w:t xml:space="preserve">Cette rapidité contraste avec la vitamine K1 (phytoménadione) qui nécessite </w:t>
      </w:r>
      <w:r>
        <w:rPr>
          <w:b/>
        </w:rPr>
        <w:t>6-24 h</w:t>
      </w:r>
      <w:r>
        <w:t xml:space="preserve"> (voie IV) ou </w:t>
      </w:r>
      <w:r>
        <w:rPr>
          <w:b/>
        </w:rPr>
        <w:t>24-48 h</w:t>
      </w:r>
      <w:r>
        <w:t xml:space="preserve"> (voie orale) pour atteindre son effet maximal (la vitamine K1 doit être d'abord métabolisée en hydroquinone active, puis la γ-carboxylase doit γ-carboxyler les facteurs nouvellement synthétisés par le foie).</w:t>
      </w:r>
    </w:p>
    <w:p>
      <w:r/>
      <w:r>
        <w:rPr>
          <w:b/>
        </w:rPr>
        <w:t>Limitation de l'effet du PCC :</w:t>
      </w:r>
      <w:r/>
    </w:p>
    <w:p>
      <w:pPr>
        <w:pStyle w:val="ListBullet"/>
      </w:pPr>
      <w:r>
        <w:t xml:space="preserve">La demi-vie du PCC est limitée : </w:t>
      </w:r>
      <w:r>
        <w:rPr>
          <w:b/>
        </w:rPr>
        <w:t>FVII ≈ 6 h, FII ≈ 60-72 h, FIX ≈ 24 h, FX ≈ 40 h</w:t>
      </w:r>
      <w:r>
        <w:t>.</w:t>
      </w:r>
    </w:p>
    <w:p>
      <w:pPr>
        <w:pStyle w:val="ListBullet"/>
      </w:pPr>
      <w:r>
        <w:t>La correction de l'INR est transitoire (6-8 h pour le FVII), ce qui impose l'</w:t>
      </w:r>
      <w:r>
        <w:rPr>
          <w:b/>
        </w:rPr>
        <w:t>association systématique avec la vitamine K1</w:t>
      </w:r>
      <w:r>
        <w:t xml:space="preserve"> (10 mg IV lent ou per os) pour assurer une synthèse endogène prolongée des facteurs AVK-dépendants et éviter la récidive hémorragique à 6-8 h.</w:t>
      </w:r>
    </w:p>
    <w:p>
      <w:pPr>
        <w:pStyle w:val="Heading4"/>
      </w:pPr>
      <w:r>
        <w:t>4. Pharmacocinétique (Profil PK)</w:t>
      </w:r>
    </w:p>
    <w:p>
      <w:pPr>
        <w:pStyle w:val="ListBullet"/>
      </w:pPr>
      <w:r/>
      <w:r>
        <w:rPr>
          <w:b/>
        </w:rPr>
        <w:t>Distribution :</w:t>
      </w:r>
      <w:r>
        <w:t xml:space="preserve"> volume de distribution ≈ 50-100 mL/kg (compartiment plasmatique).</w:t>
      </w:r>
    </w:p>
    <w:p>
      <w:pPr>
        <w:pStyle w:val="ListBullet"/>
      </w:pPr>
      <w:r/>
      <w:r>
        <w:rPr>
          <w:b/>
        </w:rPr>
        <w:t>Demi-vie d'élimination des composants</w:t>
      </w:r>
      <w:r>
        <w:t xml:space="preserve"> :</w:t>
      </w:r>
    </w:p>
    <w:p>
      <w:pPr>
        <w:pStyle w:val="ListBullet"/>
      </w:pPr>
      <w:r>
        <w:t>FII (prothrombine) : 60-72 h</w:t>
      </w:r>
    </w:p>
    <w:p>
      <w:pPr>
        <w:pStyle w:val="ListBullet"/>
      </w:pPr>
      <w:r>
        <w:t>FVII : 4-6 h (pic d'activité à 30 min, chute à 50 % à 6 h)</w:t>
      </w:r>
    </w:p>
    <w:p>
      <w:pPr>
        <w:pStyle w:val="ListBullet"/>
      </w:pPr>
      <w:r>
        <w:t>FIX : 18-24 h</w:t>
      </w:r>
    </w:p>
    <w:p>
      <w:pPr>
        <w:pStyle w:val="ListBullet"/>
      </w:pPr>
      <w:r>
        <w:t>FX : 40-60 h</w:t>
      </w:r>
    </w:p>
    <w:p>
      <w:pPr>
        <w:pStyle w:val="ListBullet"/>
      </w:pPr>
      <w:r>
        <w:t>Protéines C et S : 8 h et 24 h respectivement</w:t>
      </w:r>
    </w:p>
    <w:p>
      <w:pPr>
        <w:pStyle w:val="ListBullet"/>
      </w:pPr>
      <w:r/>
      <w:r>
        <w:rPr>
          <w:b/>
        </w:rPr>
        <w:t>Métabolisme :</w:t>
      </w:r>
      <w:r>
        <w:t xml:space="preserve"> protéolyse lysosomale dans le foie et les macrophages, sans intervention CYP450.</w:t>
      </w:r>
    </w:p>
    <w:p>
      <w:pPr>
        <w:pStyle w:val="ListBullet"/>
      </w:pPr>
      <w:r/>
      <w:r>
        <w:rPr>
          <w:b/>
        </w:rPr>
        <w:t>Élimination :</w:t>
      </w:r>
      <w:r>
        <w:t xml:space="preserve"> négligeable par rein (poids moléculaire &gt; 50 kDa).</w:t>
      </w:r>
    </w:p>
    <w:p>
      <w:pPr>
        <w:pStyle w:val="ListBullet"/>
      </w:pPr>
      <w:r/>
      <w:r>
        <w:rPr>
          <w:b/>
        </w:rPr>
        <w:t>Biodisponibilité IV :</w:t>
      </w:r>
      <w:r>
        <w:t xml:space="preserve"> 100 % (voie IV stricte).</w:t>
      </w:r>
    </w:p>
    <w:p>
      <w:pPr>
        <w:pStyle w:val="Heading4"/>
      </w:pPr>
      <w:r>
        <w:t>5. Indications thérapeutiques</w:t>
      </w:r>
    </w:p>
    <w:p>
      <w:r/>
      <w:r>
        <w:rPr>
          <w:b/>
        </w:rPr>
        <w:t>Indications validées (RCP ANSM/HAS/French Society of Cardiology) :</w:t>
      </w:r>
      <w:r/>
    </w:p>
    <w:p>
      <w:pPr>
        <w:pStyle w:val="ListNumber"/>
      </w:pPr>
      <w:r/>
      <w:r>
        <w:rPr>
          <w:b/>
        </w:rPr>
        <w:t>Antagonisation d'urgence des AVK</w:t>
      </w:r>
      <w:r>
        <w:t xml:space="preserve"> en cas d'hémorragie grave ou mettant en jeu le pronostic vital :</w:t>
      </w:r>
    </w:p>
    <w:p>
      <w:pPr>
        <w:pStyle w:val="ListBullet"/>
      </w:pPr>
      <w:r/>
      <w:r>
        <w:rPr>
          <w:b/>
        </w:rPr>
        <w:t>Hémorragie cérébrale</w:t>
      </w:r>
      <w:r>
        <w:t xml:space="preserve"> (AVC hémorragique sous AVK) — indication princeps.</w:t>
      </w:r>
    </w:p>
    <w:p>
      <w:pPr>
        <w:pStyle w:val="ListBullet"/>
      </w:pPr>
      <w:r/>
      <w:r>
        <w:rPr>
          <w:b/>
        </w:rPr>
        <w:t>Hématome compressif</w:t>
      </w:r>
      <w:r>
        <w:t xml:space="preserve"> (épidural, sous-dural, rétro-péritonéal).</w:t>
      </w:r>
    </w:p>
    <w:p>
      <w:pPr>
        <w:pStyle w:val="ListBullet"/>
      </w:pPr>
      <w:r/>
      <w:r>
        <w:rPr>
          <w:b/>
        </w:rPr>
        <w:t>Hémorragie digestive active</w:t>
      </w:r>
      <w:r>
        <w:t xml:space="preserve"> (hémorragie sur ulcère, varices œsophagiennes) sous AVK.</w:t>
      </w:r>
    </w:p>
    <w:p>
      <w:pPr>
        <w:pStyle w:val="ListBullet"/>
      </w:pPr>
      <w:r/>
      <w:r>
        <w:rPr>
          <w:b/>
        </w:rPr>
        <w:t>Choc hémorragique</w:t>
      </w:r>
      <w:r>
        <w:t xml:space="preserve"> sous AVK (Hb &lt; 7 g/dL, hémodynamique instable).</w:t>
      </w:r>
    </w:p>
    <w:p>
      <w:pPr>
        <w:pStyle w:val="ListNumber"/>
      </w:pPr>
      <w:r/>
      <w:r>
        <w:rPr>
          <w:b/>
        </w:rPr>
        <w:t>Surdosage massif en AVK</w:t>
      </w:r>
      <w:r>
        <w:t xml:space="preserve"> (INR &gt; 10) sans hémorragie active mais contexte à risque (chute, comorbidité) — selon protocole.</w:t>
      </w:r>
    </w:p>
    <w:p>
      <w:pPr>
        <w:pStyle w:val="ListNumber"/>
      </w:pPr>
      <w:r/>
      <w:r>
        <w:rPr>
          <w:b/>
        </w:rPr>
        <w:t>Correction rapide de l'INR avant chirurgie urgente</w:t>
      </w:r>
      <w:r>
        <w:t xml:space="preserve"> chez patient sous AVK :</w:t>
      </w:r>
    </w:p>
    <w:p>
      <w:pPr>
        <w:pStyle w:val="ListBullet"/>
      </w:pPr>
      <w:r>
        <w:t>Chirurgie cardiaque urgente (remplacement valvulaire, pontage).</w:t>
      </w:r>
    </w:p>
    <w:p>
      <w:pPr>
        <w:pStyle w:val="ListBullet"/>
      </w:pPr>
      <w:r>
        <w:t>Neurochirurgie (évacuation d'hématome, craniotomie).</w:t>
      </w:r>
    </w:p>
    <w:p>
      <w:pPr>
        <w:pStyle w:val="ListBullet"/>
      </w:pPr>
      <w:r>
        <w:t>Chirurgie viscérale urgente (péritonite, occlusion).</w:t>
      </w:r>
    </w:p>
    <w:p>
      <w:pPr>
        <w:pStyle w:val="ListNumber"/>
      </w:pPr>
      <w:r/>
      <w:r>
        <w:rPr>
          <w:b/>
        </w:rPr>
        <w:t>Hémophilie B congénitale</w:t>
      </w:r>
      <w:r>
        <w:t xml:space="preserve"> (déficit en facteur IX) — alternative au facteur IX recombinant en cas de non-disponibilité.</w:t>
      </w:r>
    </w:p>
    <w:p>
      <w:pPr>
        <w:pStyle w:val="ListNumber"/>
      </w:pPr>
      <w:r/>
      <w:r>
        <w:rPr>
          <w:b/>
        </w:rPr>
        <w:t>Déficit acquis en facteurs II, VII, IX, X</w:t>
      </w:r>
      <w:r>
        <w:t xml:space="preserve"> :</w:t>
      </w:r>
    </w:p>
    <w:p>
      <w:pPr>
        <w:pStyle w:val="ListBullet"/>
      </w:pPr>
      <w:r>
        <w:t>Insuffisance hépatocellulaire sévère (cirrhose décompensée) — deuxième intention.</w:t>
      </w:r>
    </w:p>
    <w:p>
      <w:pPr>
        <w:pStyle w:val="ListBullet"/>
      </w:pPr>
      <w:r>
        <w:t>Avitaminose K sévère (malabsorption, nutrition parentérale prolongée sans supplémentation) — deuxième intention.</w:t>
      </w:r>
    </w:p>
    <w:p>
      <w:pPr>
        <w:pStyle w:val="Heading4"/>
      </w:pPr>
      <w:r>
        <w:t>6. Posologie et mode d'administration</w:t>
      </w:r>
    </w:p>
    <w:p>
      <w:r/>
      <w:r>
        <w:rPr>
          <w:b/>
        </w:rPr>
        <w:t>Posologie adulte standard (antagonisation AVK d'urgence) :</w:t>
      </w:r>
      <w:r/>
    </w:p>
    <w:p>
      <w:pPr>
        <w:pStyle w:val="ListBullet"/>
      </w:pPr>
      <w:r>
        <w:t xml:space="preserve">Dose usuelle : </w:t>
      </w:r>
      <w:r>
        <w:rPr>
          <w:b/>
        </w:rPr>
        <w:t>25-50 UI/kg</w:t>
      </w:r>
      <w:r>
        <w:t xml:space="preserve"> en IV lente (perfusion sur 5-10 minutes).</w:t>
      </w:r>
    </w:p>
    <w:p>
      <w:pPr>
        <w:pStyle w:val="ListBullet"/>
      </w:pPr>
      <w:r>
        <w:t>Dose adaptée au poids et à l'INR initial :</w:t>
      </w:r>
    </w:p>
    <w:p>
      <w:pPr>
        <w:pStyle w:val="ListBullet"/>
      </w:pPr>
      <w:r>
        <w:t xml:space="preserve">INR 2-4 : </w:t>
      </w:r>
      <w:r>
        <w:rPr>
          <w:b/>
        </w:rPr>
        <w:t>25 UI/kg</w:t>
      </w:r>
      <w:r/>
    </w:p>
    <w:p>
      <w:pPr>
        <w:pStyle w:val="ListBullet"/>
      </w:pPr>
      <w:r>
        <w:t xml:space="preserve">INR 4-6 : </w:t>
      </w:r>
      <w:r>
        <w:rPr>
          <w:b/>
        </w:rPr>
        <w:t>35 UI/kg</w:t>
      </w:r>
      <w:r/>
    </w:p>
    <w:p>
      <w:pPr>
        <w:pStyle w:val="ListBullet"/>
      </w:pPr>
      <w:r>
        <w:t xml:space="preserve">INR &gt; 6 : </w:t>
      </w:r>
      <w:r>
        <w:rPr>
          <w:b/>
        </w:rPr>
        <w:t>50 UI/kg</w:t>
      </w:r>
      <w:r>
        <w:t xml:space="preserve"> (max 70 UI/kg)</w:t>
      </w:r>
    </w:p>
    <w:p>
      <w:pPr>
        <w:pStyle w:val="ListBullet"/>
      </w:pPr>
      <w:r>
        <w:t xml:space="preserve">Ne pas dépasser la dose maximale cumulée de </w:t>
      </w:r>
      <w:r>
        <w:rPr>
          <w:b/>
        </w:rPr>
        <w:t>3000 UI/jour</w:t>
      </w:r>
      <w:r>
        <w:t xml:space="preserve"> (risque thromboembolique).</w:t>
      </w:r>
    </w:p>
    <w:p>
      <w:r/>
      <w:r>
        <w:rPr>
          <w:b/>
        </w:rPr>
        <w:t>Posologie pédiatrique :</w:t>
      </w:r>
      <w:r/>
    </w:p>
    <w:p>
      <w:pPr>
        <w:pStyle w:val="ListBullet"/>
      </w:pPr>
      <w:r>
        <w:t>Hémophilie B : 1 UI/kg augmente le taux de FIX de 1,5-2 % (règle classique).</w:t>
      </w:r>
    </w:p>
    <w:p>
      <w:pPr>
        <w:pStyle w:val="ListBullet"/>
      </w:pPr>
      <w:r>
        <w:t>Antagonisation AVK pédiatrique : 25-50 UI/kg.</w:t>
      </w:r>
    </w:p>
    <w:p>
      <w:r/>
      <w:r>
        <w:rPr>
          <w:b/>
        </w:rPr>
        <w:t>Voie d'administration :</w:t>
      </w:r>
      <w:r/>
    </w:p>
    <w:p>
      <w:pPr>
        <w:pStyle w:val="ListBullet"/>
      </w:pPr>
      <w:r/>
      <w:r>
        <w:rPr>
          <w:b/>
        </w:rPr>
        <w:t>Voie IV stricte</w:t>
      </w:r>
      <w:r>
        <w:t xml:space="preserve"> (perfuseur ou voie centrale).</w:t>
      </w:r>
    </w:p>
    <w:p>
      <w:pPr>
        <w:pStyle w:val="ListBullet"/>
      </w:pPr>
      <w:r/>
      <w:r>
        <w:rPr>
          <w:b/>
        </w:rPr>
        <w:t>Débit de perfusion</w:t>
      </w:r>
      <w:r>
        <w:t xml:space="preserve"> : ne pas dépasser 2-3 UI/kg/min (soit ≈ 100 UI/min chez adulte de 70 kg).</w:t>
      </w:r>
    </w:p>
    <w:p>
      <w:pPr>
        <w:pStyle w:val="ListBullet"/>
      </w:pPr>
      <w:r/>
      <w:r>
        <w:rPr>
          <w:b/>
        </w:rPr>
        <w:t>Perfusion sur 5-10 minutes</w:t>
      </w:r>
      <w:r>
        <w:t xml:space="preserve"> (jamais en bolus — risque de choc anaphylactoïde, hypotension).</w:t>
      </w:r>
    </w:p>
    <w:p>
      <w:pPr>
        <w:pStyle w:val="ListBullet"/>
      </w:pPr>
      <w:r/>
      <w:r>
        <w:rPr>
          <w:b/>
        </w:rPr>
        <w:t>Reconstitution immédiate</w:t>
      </w:r>
      <w:r>
        <w:t xml:space="preserve"> avant emploi : utiliser le dispositif Mix2Vial fourni, agiter doucement (ne pas vigoureusement) jusqu'à dissolution complète (solution limpide incolore).</w:t>
      </w:r>
    </w:p>
    <w:p>
      <w:pPr>
        <w:pStyle w:val="ListBullet"/>
      </w:pPr>
      <w:r/>
      <w:r>
        <w:rPr>
          <w:b/>
        </w:rPr>
        <w:t>Utilisation dans les 4 heures</w:t>
      </w:r>
      <w:r>
        <w:t xml:space="preserve"> après reconstitution (ne pas conserver au-delà).</w:t>
      </w:r>
    </w:p>
    <w:p>
      <w:r/>
      <w:r>
        <w:rPr>
          <w:b/>
        </w:rPr>
        <w:t>Association systématique avec vitamine K1 :</w:t>
      </w:r>
      <w:r/>
    </w:p>
    <w:p>
      <w:pPr>
        <w:pStyle w:val="ListBullet"/>
      </w:pPr>
      <w:r/>
      <w:r>
        <w:rPr>
          <w:b/>
        </w:rPr>
        <w:t>Phytoménadione (vitamine K1) 10 mg IV lent</w:t>
      </w:r>
      <w:r>
        <w:t xml:space="preserve"> (1 mg/min) ou per os en relais.</w:t>
      </w:r>
    </w:p>
    <w:p>
      <w:pPr>
        <w:pStyle w:val="ListBullet"/>
      </w:pPr>
      <w:r>
        <w:t>La vitamine K1 assure la synthèse endogène des facteurs AVK-dépendants à 6-12 h, prolongeant l'effet du PCC au-delà de sa demi-vie courte.</w:t>
      </w:r>
    </w:p>
    <w:p>
      <w:pPr>
        <w:pStyle w:val="Heading4"/>
      </w:pPr>
      <w:r>
        <w:t>7. Effets indésirables et prévention</w:t>
      </w:r>
    </w:p>
    <w:p>
      <w:r/>
      <w:r>
        <w:rPr>
          <w:b/>
        </w:rPr>
        <w:t>Effets indésirables fréquents (&gt; 1 %) :</w:t>
      </w:r>
      <w:r/>
    </w:p>
    <w:p>
      <w:pPr>
        <w:pStyle w:val="ListBullet"/>
      </w:pPr>
      <w:r>
        <w:t>Réactions locales au site de perfusion (douleur veineuse, phlébite).</w:t>
      </w:r>
    </w:p>
    <w:p>
      <w:pPr>
        <w:pStyle w:val="ListBullet"/>
      </w:pPr>
      <w:r>
        <w:t>Bouffées vasomotrices, fièvre modérée, frissons.</w:t>
      </w:r>
    </w:p>
    <w:p>
      <w:pPr>
        <w:pStyle w:val="ListBullet"/>
      </w:pPr>
      <w:r>
        <w:t>Hypotension transitoire (surtout si perfusion rapide).</w:t>
      </w:r>
    </w:p>
    <w:p>
      <w:r/>
      <w:r>
        <w:rPr>
          <w:b/>
        </w:rPr>
        <w:t>Effets indésirables graves (&lt; 1 %) :</w:t>
      </w:r>
      <w:r/>
    </w:p>
    <w:p>
      <w:pPr>
        <w:pStyle w:val="ListBullet"/>
      </w:pPr>
      <w:r/>
      <w:r>
        <w:rPr>
          <w:b/>
        </w:rPr>
        <w:t>Événements thromboemboliques</w:t>
      </w:r>
      <w:r>
        <w:t xml:space="preserve"> (2-5 % des cas) :</w:t>
      </w:r>
    </w:p>
    <w:p>
      <w:pPr>
        <w:pStyle w:val="ListBullet"/>
      </w:pPr>
      <w:r>
        <w:t>Thrombose veineuse profonde (TVP).</w:t>
      </w:r>
    </w:p>
    <w:p>
      <w:pPr>
        <w:pStyle w:val="ListBullet"/>
      </w:pPr>
      <w:r>
        <w:t>Embolie pulmonaire (EP).</w:t>
      </w:r>
    </w:p>
    <w:p>
      <w:pPr>
        <w:pStyle w:val="ListBullet"/>
      </w:pPr>
      <w:r>
        <w:t>AVC ischémique.</w:t>
      </w:r>
    </w:p>
    <w:p>
      <w:pPr>
        <w:pStyle w:val="ListBullet"/>
      </w:pPr>
      <w:r>
        <w:t>Infarctus du myocarde.</w:t>
      </w:r>
    </w:p>
    <w:p>
      <w:pPr>
        <w:pStyle w:val="ListBullet"/>
      </w:pPr>
      <w:r>
        <w:t>Coagulation intravasculaire disséminée (CIVD).</w:t>
      </w:r>
    </w:p>
    <w:p>
      <w:pPr>
        <w:pStyle w:val="ListBullet"/>
      </w:pPr>
      <w:r/>
      <w:r>
        <w:rPr>
          <w:b/>
        </w:rPr>
        <w:t>Risque majoré</w:t>
      </w:r>
      <w:r>
        <w:t xml:space="preserve"> en cas de : dose &gt; 50 UI/kg, sujet âgé, cancer évolutif, antécédent thromboembolique, alitement prolongé, post-opératoire.</w:t>
      </w:r>
    </w:p>
    <w:p>
      <w:pPr>
        <w:pStyle w:val="ListBullet"/>
      </w:pPr>
      <w:r/>
      <w:r>
        <w:rPr>
          <w:b/>
        </w:rPr>
        <w:t>Réactions d'hypersensibilité</w:t>
      </w:r>
      <w:r>
        <w:t xml:space="preserve"> (urticaire, angio-œdème, bronchospasme, exceptionnellement choc anaphylactique).</w:t>
      </w:r>
    </w:p>
    <w:p>
      <w:pPr>
        <w:pStyle w:val="ListBullet"/>
      </w:pPr>
      <w:r/>
      <w:r>
        <w:rPr>
          <w:b/>
        </w:rPr>
        <w:t>Hémolyse</w:t>
      </w:r>
      <w:r>
        <w:t xml:space="preserve"> (surtout si groupe sanguin A, B, AB — anticorps anti-A ou anti-B présents à faible titre dans le PCC).</w:t>
      </w:r>
    </w:p>
    <w:p>
      <w:pPr>
        <w:pStyle w:val="ListBullet"/>
      </w:pPr>
      <w:r/>
      <w:r>
        <w:rPr>
          <w:b/>
        </w:rPr>
        <w:t>Thrombopénie induite par l'héparine (TIH)</w:t>
      </w:r>
      <w:r>
        <w:t xml:space="preserve"> — Octaplex contient de l'héparine (CI si antécédent de TIH).</w:t>
      </w:r>
    </w:p>
    <w:p>
      <w:r/>
      <w:r>
        <w:rPr>
          <w:b/>
        </w:rPr>
        <w:t>Prévention :</w:t>
      </w:r>
      <w:r/>
    </w:p>
    <w:p>
      <w:pPr>
        <w:pStyle w:val="ListBullet"/>
      </w:pPr>
      <w:r/>
      <w:r>
        <w:rPr>
          <w:b/>
        </w:rPr>
        <w:t>Surveillance INR</w:t>
      </w:r>
      <w:r>
        <w:t xml:space="preserve"> à 30 min, 6 h, 12 h, 24 h post-perfusion.</w:t>
      </w:r>
    </w:p>
    <w:p>
      <w:pPr>
        <w:pStyle w:val="ListBullet"/>
      </w:pPr>
      <w:r/>
      <w:r>
        <w:rPr>
          <w:b/>
        </w:rPr>
        <w:t>Surveillance ECG</w:t>
      </w:r>
      <w:r>
        <w:t xml:space="preserve"> (risque thrombose coronaire).</w:t>
      </w:r>
    </w:p>
    <w:p>
      <w:pPr>
        <w:pStyle w:val="ListBullet"/>
      </w:pPr>
      <w:r/>
      <w:r>
        <w:rPr>
          <w:b/>
        </w:rPr>
        <w:t>Surveillance D-dimères, complexes solubles</w:t>
      </w:r>
      <w:r>
        <w:t xml:space="preserve"> (CIVD déclenchée).</w:t>
      </w:r>
    </w:p>
    <w:p>
      <w:pPr>
        <w:pStyle w:val="ListBullet"/>
      </w:pPr>
      <w:r/>
      <w:r>
        <w:rPr>
          <w:b/>
        </w:rPr>
        <w:t>Bilan pré-thérapeutique</w:t>
      </w:r>
      <w:r>
        <w:t xml:space="preserve"> : NFS, plaquettes, TP-INR, TCA, fibrinogène.</w:t>
      </w:r>
    </w:p>
    <w:p>
      <w:pPr>
        <w:pStyle w:val="ListBullet"/>
      </w:pPr>
      <w:r/>
      <w:r>
        <w:rPr>
          <w:b/>
        </w:rPr>
        <w:t>Respecter la dose maximale</w:t>
      </w:r>
      <w:r>
        <w:t xml:space="preserve"> (3000 UI/jour) et le débit de perfusion (≤ 2-3 UI/kg/min).</w:t>
      </w:r>
    </w:p>
    <w:p>
      <w:pPr>
        <w:pStyle w:val="ListBullet"/>
      </w:pPr>
      <w:r/>
      <w:r>
        <w:rPr>
          <w:b/>
        </w:rPr>
        <w:t>Surveillance clinique</w:t>
      </w:r>
      <w:r>
        <w:t xml:space="preserve"> à 24-72 h pour détection précoce d'un événement thrombotique (douleur molle, dyspnée, douleur thoracique, déficit neurologique).</w:t>
      </w:r>
    </w:p>
    <w:p>
      <w:pPr>
        <w:pStyle w:val="ListBullet"/>
      </w:pPr>
      <w:r/>
      <w:r>
        <w:rPr>
          <w:b/>
        </w:rPr>
        <w:t>Prévention thromboembolique</w:t>
      </w:r>
      <w:r>
        <w:t xml:space="preserve"> précoce par HBPM à dose curative ou préventive selon contexte, à distance de la phase hémorragique.</w:t>
      </w:r>
    </w:p>
    <w:p>
      <w:pPr>
        <w:pStyle w:val="ListBullet"/>
      </w:pPr>
      <w:r/>
      <w:r>
        <w:rPr>
          <w:b/>
        </w:rPr>
        <w:t>Patient sous héparine</w:t>
      </w:r>
      <w:r>
        <w:t xml:space="preserve"> : surveiller plaquettes (TIH) tous les 2-3 jours jusqu'à J14.</w:t>
      </w:r>
    </w:p>
    <w:p>
      <w:pPr>
        <w:pStyle w:val="Heading4"/>
      </w:pPr>
      <w:r>
        <w:t>8. Interactions médicamenteuses</w:t>
      </w:r>
    </w:p>
    <w:p>
      <w:pPr>
        <w:pStyle w:val="ListBullet"/>
      </w:pPr>
      <w:r/>
      <w:r>
        <w:rPr>
          <w:b/>
        </w:rPr>
        <w:t>Aucune interaction systémique au sens CYP450</w:t>
      </w:r>
      <w:r>
        <w:t xml:space="preserve"> (PCC non métabolisé par voie enzymatique hépatique).</w:t>
      </w:r>
    </w:p>
    <w:p>
      <w:pPr>
        <w:pStyle w:val="ListBullet"/>
      </w:pPr>
      <w:r/>
      <w:r>
        <w:rPr>
          <w:b/>
        </w:rPr>
        <w:t>Anticoagulants oraux directs (AOD)</w:t>
      </w:r>
      <w:r>
        <w:t xml:space="preserve"> : apixaban, rivaroxaban (anti-Xa) ne sont pas antagonisés par le PCC (utiliser Andexanet alpha si disponible) ; dabigatran (anti-IIa) antagonisé par l'idarucizumab (Praxbind), pas par le PCC.</w:t>
      </w:r>
    </w:p>
    <w:p>
      <w:pPr>
        <w:pStyle w:val="ListBullet"/>
      </w:pPr>
      <w:r/>
      <w:r>
        <w:rPr>
          <w:b/>
        </w:rPr>
        <w:t>Héparines</w:t>
      </w:r>
      <w:r>
        <w:t xml:space="preserve"> (HBPM, HNF) : effet additif, surveillance plaquettaire (TIH si héparine présente dans le PCC).</w:t>
      </w:r>
    </w:p>
    <w:p>
      <w:pPr>
        <w:pStyle w:val="ListBullet"/>
      </w:pPr>
      <w:r/>
      <w:r>
        <w:rPr>
          <w:b/>
        </w:rPr>
        <w:t>Acide tranexamique</w:t>
      </w:r>
      <w:r>
        <w:t xml:space="preserve"> (Exacyl) : effet antifibrinolytique additif, peut être associé en cas d'hémorragie grave.</w:t>
      </w:r>
    </w:p>
    <w:p>
      <w:pPr>
        <w:pStyle w:val="ListBullet"/>
      </w:pPr>
      <w:r/>
      <w:r>
        <w:rPr>
          <w:b/>
        </w:rPr>
        <w:t>Vitamine K1</w:t>
      </w:r>
      <w:r>
        <w:t xml:space="preserve"> (phytoménadione) : à associer systématiquement (effet prolongé). Attention : la vitamine K1 IV peut induire un choc anaphylactoïde (perfusion très lente, diluée).</w:t>
      </w:r>
    </w:p>
    <w:p>
      <w:pPr>
        <w:pStyle w:val="ListBullet"/>
      </w:pPr>
      <w:r/>
      <w:r>
        <w:rPr>
          <w:b/>
        </w:rPr>
        <w:t>Incompatibilités physico-chimiques</w:t>
      </w:r>
      <w:r>
        <w:t xml:space="preserve"> : ne pas mélanger dans la même ligne IV avec d'autres médicaments ; rincer la ligne entre deux perfusions.</w:t>
      </w:r>
    </w:p>
    <w:p>
      <w:pPr>
        <w:pStyle w:val="ListBullet"/>
      </w:pPr>
      <w:r/>
      <w:r>
        <w:rPr>
          <w:b/>
        </w:rPr>
        <w:t>Cristalloïdes</w:t>
      </w:r>
      <w:r>
        <w:t xml:space="preserve"> (NaCl 0,9 %, Ringer Lactate) : compatibles pour la perfusion d'amont/aval.</w:t>
      </w:r>
    </w:p>
    <w:p>
      <w:pPr>
        <w:pStyle w:val="Heading4"/>
      </w:pPr>
      <w:r>
        <w:t>9. Grossesse, allaitement et CRAT</w:t>
      </w:r>
    </w:p>
    <w:p>
      <w:r/>
      <w:r>
        <w:rPr>
          <w:b/>
        </w:rPr>
        <w:t>Grossesse :</w:t>
      </w:r>
      <w:r/>
    </w:p>
    <w:p>
      <w:pPr>
        <w:pStyle w:val="ListBullet"/>
      </w:pPr>
      <w:r>
        <w:t>CRAT : "À ÉVALUER" — le PCC ne doit être utilisé pendant la grossesse qu'en cas de nécessité absolue (hémorragie vitale sous AVK, déficit congénital en facteur IX avec hémorragie). Aucun effet tératogène documenté mais données limitées.</w:t>
      </w:r>
    </w:p>
    <w:p>
      <w:pPr>
        <w:pStyle w:val="ListBullet"/>
      </w:pPr>
      <w:r>
        <w:t>La grossesse sous AVK est hautement à risque tératogène (embryopathie à la warfarine) — les AVK sont contre-indiquées pendant la grossesse, sauf valve mécanique mitrale (posologie minimale, relais par HBPM dose-curative au 1er et 3e trimestre).</w:t>
      </w:r>
    </w:p>
    <w:p>
      <w:pPr>
        <w:pStyle w:val="ListBullet"/>
      </w:pPr>
      <w:r>
        <w:t>En cas de surdosage AVK hémorragique pendant la grossesse : le bénéfice maternel prime.</w:t>
      </w:r>
    </w:p>
    <w:p>
      <w:r/>
      <w:r>
        <w:rPr>
          <w:b/>
        </w:rPr>
        <w:t>Allaitement :</w:t>
      </w:r>
      <w:r/>
    </w:p>
    <w:p>
      <w:pPr>
        <w:pStyle w:val="ListBullet"/>
      </w:pPr>
      <w:r/>
      <w:r>
        <w:rPr>
          <w:b/>
        </w:rPr>
        <w:t>Compatible</w:t>
      </w:r>
      <w:r>
        <w:t xml:space="preserve"> (CRAT : "À PROPOSER"). Les facteurs de coagulation exogènes passent en quantité négligeable dans le lait maternel et sont dégradés par les protéases digestives infantiles.</w:t>
      </w:r>
    </w:p>
    <w:p>
      <w:pPr>
        <w:pStyle w:val="Heading4"/>
      </w:pPr>
      <w:r>
        <w:t>10. Formes galéniques disponibles</w:t>
      </w:r>
    </w:p>
    <w:p>
      <w:pPr>
        <w:pStyle w:val="ListBullet"/>
      </w:pPr>
      <w:r/>
      <w:r>
        <w:rPr>
          <w:b/>
        </w:rPr>
        <w:t>Poudre lyophilisée + solvant pour solution pour perfusion</w:t>
      </w:r>
      <w:r>
        <w:t xml:space="preserve"> (OCTAPLEX) :</w:t>
      </w:r>
    </w:p>
    <w:p>
      <w:pPr>
        <w:pStyle w:val="ListBullet"/>
      </w:pPr>
      <w:r>
        <w:t>Flacon de poudre 500 UI (facteur IX) + flacon de solvant 20 mL.</w:t>
      </w:r>
    </w:p>
    <w:p>
      <w:pPr>
        <w:pStyle w:val="ListBullet"/>
      </w:pPr>
      <w:r>
        <w:t>Dispositif Mix2Vial fourni pour reconstitution.</w:t>
      </w:r>
    </w:p>
    <w:p>
      <w:pPr>
        <w:pStyle w:val="ListBullet"/>
      </w:pPr>
      <w:r>
        <w:t>Solution reconstituée : limpide, incolore à légèrement jaune.</w:t>
      </w:r>
    </w:p>
    <w:p>
      <w:pPr>
        <w:pStyle w:val="ListBullet"/>
      </w:pPr>
      <w:r>
        <w:t xml:space="preserve">Conservation : </w:t>
      </w:r>
      <w:r>
        <w:rPr>
          <w:b/>
        </w:rPr>
        <w:t>+2 à +8 °C</w:t>
      </w:r>
      <w:r>
        <w:t>, à l'abri de la lumière, ne pas congeler.</w:t>
      </w:r>
    </w:p>
    <w:p>
      <w:pPr>
        <w:pStyle w:val="ListBullet"/>
      </w:pPr>
      <w:r>
        <w:t>Ne pas conserver la solution reconstituée &gt; 4 heures (usage immédiat).</w:t>
      </w:r>
    </w:p>
    <w:p>
      <w:pPr>
        <w:pStyle w:val="ListBullet"/>
      </w:pPr>
      <w:r>
        <w:t>Pas d'agitation vigoureuse (dénaturation protéique).</w:t>
      </w:r>
    </w:p>
    <w:p>
      <w:pPr>
        <w:pStyle w:val="Heading4"/>
      </w:pPr>
      <w:r>
        <w:t>11. Conseils au patient</w:t>
      </w:r>
    </w:p>
    <w:p>
      <w:r/>
      <w:r>
        <w:rPr>
          <w:b/>
        </w:rPr>
        <w:t>Conseils au patient hospitalisé (urgence hémorragique sous AVK) :</w:t>
      </w:r>
      <w:r/>
    </w:p>
    <w:p>
      <w:pPr>
        <w:pStyle w:val="ListBullet"/>
      </w:pPr>
      <w:r>
        <w:t>"Ce médicament antagonise rapidement l'effet de votre traitement anticoagulant (AVK) en cas d'hémorragie grave."</w:t>
      </w:r>
    </w:p>
    <w:p>
      <w:pPr>
        <w:pStyle w:val="ListBullet"/>
      </w:pPr>
      <w:r>
        <w:t>"L'effet est rapide (30 minutes) mais transitoire — une seconde perfusion peut être nécessaire."</w:t>
      </w:r>
    </w:p>
    <w:p>
      <w:pPr>
        <w:pStyle w:val="ListBullet"/>
      </w:pPr>
      <w:r>
        <w:t>"Une injection de vitamine K1 est associée pour prolonger l'effet au-delà de 6-8 heures."</w:t>
      </w:r>
    </w:p>
    <w:p>
      <w:pPr>
        <w:pStyle w:val="ListBullet"/>
      </w:pPr>
      <w:r>
        <w:t>"Surveillance : tension, cœur, électrocardiogramme, prise de sang (INR) à 30 min, 6 h, 12 h, 24 h."</w:t>
      </w:r>
    </w:p>
    <w:p>
      <w:pPr>
        <w:pStyle w:val="ListBullet"/>
      </w:pPr>
      <w:r>
        <w:t>"Prévention des complications thrombotiques (caillots) : mobilisation précoce si possible, bas de contention, éventuellement traitement anticoagulant à distance de l'épisode hémorragique."</w:t>
      </w:r>
    </w:p>
    <w:p>
      <w:pPr>
        <w:pStyle w:val="ListBullet"/>
      </w:pPr>
      <w:r>
        <w:t>"Respect du suivi médical post-hospitalisation (consultation cardiologie, équilibre INR cible selon indication AVK)."</w:t>
      </w:r>
    </w:p>
    <w:p>
      <w:pPr>
        <w:pStyle w:val="ListBullet"/>
      </w:pPr>
      <w:r>
        <w:t>"Compatible avec l'allaitement maternel en cas de nécessité."</w:t>
      </w:r>
    </w:p>
    <w:p>
      <w:pPr>
        <w:pStyle w:val="Heading4"/>
      </w:pPr>
      <w:r>
        <w:t>12. Pièges au comptoir — Règles d'or</w:t>
      </w:r>
    </w:p>
    <w:p>
      <w:pPr>
        <w:pStyle w:val="ListNumber"/>
      </w:pPr>
      <w:r/>
      <w:r>
        <w:rPr>
          <w:b/>
        </w:rPr>
        <w:t>Risque thromboembolique (PIEGE MAJEUR)</w:t>
      </w:r>
      <w:r>
        <w:t xml:space="preserve"> : 2-5 % des cas (TVP, EP, AVC ischémique, infarctus du myocarde). Surveillance ECG, D-dimères, clinique (dyspnée, douleur thoracique, déficit neuro, douleur molle).</w:t>
      </w:r>
    </w:p>
    <w:p>
      <w:pPr>
        <w:pStyle w:val="ListNumber"/>
      </w:pPr>
      <w:r/>
      <w:r>
        <w:rPr>
          <w:b/>
        </w:rPr>
        <w:t>Surveillance INR obligatoire</w:t>
      </w:r>
      <w:r>
        <w:t xml:space="preserve"> : 30 min, 6 h, 12 h, 24 h — l'effet du PCC est transitoire (FVII = 6 h) et impose l'association systématique à la vitamine K1.</w:t>
      </w:r>
    </w:p>
    <w:p>
      <w:pPr>
        <w:pStyle w:val="ListNumber"/>
      </w:pPr>
      <w:r/>
      <w:r>
        <w:rPr>
          <w:b/>
        </w:rPr>
        <w:t>Voie IV stricte, perfusion lente</w:t>
      </w:r>
      <w:r>
        <w:t xml:space="preserve"> : ne pas dépasser 2-3 UI/kg/min (≈ 100 UI/min adulte). Jamais en bolus.</w:t>
      </w:r>
    </w:p>
    <w:p>
      <w:pPr>
        <w:pStyle w:val="ListNumber"/>
      </w:pPr>
      <w:r/>
      <w:r>
        <w:rPr>
          <w:b/>
        </w:rPr>
        <w:t>Ne pas dépasser 50 UI/kg/dose</w:t>
      </w:r>
      <w:r>
        <w:t xml:space="preserve"> et 3000 UI/jour cumulé.</w:t>
      </w:r>
    </w:p>
    <w:p>
      <w:pPr>
        <w:pStyle w:val="ListNumber"/>
      </w:pPr>
      <w:r/>
      <w:r>
        <w:rPr>
          <w:b/>
        </w:rPr>
        <w:t>TIH (thrombopénie induite par l'héparine)</w:t>
      </w:r>
      <w:r>
        <w:t xml:space="preserve"> : Octaplex contient de l'héparine — CI absolue si antécédent de TIH. Surveiller plaquettes à J0, J3, J7, J14.</w:t>
      </w:r>
    </w:p>
    <w:p>
      <w:pPr>
        <w:pStyle w:val="ListNumber"/>
      </w:pPr>
      <w:r/>
      <w:r>
        <w:rPr>
          <w:b/>
        </w:rPr>
        <w:t>Hémolyse</w:t>
      </w:r>
      <w:r>
        <w:t xml:space="preserve"> : surveiller hémoglobine et bilan hépatique (surtout si groupe A, B, AB).</w:t>
      </w:r>
    </w:p>
    <w:p>
      <w:pPr>
        <w:pStyle w:val="ListNumber"/>
      </w:pPr>
      <w:r/>
      <w:r>
        <w:rPr>
          <w:b/>
        </w:rPr>
        <w:t>Ne pas mélanger</w:t>
      </w:r>
      <w:r>
        <w:t xml:space="preserve"> dans la même ligne IV avec d'autres médicaments ; rincer la ligne entre perfusions.</w:t>
      </w:r>
    </w:p>
    <w:p>
      <w:pPr>
        <w:pStyle w:val="ListNumber"/>
      </w:pPr>
      <w:r/>
      <w:r>
        <w:rPr>
          <w:b/>
        </w:rPr>
        <w:t>Respecter la chaîne du froid</w:t>
      </w:r>
      <w:r>
        <w:t xml:space="preserve"> (+2 à +8 °C), reconstitution immédiate avant emploi, usage &lt; 4 h après reconstitution.</w:t>
      </w:r>
    </w:p>
    <w:p>
      <w:pPr>
        <w:pStyle w:val="ListNumber"/>
      </w:pPr>
      <w:r/>
      <w:r>
        <w:rPr>
          <w:b/>
        </w:rPr>
        <w:t>Antagonisation des AOD (apixaban, rivaroxaban, dabigatran)</w:t>
      </w:r>
      <w:r>
        <w:t xml:space="preserve"> : le PCC n'est pas l'antidote spécifique (Andexanet alpha pour anti-Xa, Idarucizumab pour dabigatran). En pratique, en l'absence d'Andexanet disponible, le PCC peut être utilisé en urgence (efficacité partielle).</w:t>
      </w:r>
    </w:p>
    <w:p>
      <w:pPr>
        <w:pStyle w:val="ListNumber"/>
      </w:pPr>
      <w:r/>
      <w:r>
        <w:rPr>
          <w:b/>
        </w:rPr>
        <w:t>Traçabilité nominative obligatoire</w:t>
      </w:r>
      <w:r>
        <w:t xml:space="preserve"> (registre hémovigilance national).</w:t>
      </w:r>
    </w:p>
    <w:p>
      <w:pPr>
        <w:pStyle w:val="ListNumber"/>
      </w:pPr>
      <w:r/>
      <w:r>
        <w:rPr>
          <w:b/>
        </w:rPr>
        <w:t>Prévention thromboembolique post-PCC</w:t>
      </w:r>
      <w:r>
        <w:t xml:space="preserve"> : HBPM à dose préventive à distance de l'épisode hémorragique (J+3 à J+5 selon contexte), bas de contention, mobilisation précoce.</w:t>
      </w:r>
    </w:p>
    <w:p>
      <w:pPr>
        <w:pStyle w:val="ListNumber"/>
      </w:pPr>
      <w:r/>
      <w:r>
        <w:rPr>
          <w:b/>
        </w:rPr>
        <w:t>Ne pas confondre</w:t>
      </w:r>
      <w:r>
        <w:t xml:space="preserve"> avec le </w:t>
      </w:r>
      <w:r>
        <w:rPr>
          <w:b/>
        </w:rPr>
        <w:t>facteur IX isolé</w:t>
      </w:r>
      <w:r>
        <w:t xml:space="preserve"> (hémophilie B spécifique) ou le </w:t>
      </w:r>
      <w:r>
        <w:rPr>
          <w:b/>
        </w:rPr>
        <w:t>FEIBA</w:t>
      </w:r>
      <w:r>
        <w:t xml:space="preserve"> (Fraction activée anti-inhibiteur de coagulation, complexe prothrombinique activé utilisé en cas d'inhibiteur anti-facteur VIII/IX — non disponible en Algérie).</w:t>
      </w:r>
    </w:p>
    <w:p>
      <w:pPr>
        <w:pStyle w:val="Heading2"/>
      </w:pPr>
      <w:r>
        <w:t>173.7. Tableau comparatif des 4 DCI disponibles en Algérie</w:t>
      </w:r>
    </w:p>
    <w:tbl>
      <w:tblPr>
        <w:tblStyle w:val="LightGrid-Accent1"/>
        <w:tblW w:type="auto" w:w="0"/>
        <w:tblLook w:firstColumn="1" w:firstRow="1" w:lastColumn="0" w:lastRow="0" w:noHBand="0" w:noVBand="1" w:val="04A0"/>
      </w:tblPr>
      <w:tblGrid>
        <w:gridCol w:w="935"/>
        <w:gridCol w:w="935"/>
        <w:gridCol w:w="935"/>
        <w:gridCol w:w="935"/>
        <w:gridCol w:w="935"/>
        <w:gridCol w:w="935"/>
        <w:gridCol w:w="935"/>
        <w:gridCol w:w="935"/>
        <w:gridCol w:w="935"/>
        <w:gridCol w:w="935"/>
      </w:tblGrid>
      <w:tr>
        <w:tc>
          <w:tcPr>
            <w:tcW w:type="dxa" w:w="935"/>
          </w:tcPr>
          <w:p>
            <w:r>
              <w:rPr>
                <w:b/>
                <w:sz w:val="20"/>
              </w:rPr>
              <w:t>DCI</w:t>
            </w:r>
          </w:p>
        </w:tc>
        <w:tc>
          <w:tcPr>
            <w:tcW w:type="dxa" w:w="935"/>
          </w:tcPr>
          <w:p>
            <w:r>
              <w:rPr>
                <w:b/>
                <w:sz w:val="20"/>
              </w:rPr>
              <w:t>Classe pharmacologique</w:t>
            </w:r>
          </w:p>
        </w:tc>
        <w:tc>
          <w:tcPr>
            <w:tcW w:type="dxa" w:w="935"/>
          </w:tcPr>
          <w:p>
            <w:r>
              <w:rPr>
                <w:b/>
                <w:sz w:val="20"/>
              </w:rPr>
              <w:t>Mécanisme principal</w:t>
            </w:r>
          </w:p>
        </w:tc>
        <w:tc>
          <w:tcPr>
            <w:tcW w:type="dxa" w:w="935"/>
          </w:tcPr>
          <w:p>
            <w:r>
              <w:rPr>
                <w:b/>
                <w:sz w:val="20"/>
              </w:rPr>
              <w:t>Voie d'administration</w:t>
            </w:r>
          </w:p>
        </w:tc>
        <w:tc>
          <w:tcPr>
            <w:tcW w:type="dxa" w:w="935"/>
          </w:tcPr>
          <w:p>
            <w:r>
              <w:rPr>
                <w:b/>
                <w:sz w:val="20"/>
              </w:rPr>
              <w:t>Demi-vie</w:t>
            </w:r>
          </w:p>
        </w:tc>
        <w:tc>
          <w:tcPr>
            <w:tcW w:type="dxa" w:w="935"/>
          </w:tcPr>
          <w:p>
            <w:r>
              <w:rPr>
                <w:b/>
                <w:sz w:val="20"/>
              </w:rPr>
              <w:t>Indications princeps</w:t>
            </w:r>
          </w:p>
        </w:tc>
        <w:tc>
          <w:tcPr>
            <w:tcW w:type="dxa" w:w="935"/>
          </w:tcPr>
          <w:p>
            <w:r>
              <w:rPr>
                <w:b/>
                <w:sz w:val="20"/>
              </w:rPr>
              <w:t>Contre-indications majeures</w:t>
            </w:r>
          </w:p>
        </w:tc>
        <w:tc>
          <w:tcPr>
            <w:tcW w:type="dxa" w:w="935"/>
          </w:tcPr>
          <w:p>
            <w:r>
              <w:rPr>
                <w:b/>
                <w:sz w:val="20"/>
              </w:rPr>
              <w:t>Effets indésirables clés</w:t>
            </w:r>
          </w:p>
        </w:tc>
        <w:tc>
          <w:tcPr>
            <w:tcW w:type="dxa" w:w="935"/>
          </w:tcPr>
          <w:p>
            <w:r>
              <w:rPr>
                <w:b/>
                <w:sz w:val="20"/>
              </w:rPr>
              <w:t>Surveillance</w:t>
            </w:r>
          </w:p>
        </w:tc>
        <w:tc>
          <w:tcPr>
            <w:tcW w:type="dxa" w:w="935"/>
          </w:tcPr>
          <w:p>
            <w:r>
              <w:rPr>
                <w:b/>
                <w:sz w:val="20"/>
              </w:rPr>
              <w:t>Spécialité algérienne principale</w:t>
            </w:r>
          </w:p>
        </w:tc>
      </w:tr>
      <w:tr>
        <w:tc>
          <w:tcPr>
            <w:tcW w:type="dxa" w:w="935"/>
          </w:tcPr>
          <w:p>
            <w:r>
              <w:rPr>
                <w:sz w:val="20"/>
              </w:rPr>
              <w:t>**Immunoglobuline anti-D (Rhophylac 300)**</w:t>
            </w:r>
          </w:p>
        </w:tc>
        <w:tc>
          <w:tcPr>
            <w:tcW w:type="dxa" w:w="935"/>
          </w:tcPr>
          <w:p>
            <w:r>
              <w:rPr>
                <w:sz w:val="20"/>
              </w:rPr>
              <w:t>IgG spécifique anti-RhD</w:t>
            </w:r>
          </w:p>
        </w:tc>
        <w:tc>
          <w:tcPr>
            <w:tcW w:type="dxa" w:w="935"/>
          </w:tcPr>
          <w:p>
            <w:r>
              <w:rPr>
                <w:sz w:val="20"/>
              </w:rPr>
              <w:t>Saturation épitopes D fœtaux → clearance splénique FcγR → blocage immunisation maternelle</w:t>
            </w:r>
          </w:p>
        </w:tc>
        <w:tc>
          <w:tcPr>
            <w:tcW w:type="dxa" w:w="935"/>
          </w:tcPr>
          <w:p>
            <w:r>
              <w:rPr>
                <w:sz w:val="20"/>
              </w:rPr>
              <w:t>IM stricte (ou IV pour Rhophylac)</w:t>
            </w:r>
          </w:p>
        </w:tc>
        <w:tc>
          <w:tcPr>
            <w:tcW w:type="dxa" w:w="935"/>
          </w:tcPr>
          <w:p>
            <w:r>
              <w:rPr>
                <w:sz w:val="20"/>
              </w:rPr>
              <w:t>21-25 j</w:t>
            </w:r>
          </w:p>
        </w:tc>
        <w:tc>
          <w:tcPr>
            <w:tcW w:type="dxa" w:w="935"/>
          </w:tcPr>
          <w:p>
            <w:r>
              <w:rPr>
                <w:sz w:val="20"/>
              </w:rPr>
              <w:t>Prophylaxie immunisation feto-maternelle RhD à 28 SA et 72 h post-partum</w:t>
            </w:r>
          </w:p>
        </w:tc>
        <w:tc>
          <w:tcPr>
            <w:tcW w:type="dxa" w:w="935"/>
          </w:tcPr>
          <w:p>
            <w:r>
              <w:rPr>
                <w:sz w:val="20"/>
              </w:rPr>
              <w:t>Hypersensibilité IgG, femme déjà immunisée (inutile), thrombopénie sévère (préférer IV)</w:t>
            </w:r>
          </w:p>
        </w:tc>
        <w:tc>
          <w:tcPr>
            <w:tcW w:type="dxa" w:w="935"/>
          </w:tcPr>
          <w:p>
            <w:r>
              <w:rPr>
                <w:sz w:val="20"/>
              </w:rPr>
              <w:t>Réaction locale, fièvre, exceptionnellement choc anaphylactoïde</w:t>
            </w:r>
          </w:p>
        </w:tc>
        <w:tc>
          <w:tcPr>
            <w:tcW w:type="dxa" w:w="935"/>
          </w:tcPr>
          <w:p>
            <w:r>
              <w:rPr>
                <w:sz w:val="20"/>
              </w:rPr>
              <w:t>Groupe mère-enfant, RAI, surveillance 20-30 min post-injection</w:t>
            </w:r>
          </w:p>
        </w:tc>
        <w:tc>
          <w:tcPr>
            <w:tcW w:type="dxa" w:w="935"/>
          </w:tcPr>
          <w:p>
            <w:r>
              <w:rPr>
                <w:sz w:val="20"/>
              </w:rPr>
              <w:t>RHOPHYLAC 300 (CSL Behring), RHOCLONE (Bharat)</w:t>
            </w:r>
          </w:p>
        </w:tc>
      </w:tr>
      <w:tr>
        <w:tc>
          <w:tcPr>
            <w:tcW w:type="dxa" w:w="935"/>
          </w:tcPr>
          <w:p>
            <w:r>
              <w:rPr>
                <w:sz w:val="20"/>
              </w:rPr>
              <w:t>**Immunoglobuline anti-HBs**</w:t>
            </w:r>
          </w:p>
        </w:tc>
        <w:tc>
          <w:tcPr>
            <w:tcW w:type="dxa" w:w="935"/>
          </w:tcPr>
          <w:p>
            <w:r>
              <w:rPr>
                <w:sz w:val="20"/>
              </w:rPr>
              <w:t>IgG spécifique anti-HBs</w:t>
            </w:r>
          </w:p>
        </w:tc>
        <w:tc>
          <w:tcPr>
            <w:tcW w:type="dxa" w:w="935"/>
          </w:tcPr>
          <w:p>
            <w:r>
              <w:rPr>
                <w:sz w:val="20"/>
              </w:rPr>
              <w:t>Neutralisation virions VHB → blocage entrée NTCP hépatocytaire → clearance par SRE</w:t>
            </w:r>
          </w:p>
        </w:tc>
        <w:tc>
          <w:tcPr>
            <w:tcW w:type="dxa" w:w="935"/>
          </w:tcPr>
          <w:p>
            <w:r>
              <w:rPr>
                <w:sz w:val="20"/>
              </w:rPr>
              <w:t>IM stricte (FOVEPTA, Behring) ou IV stricte (HEPATECT CP)</w:t>
            </w:r>
          </w:p>
        </w:tc>
        <w:tc>
          <w:tcPr>
            <w:tcW w:type="dxa" w:w="935"/>
          </w:tcPr>
          <w:p>
            <w:r>
              <w:rPr>
                <w:sz w:val="20"/>
              </w:rPr>
              <w:t>21-25 j</w:t>
            </w:r>
          </w:p>
        </w:tc>
        <w:tc>
          <w:tcPr>
            <w:tcW w:type="dxa" w:w="935"/>
          </w:tcPr>
          <w:p>
            <w:r>
              <w:rPr>
                <w:sz w:val="20"/>
              </w:rPr>
              <w:t>Prophylaxie post-exposition VHB (AES, sexe, nouveau-né mère AgHBs+), prévention réinfection greffon hépatique</w:t>
            </w:r>
          </w:p>
        </w:tc>
        <w:tc>
          <w:tcPr>
            <w:tcW w:type="dxa" w:w="935"/>
          </w:tcPr>
          <w:p>
            <w:r>
              <w:rPr>
                <w:sz w:val="20"/>
              </w:rPr>
              <w:t>Hypersensibilité IgG, hypogammaglobulinémie sévère (forme IV)</w:t>
            </w:r>
          </w:p>
        </w:tc>
        <w:tc>
          <w:tcPr>
            <w:tcW w:type="dxa" w:w="935"/>
          </w:tcPr>
          <w:p>
            <w:r>
              <w:rPr>
                <w:sz w:val="20"/>
              </w:rPr>
              <w:t>Réaction locale, fièvre, exceptionnellement choc anaphylactoïde</w:t>
            </w:r>
          </w:p>
        </w:tc>
        <w:tc>
          <w:tcPr>
            <w:tcW w:type="dxa" w:w="935"/>
          </w:tcPr>
          <w:p>
            <w:r>
              <w:rPr>
                <w:sz w:val="20"/>
              </w:rPr>
              <w:t>Statut vaccinal et titre anti-HBs, surveillance 20-30 min, contrôle à 9-12 mois (nourrisson)</w:t>
            </w:r>
          </w:p>
        </w:tc>
        <w:tc>
          <w:tcPr>
            <w:tcW w:type="dxa" w:w="935"/>
          </w:tcPr>
          <w:p>
            <w:r>
              <w:rPr>
                <w:sz w:val="20"/>
              </w:rPr>
              <w:t>HEPATECT CP, FOVEPTA 200 UI, Hepatitis B P Behring</w:t>
            </w:r>
          </w:p>
        </w:tc>
      </w:tr>
      <w:tr>
        <w:tc>
          <w:tcPr>
            <w:tcW w:type="dxa" w:w="935"/>
          </w:tcPr>
          <w:p>
            <w:r>
              <w:rPr>
                <w:sz w:val="20"/>
              </w:rPr>
              <w:t>**Albumine humaine 20 %**</w:t>
            </w:r>
          </w:p>
        </w:tc>
        <w:tc>
          <w:tcPr>
            <w:tcW w:type="dxa" w:w="935"/>
          </w:tcPr>
          <w:p>
            <w:r>
              <w:rPr>
                <w:sz w:val="20"/>
              </w:rPr>
              <w:t>Substitut plasmatique oncotique</w:t>
            </w:r>
          </w:p>
        </w:tc>
        <w:tc>
          <w:tcPr>
            <w:tcW w:type="dxa" w:w="935"/>
          </w:tcPr>
          <w:p>
            <w:r>
              <w:rPr>
                <w:sz w:val="20"/>
              </w:rPr>
              <w:t>Pression oncotique → expansion volémique + transport macromoléculaire + effet antioxydant</w:t>
            </w:r>
          </w:p>
        </w:tc>
        <w:tc>
          <w:tcPr>
            <w:tcW w:type="dxa" w:w="935"/>
          </w:tcPr>
          <w:p>
            <w:r>
              <w:rPr>
                <w:sz w:val="20"/>
              </w:rPr>
              <w:t>IV stricte (jamais IM)</w:t>
            </w:r>
          </w:p>
        </w:tc>
        <w:tc>
          <w:tcPr>
            <w:tcW w:type="dxa" w:w="935"/>
          </w:tcPr>
          <w:p>
            <w:r>
              <w:rPr>
                <w:sz w:val="20"/>
              </w:rPr>
              <w:t>15-20 j</w:t>
            </w:r>
          </w:p>
        </w:tc>
        <w:tc>
          <w:tcPr>
            <w:tcW w:type="dxa" w:w="935"/>
          </w:tcPr>
          <w:p>
            <w:r>
              <w:rPr>
                <w:sz w:val="20"/>
              </w:rPr>
              <w:t>Hypovolémie réfractaire, hypoalbuminémie symptomatique, prévention post-paracentèse &gt; 5 L, purpura fulminans, SHR</w:t>
            </w:r>
          </w:p>
        </w:tc>
        <w:tc>
          <w:tcPr>
            <w:tcW w:type="dxa" w:w="935"/>
          </w:tcPr>
          <w:p>
            <w:r>
              <w:rPr>
                <w:sz w:val="20"/>
              </w:rPr>
              <w:t>Insuffisance cardiaque sévère décompensée, OAP cardiogénique, hypervolémie, anémie ferriprive sévère</w:t>
            </w:r>
          </w:p>
        </w:tc>
        <w:tc>
          <w:tcPr>
            <w:tcW w:type="dxa" w:w="935"/>
          </w:tcPr>
          <w:p>
            <w:r>
              <w:rPr>
                <w:sz w:val="20"/>
              </w:rPr>
              <w:t>Surcharge volémique, OAP, IC décompensée, hyponatrémie dilution, hypokaliémie</w:t>
            </w:r>
          </w:p>
        </w:tc>
        <w:tc>
          <w:tcPr>
            <w:tcW w:type="dxa" w:w="935"/>
          </w:tcPr>
          <w:p>
            <w:r>
              <w:rPr>
                <w:sz w:val="20"/>
              </w:rPr>
              <w:t>TA, FC, ECG, diurèse, ionogramme 6h/24h, aspect solution</w:t>
            </w:r>
          </w:p>
        </w:tc>
        <w:tc>
          <w:tcPr>
            <w:tcW w:type="dxa" w:w="935"/>
          </w:tcPr>
          <w:p>
            <w:r>
              <w:rPr>
                <w:sz w:val="20"/>
              </w:rPr>
              <w:t>VIALEBEX, ALBUREL (Saidal), ALBUTEN 20%, HUMAN ALBUMIN BAXTER, etc.</w:t>
            </w:r>
          </w:p>
        </w:tc>
      </w:tr>
      <w:tr>
        <w:tc>
          <w:tcPr>
            <w:tcW w:type="dxa" w:w="935"/>
          </w:tcPr>
          <w:p>
            <w:r>
              <w:rPr>
                <w:sz w:val="20"/>
              </w:rPr>
              <w:t>**Complexe prothrombinique (PCC Octaplex)**</w:t>
            </w:r>
          </w:p>
        </w:tc>
        <w:tc>
          <w:tcPr>
            <w:tcW w:type="dxa" w:w="935"/>
          </w:tcPr>
          <w:p>
            <w:r>
              <w:rPr>
                <w:sz w:val="20"/>
              </w:rPr>
              <w:t>Facteurs de coagulation vit-K dépendants (II, VII, IX, X + protéines C/S)</w:t>
            </w:r>
          </w:p>
        </w:tc>
        <w:tc>
          <w:tcPr>
            <w:tcW w:type="dxa" w:w="935"/>
          </w:tcPr>
          <w:p>
            <w:r>
              <w:rPr>
                <w:sz w:val="20"/>
              </w:rPr>
              <w:t>Apport facteurs carboxylés fonctionnels → antagonisation immédiate AVK (correction INR en 30 min)</w:t>
            </w:r>
          </w:p>
        </w:tc>
        <w:tc>
          <w:tcPr>
            <w:tcW w:type="dxa" w:w="935"/>
          </w:tcPr>
          <w:p>
            <w:r>
              <w:rPr>
                <w:sz w:val="20"/>
              </w:rPr>
              <w:t>IV stricte, perfusion lente ≤ 2-3 UI/kg/min</w:t>
            </w:r>
          </w:p>
        </w:tc>
        <w:tc>
          <w:tcPr>
            <w:tcW w:type="dxa" w:w="935"/>
          </w:tcPr>
          <w:p>
            <w:r>
              <w:rPr>
                <w:sz w:val="20"/>
              </w:rPr>
              <w:t>FVII 6h, FII 60-72h, FIX 24h, FX 40h</w:t>
            </w:r>
          </w:p>
        </w:tc>
        <w:tc>
          <w:tcPr>
            <w:tcW w:type="dxa" w:w="935"/>
          </w:tcPr>
          <w:p>
            <w:r>
              <w:rPr>
                <w:sz w:val="20"/>
              </w:rPr>
              <w:t>Antagonisation AVK en urgence hémorragie grave, surdosage INR &gt; 10, chirurgie urgente sous AVK, hémophilie B</w:t>
            </w:r>
          </w:p>
        </w:tc>
        <w:tc>
          <w:tcPr>
            <w:tcW w:type="dxa" w:w="935"/>
          </w:tcPr>
          <w:p>
            <w:r>
              <w:rPr>
                <w:sz w:val="20"/>
              </w:rPr>
              <w:t>Thrombose aiguë, TIH (contient héparine), hypersensibilité protéines plasmatiques</w:t>
            </w:r>
          </w:p>
        </w:tc>
        <w:tc>
          <w:tcPr>
            <w:tcW w:type="dxa" w:w="935"/>
          </w:tcPr>
          <w:p>
            <w:r>
              <w:rPr>
                <w:sz w:val="20"/>
              </w:rPr>
              <w:t>Thrombose veineuse/EP/AVC/IDM (2-5%), CIVD, anaphylaxie, hémolyse</w:t>
            </w:r>
          </w:p>
        </w:tc>
        <w:tc>
          <w:tcPr>
            <w:tcW w:type="dxa" w:w="935"/>
          </w:tcPr>
          <w:p>
            <w:r>
              <w:rPr>
                <w:sz w:val="20"/>
              </w:rPr>
              <w:t>INR 30min/6h/12h/24h, ECG, D-dimères, NFS plaquettes (TIH)</w:t>
            </w:r>
          </w:p>
        </w:tc>
        <w:tc>
          <w:tcPr>
            <w:tcW w:type="dxa" w:w="935"/>
          </w:tcPr>
          <w:p>
            <w:r>
              <w:rPr>
                <w:sz w:val="20"/>
              </w:rPr>
              <w:t>OCTAPLEX 500 UI (Octapharma)</w:t>
            </w:r>
          </w:p>
        </w:tc>
      </w:tr>
    </w:tbl>
    <w:p/>
    <w:p>
      <w:pPr>
        <w:pStyle w:val="Heading3"/>
      </w:pPr>
      <w:r>
        <w:t>Tableau récapitulatif des spécialités par sous-classe</w:t>
      </w:r>
    </w:p>
    <w:tbl>
      <w:tblPr>
        <w:tblStyle w:val="LightGrid-Accent1"/>
        <w:tblW w:type="auto" w:w="0"/>
        <w:tblLook w:firstColumn="1" w:firstRow="1" w:lastColumn="0" w:lastRow="0" w:noHBand="0" w:noVBand="1" w:val="04A0"/>
      </w:tblPr>
      <w:tblGrid>
        <w:gridCol w:w="1169"/>
        <w:gridCol w:w="1169"/>
        <w:gridCol w:w="1169"/>
        <w:gridCol w:w="1169"/>
        <w:gridCol w:w="1169"/>
        <w:gridCol w:w="1169"/>
        <w:gridCol w:w="1169"/>
        <w:gridCol w:w="1169"/>
      </w:tblGrid>
      <w:tr>
        <w:tc>
          <w:tcPr>
            <w:tcW w:type="dxa" w:w="1169"/>
          </w:tcPr>
          <w:p>
            <w:r>
              <w:rPr>
                <w:b/>
                <w:sz w:val="20"/>
              </w:rPr>
              <w:t>Sous-classe</w:t>
            </w:r>
          </w:p>
        </w:tc>
        <w:tc>
          <w:tcPr>
            <w:tcW w:type="dxa" w:w="1169"/>
          </w:tcPr>
          <w:p>
            <w:r>
              <w:rPr>
                <w:b/>
                <w:sz w:val="20"/>
              </w:rPr>
              <w:t>Spécialité</w:t>
            </w:r>
          </w:p>
        </w:tc>
        <w:tc>
          <w:tcPr>
            <w:tcW w:type="dxa" w:w="1169"/>
          </w:tcPr>
          <w:p>
            <w:r>
              <w:rPr>
                <w:b/>
                <w:sz w:val="20"/>
              </w:rPr>
              <w:t>Laboratoire</w:t>
            </w:r>
          </w:p>
        </w:tc>
        <w:tc>
          <w:tcPr>
            <w:tcW w:type="dxa" w:w="1169"/>
          </w:tcPr>
          <w:p>
            <w:r>
              <w:rPr>
                <w:b/>
                <w:sz w:val="20"/>
              </w:rPr>
              <w:t>Dosage</w:t>
            </w:r>
          </w:p>
        </w:tc>
        <w:tc>
          <w:tcPr>
            <w:tcW w:type="dxa" w:w="1169"/>
          </w:tcPr>
          <w:p>
            <w:r>
              <w:rPr>
                <w:b/>
                <w:sz w:val="20"/>
              </w:rPr>
              <w:t>Forme</w:t>
            </w:r>
          </w:p>
        </w:tc>
        <w:tc>
          <w:tcPr>
            <w:tcW w:type="dxa" w:w="1169"/>
          </w:tcPr>
          <w:p>
            <w:r>
              <w:rPr>
                <w:b/>
                <w:sz w:val="20"/>
              </w:rPr>
              <w:t>Conditionnement</w:t>
            </w:r>
          </w:p>
        </w:tc>
        <w:tc>
          <w:tcPr>
            <w:tcW w:type="dxa" w:w="1169"/>
          </w:tcPr>
          <w:p>
            <w:r>
              <w:rPr>
                <w:b/>
                <w:sz w:val="20"/>
              </w:rPr>
              <w:t>Liste</w:t>
            </w:r>
          </w:p>
        </w:tc>
        <w:tc>
          <w:tcPr>
            <w:tcW w:type="dxa" w:w="1169"/>
          </w:tcPr>
          <w:p>
            <w:r>
              <w:rPr>
                <w:b/>
                <w:sz w:val="20"/>
              </w:rPr>
              <w:t>Statut</w:t>
            </w:r>
          </w:p>
        </w:tc>
      </w:tr>
      <w:tr>
        <w:tc>
          <w:tcPr>
            <w:tcW w:type="dxa" w:w="1169"/>
          </w:tcPr>
          <w:p>
            <w:r>
              <w:rPr>
                <w:sz w:val="20"/>
              </w:rPr>
              <w:t>**Ig anti-D**</w:t>
            </w:r>
          </w:p>
        </w:tc>
        <w:tc>
          <w:tcPr>
            <w:tcW w:type="dxa" w:w="1169"/>
          </w:tcPr>
          <w:p>
            <w:r>
              <w:rPr>
                <w:sz w:val="20"/>
              </w:rPr>
              <w:t>RHOPHYLAC 300</w:t>
            </w:r>
          </w:p>
        </w:tc>
        <w:tc>
          <w:tcPr>
            <w:tcW w:type="dxa" w:w="1169"/>
          </w:tcPr>
          <w:p>
            <w:r>
              <w:rPr>
                <w:sz w:val="20"/>
              </w:rPr>
              <w:t>CSL Behring</w:t>
            </w:r>
          </w:p>
        </w:tc>
        <w:tc>
          <w:tcPr>
            <w:tcW w:type="dxa" w:w="1169"/>
          </w:tcPr>
          <w:p>
            <w:r>
              <w:rPr>
                <w:sz w:val="20"/>
              </w:rPr>
              <w:t>1500 UI/2 mL (300 µg)</w:t>
            </w:r>
          </w:p>
        </w:tc>
        <w:tc>
          <w:tcPr>
            <w:tcW w:type="dxa" w:w="1169"/>
          </w:tcPr>
          <w:p>
            <w:r>
              <w:rPr>
                <w:sz w:val="20"/>
              </w:rPr>
              <w:t>Seringue préremplie IM/IV</w:t>
            </w:r>
          </w:p>
        </w:tc>
        <w:tc>
          <w:tcPr>
            <w:tcW w:type="dxa" w:w="1169"/>
          </w:tcPr>
          <w:p>
            <w:r>
              <w:rPr>
                <w:sz w:val="20"/>
              </w:rPr>
              <w:t>1 seringue 2 mL</w:t>
            </w:r>
          </w:p>
        </w:tc>
        <w:tc>
          <w:tcPr>
            <w:tcW w:type="dxa" w:w="1169"/>
          </w:tcPr>
          <w:p>
            <w:r>
              <w:rPr>
                <w:sz w:val="20"/>
              </w:rPr>
              <w:t>Liste I</w:t>
            </w:r>
          </w:p>
        </w:tc>
        <w:tc>
          <w:tcPr>
            <w:tcW w:type="dxa" w:w="1169"/>
          </w:tcPr>
          <w:p>
            <w:r>
              <w:rPr>
                <w:sz w:val="20"/>
              </w:rPr>
              <w:t>Actif</w:t>
            </w:r>
          </w:p>
        </w:tc>
      </w:tr>
      <w:tr>
        <w:tc>
          <w:tcPr>
            <w:tcW w:type="dxa" w:w="1169"/>
          </w:tcPr>
          <w:p>
            <w:r>
              <w:rPr>
                <w:sz w:val="20"/>
              </w:rPr>
              <w:t>**Ig anti-D**</w:t>
            </w:r>
          </w:p>
        </w:tc>
        <w:tc>
          <w:tcPr>
            <w:tcW w:type="dxa" w:w="1169"/>
          </w:tcPr>
          <w:p>
            <w:r>
              <w:rPr>
                <w:sz w:val="20"/>
              </w:rPr>
              <w:t>RHOCLONE</w:t>
            </w:r>
          </w:p>
        </w:tc>
        <w:tc>
          <w:tcPr>
            <w:tcW w:type="dxa" w:w="1169"/>
          </w:tcPr>
          <w:p>
            <w:r>
              <w:rPr>
                <w:sz w:val="20"/>
              </w:rPr>
              <w:t>Bharat Serums</w:t>
            </w:r>
          </w:p>
        </w:tc>
        <w:tc>
          <w:tcPr>
            <w:tcW w:type="dxa" w:w="1169"/>
          </w:tcPr>
          <w:p>
            <w:r>
              <w:rPr>
                <w:sz w:val="20"/>
              </w:rPr>
              <w:t>300 µg</w:t>
            </w:r>
          </w:p>
        </w:tc>
        <w:tc>
          <w:tcPr>
            <w:tcW w:type="dxa" w:w="1169"/>
          </w:tcPr>
          <w:p>
            <w:r>
              <w:rPr>
                <w:sz w:val="20"/>
              </w:rPr>
              <w:t>Flacon</w:t>
            </w:r>
          </w:p>
        </w:tc>
        <w:tc>
          <w:tcPr>
            <w:tcW w:type="dxa" w:w="1169"/>
          </w:tcPr>
          <w:p>
            <w:r>
              <w:rPr>
                <w:sz w:val="20"/>
              </w:rPr>
              <w:t>1 flacon 2 mL</w:t>
            </w:r>
          </w:p>
        </w:tc>
        <w:tc>
          <w:tcPr>
            <w:tcW w:type="dxa" w:w="1169"/>
          </w:tcPr>
          <w:p>
            <w:r>
              <w:rPr>
                <w:sz w:val="20"/>
              </w:rPr>
              <w:t>Liste I</w:t>
            </w:r>
          </w:p>
        </w:tc>
        <w:tc>
          <w:tcPr>
            <w:tcW w:type="dxa" w:w="1169"/>
          </w:tcPr>
          <w:p>
            <w:r>
              <w:rPr>
                <w:sz w:val="20"/>
              </w:rPr>
              <w:t>Actif</w:t>
            </w:r>
          </w:p>
        </w:tc>
      </w:tr>
      <w:tr>
        <w:tc>
          <w:tcPr>
            <w:tcW w:type="dxa" w:w="1169"/>
          </w:tcPr>
          <w:p>
            <w:r>
              <w:rPr>
                <w:sz w:val="20"/>
              </w:rPr>
              <w:t>**Ig anti-D**</w:t>
            </w:r>
          </w:p>
        </w:tc>
        <w:tc>
          <w:tcPr>
            <w:tcW w:type="dxa" w:w="1169"/>
          </w:tcPr>
          <w:p>
            <w:r>
              <w:rPr>
                <w:sz w:val="20"/>
              </w:rPr>
              <w:t>Ig anti-D (Rho)</w:t>
            </w:r>
          </w:p>
        </w:tc>
        <w:tc>
          <w:tcPr>
            <w:tcW w:type="dxa" w:w="1169"/>
          </w:tcPr>
          <w:p>
            <w:r>
              <w:rPr>
                <w:sz w:val="20"/>
              </w:rPr>
              <w:t>Farmacuba</w:t>
            </w:r>
          </w:p>
        </w:tc>
        <w:tc>
          <w:tcPr>
            <w:tcW w:type="dxa" w:w="1169"/>
          </w:tcPr>
          <w:p>
            <w:r>
              <w:rPr>
                <w:sz w:val="20"/>
              </w:rPr>
              <w:t>250 µg/mL</w:t>
            </w:r>
          </w:p>
        </w:tc>
        <w:tc>
          <w:tcPr>
            <w:tcW w:type="dxa" w:w="1169"/>
          </w:tcPr>
          <w:p>
            <w:r>
              <w:rPr>
                <w:sz w:val="20"/>
              </w:rPr>
              <w:t>Solution injectable</w:t>
            </w:r>
          </w:p>
        </w:tc>
        <w:tc>
          <w:tcPr>
            <w:tcW w:type="dxa" w:w="1169"/>
          </w:tcPr>
          <w:p>
            <w:r>
              <w:rPr>
                <w:sz w:val="20"/>
              </w:rPr>
              <w:t>1 ampoule 2 mL</w:t>
            </w:r>
          </w:p>
        </w:tc>
        <w:tc>
          <w:tcPr>
            <w:tcW w:type="dxa" w:w="1169"/>
          </w:tcPr>
          <w:p>
            <w:r>
              <w:rPr>
                <w:sz w:val="20"/>
              </w:rPr>
              <w:t>Liste I</w:t>
            </w:r>
          </w:p>
        </w:tc>
        <w:tc>
          <w:tcPr>
            <w:tcW w:type="dxa" w:w="1169"/>
          </w:tcPr>
          <w:p>
            <w:r>
              <w:rPr>
                <w:sz w:val="20"/>
              </w:rPr>
              <w:t>Non Renouvelable</w:t>
            </w:r>
          </w:p>
        </w:tc>
      </w:tr>
      <w:tr>
        <w:tc>
          <w:tcPr>
            <w:tcW w:type="dxa" w:w="1169"/>
          </w:tcPr>
          <w:p>
            <w:r>
              <w:rPr>
                <w:sz w:val="20"/>
              </w:rPr>
              <w:t>**Ig anti-D**</w:t>
            </w:r>
          </w:p>
        </w:tc>
        <w:tc>
          <w:tcPr>
            <w:tcW w:type="dxa" w:w="1169"/>
          </w:tcPr>
          <w:p>
            <w:r>
              <w:rPr>
                <w:sz w:val="20"/>
              </w:rPr>
              <w:t>PARTOBULIN SDF 1250 UI</w:t>
            </w:r>
          </w:p>
        </w:tc>
        <w:tc>
          <w:tcPr>
            <w:tcW w:type="dxa" w:w="1169"/>
          </w:tcPr>
          <w:p>
            <w:r>
              <w:rPr>
                <w:sz w:val="20"/>
              </w:rPr>
              <w:t>Baxter AG</w:t>
            </w:r>
          </w:p>
        </w:tc>
        <w:tc>
          <w:tcPr>
            <w:tcW w:type="dxa" w:w="1169"/>
          </w:tcPr>
          <w:p>
            <w:r>
              <w:rPr>
                <w:sz w:val="20"/>
              </w:rPr>
              <w:t>250 µg/mL</w:t>
            </w:r>
          </w:p>
        </w:tc>
        <w:tc>
          <w:tcPr>
            <w:tcW w:type="dxa" w:w="1169"/>
          </w:tcPr>
          <w:p>
            <w:r>
              <w:rPr>
                <w:sz w:val="20"/>
              </w:rPr>
              <w:t>Solution IM</w:t>
            </w:r>
          </w:p>
        </w:tc>
        <w:tc>
          <w:tcPr>
            <w:tcW w:type="dxa" w:w="1169"/>
          </w:tcPr>
          <w:p>
            <w:r>
              <w:rPr>
                <w:sz w:val="20"/>
              </w:rPr>
              <w:t>1 seringue 1 mL</w:t>
            </w:r>
          </w:p>
        </w:tc>
        <w:tc>
          <w:tcPr>
            <w:tcW w:type="dxa" w:w="1169"/>
          </w:tcPr>
          <w:p>
            <w:r>
              <w:rPr>
                <w:sz w:val="20"/>
              </w:rPr>
              <w:t>Liste I</w:t>
            </w:r>
          </w:p>
        </w:tc>
        <w:tc>
          <w:tcPr>
            <w:tcW w:type="dxa" w:w="1169"/>
          </w:tcPr>
          <w:p>
            <w:r>
              <w:rPr>
                <w:sz w:val="20"/>
              </w:rPr>
              <w:t>Retrait</w:t>
            </w:r>
          </w:p>
        </w:tc>
      </w:tr>
      <w:tr>
        <w:tc>
          <w:tcPr>
            <w:tcW w:type="dxa" w:w="1169"/>
          </w:tcPr>
          <w:p>
            <w:r>
              <w:rPr>
                <w:sz w:val="20"/>
              </w:rPr>
              <w:t>**Ig anti-HBs**</w:t>
            </w:r>
          </w:p>
        </w:tc>
        <w:tc>
          <w:tcPr>
            <w:tcW w:type="dxa" w:w="1169"/>
          </w:tcPr>
          <w:p>
            <w:r>
              <w:rPr>
                <w:sz w:val="20"/>
              </w:rPr>
              <w:t>HEPATECT CP</w:t>
            </w:r>
          </w:p>
        </w:tc>
        <w:tc>
          <w:tcPr>
            <w:tcW w:type="dxa" w:w="1169"/>
          </w:tcPr>
          <w:p>
            <w:r>
              <w:rPr>
                <w:sz w:val="20"/>
              </w:rPr>
              <w:t>Biotest Pharma</w:t>
            </w:r>
          </w:p>
        </w:tc>
        <w:tc>
          <w:tcPr>
            <w:tcW w:type="dxa" w:w="1169"/>
          </w:tcPr>
          <w:p>
            <w:r>
              <w:rPr>
                <w:sz w:val="20"/>
              </w:rPr>
              <w:t>50 UI/mL</w:t>
            </w:r>
          </w:p>
        </w:tc>
        <w:tc>
          <w:tcPr>
            <w:tcW w:type="dxa" w:w="1169"/>
          </w:tcPr>
          <w:p>
            <w:r>
              <w:rPr>
                <w:sz w:val="20"/>
              </w:rPr>
              <w:t>Solution pour perfusion IV</w:t>
            </w:r>
          </w:p>
        </w:tc>
        <w:tc>
          <w:tcPr>
            <w:tcW w:type="dxa" w:w="1169"/>
          </w:tcPr>
          <w:p>
            <w:r>
              <w:rPr>
                <w:sz w:val="20"/>
              </w:rPr>
              <w:t>Flacon 2 mL et 100 mL</w:t>
            </w:r>
          </w:p>
        </w:tc>
        <w:tc>
          <w:tcPr>
            <w:tcW w:type="dxa" w:w="1169"/>
          </w:tcPr>
          <w:p>
            <w:r>
              <w:rPr>
                <w:sz w:val="20"/>
              </w:rPr>
              <w:t>Liste I</w:t>
            </w:r>
          </w:p>
        </w:tc>
        <w:tc>
          <w:tcPr>
            <w:tcW w:type="dxa" w:w="1169"/>
          </w:tcPr>
          <w:p>
            <w:r>
              <w:rPr>
                <w:sz w:val="20"/>
              </w:rPr>
              <w:t>Actif</w:t>
            </w:r>
          </w:p>
        </w:tc>
      </w:tr>
      <w:tr>
        <w:tc>
          <w:tcPr>
            <w:tcW w:type="dxa" w:w="1169"/>
          </w:tcPr>
          <w:p>
            <w:r>
              <w:rPr>
                <w:sz w:val="20"/>
              </w:rPr>
              <w:t>**Ig anti-HBs**</w:t>
            </w:r>
          </w:p>
        </w:tc>
        <w:tc>
          <w:tcPr>
            <w:tcW w:type="dxa" w:w="1169"/>
          </w:tcPr>
          <w:p>
            <w:r>
              <w:rPr>
                <w:sz w:val="20"/>
              </w:rPr>
              <w:t>FOVEPTA 200 UI</w:t>
            </w:r>
          </w:p>
        </w:tc>
        <w:tc>
          <w:tcPr>
            <w:tcW w:type="dxa" w:w="1169"/>
          </w:tcPr>
          <w:p>
            <w:r>
              <w:rPr>
                <w:sz w:val="20"/>
              </w:rPr>
              <w:t>Biotest Pharma</w:t>
            </w:r>
          </w:p>
        </w:tc>
        <w:tc>
          <w:tcPr>
            <w:tcW w:type="dxa" w:w="1169"/>
          </w:tcPr>
          <w:p>
            <w:r>
              <w:rPr>
                <w:sz w:val="20"/>
              </w:rPr>
              <w:t>500 UI/mL</w:t>
            </w:r>
          </w:p>
        </w:tc>
        <w:tc>
          <w:tcPr>
            <w:tcW w:type="dxa" w:w="1169"/>
          </w:tcPr>
          <w:p>
            <w:r>
              <w:rPr>
                <w:sz w:val="20"/>
              </w:rPr>
              <w:t>Seringue préremplie IM</w:t>
            </w:r>
          </w:p>
        </w:tc>
        <w:tc>
          <w:tcPr>
            <w:tcW w:type="dxa" w:w="1169"/>
          </w:tcPr>
          <w:p>
            <w:r>
              <w:rPr>
                <w:sz w:val="20"/>
              </w:rPr>
              <w:t>Seringue 0,4 mL (200 UI)</w:t>
            </w:r>
          </w:p>
        </w:tc>
        <w:tc>
          <w:tcPr>
            <w:tcW w:type="dxa" w:w="1169"/>
          </w:tcPr>
          <w:p>
            <w:r>
              <w:rPr>
                <w:sz w:val="20"/>
              </w:rPr>
              <w:t>Liste I</w:t>
            </w:r>
          </w:p>
        </w:tc>
        <w:tc>
          <w:tcPr>
            <w:tcW w:type="dxa" w:w="1169"/>
          </w:tcPr>
          <w:p>
            <w:r>
              <w:rPr>
                <w:sz w:val="20"/>
              </w:rPr>
              <w:t>Actif</w:t>
            </w:r>
          </w:p>
        </w:tc>
      </w:tr>
      <w:tr>
        <w:tc>
          <w:tcPr>
            <w:tcW w:type="dxa" w:w="1169"/>
          </w:tcPr>
          <w:p>
            <w:r>
              <w:rPr>
                <w:sz w:val="20"/>
              </w:rPr>
              <w:t>**Ig anti-HBs**</w:t>
            </w:r>
          </w:p>
        </w:tc>
        <w:tc>
          <w:tcPr>
            <w:tcW w:type="dxa" w:w="1169"/>
          </w:tcPr>
          <w:p>
            <w:r>
              <w:rPr>
                <w:sz w:val="20"/>
              </w:rPr>
              <w:t>Hepatitis B P Behring 200</w:t>
            </w:r>
          </w:p>
        </w:tc>
        <w:tc>
          <w:tcPr>
            <w:tcW w:type="dxa" w:w="1169"/>
          </w:tcPr>
          <w:p>
            <w:r>
              <w:rPr>
                <w:sz w:val="20"/>
              </w:rPr>
              <w:t>CSL Behring</w:t>
            </w:r>
          </w:p>
        </w:tc>
        <w:tc>
          <w:tcPr>
            <w:tcW w:type="dxa" w:w="1169"/>
          </w:tcPr>
          <w:p>
            <w:r>
              <w:rPr>
                <w:sz w:val="20"/>
              </w:rPr>
              <w:t>200 UI/mL</w:t>
            </w:r>
          </w:p>
        </w:tc>
        <w:tc>
          <w:tcPr>
            <w:tcW w:type="dxa" w:w="1169"/>
          </w:tcPr>
          <w:p>
            <w:r>
              <w:rPr>
                <w:sz w:val="20"/>
              </w:rPr>
              <w:t>Seringue préremplie IM</w:t>
            </w:r>
          </w:p>
        </w:tc>
        <w:tc>
          <w:tcPr>
            <w:tcW w:type="dxa" w:w="1169"/>
          </w:tcPr>
          <w:p>
            <w:r>
              <w:rPr>
                <w:sz w:val="20"/>
              </w:rPr>
              <w:t>Seringue 1 mL</w:t>
            </w:r>
          </w:p>
        </w:tc>
        <w:tc>
          <w:tcPr>
            <w:tcW w:type="dxa" w:w="1169"/>
          </w:tcPr>
          <w:p>
            <w:r>
              <w:rPr>
                <w:sz w:val="20"/>
              </w:rPr>
              <w:t>Liste I</w:t>
            </w:r>
          </w:p>
        </w:tc>
        <w:tc>
          <w:tcPr>
            <w:tcW w:type="dxa" w:w="1169"/>
          </w:tcPr>
          <w:p>
            <w:r>
              <w:rPr>
                <w:sz w:val="20"/>
              </w:rPr>
              <w:t>Actif</w:t>
            </w:r>
          </w:p>
        </w:tc>
      </w:tr>
      <w:tr>
        <w:tc>
          <w:tcPr>
            <w:tcW w:type="dxa" w:w="1169"/>
          </w:tcPr>
          <w:p>
            <w:r>
              <w:rPr>
                <w:sz w:val="20"/>
              </w:rPr>
              <w:t>**Ig anti-HBs**</w:t>
            </w:r>
          </w:p>
        </w:tc>
        <w:tc>
          <w:tcPr>
            <w:tcW w:type="dxa" w:w="1169"/>
          </w:tcPr>
          <w:p>
            <w:r>
              <w:rPr>
                <w:sz w:val="20"/>
              </w:rPr>
              <w:t>Hepatitis B P Behring 1000</w:t>
            </w:r>
          </w:p>
        </w:tc>
        <w:tc>
          <w:tcPr>
            <w:tcW w:type="dxa" w:w="1169"/>
          </w:tcPr>
          <w:p>
            <w:r>
              <w:rPr>
                <w:sz w:val="20"/>
              </w:rPr>
              <w:t>CSL Behring</w:t>
            </w:r>
          </w:p>
        </w:tc>
        <w:tc>
          <w:tcPr>
            <w:tcW w:type="dxa" w:w="1169"/>
          </w:tcPr>
          <w:p>
            <w:r>
              <w:rPr>
                <w:sz w:val="20"/>
              </w:rPr>
              <w:t>1000 UI/5 mL</w:t>
            </w:r>
          </w:p>
        </w:tc>
        <w:tc>
          <w:tcPr>
            <w:tcW w:type="dxa" w:w="1169"/>
          </w:tcPr>
          <w:p>
            <w:r>
              <w:rPr>
                <w:sz w:val="20"/>
              </w:rPr>
              <w:t>Seringue préremplie IM</w:t>
            </w:r>
          </w:p>
        </w:tc>
        <w:tc>
          <w:tcPr>
            <w:tcW w:type="dxa" w:w="1169"/>
          </w:tcPr>
          <w:p>
            <w:r>
              <w:rPr>
                <w:sz w:val="20"/>
              </w:rPr>
              <w:t>Seringue 5 mL</w:t>
            </w:r>
          </w:p>
        </w:tc>
        <w:tc>
          <w:tcPr>
            <w:tcW w:type="dxa" w:w="1169"/>
          </w:tcPr>
          <w:p>
            <w:r>
              <w:rPr>
                <w:sz w:val="20"/>
              </w:rPr>
              <w:t>Liste I</w:t>
            </w:r>
          </w:p>
        </w:tc>
        <w:tc>
          <w:tcPr>
            <w:tcW w:type="dxa" w:w="1169"/>
          </w:tcPr>
          <w:p>
            <w:r>
              <w:rPr>
                <w:sz w:val="20"/>
              </w:rPr>
              <w:t>Actif</w:t>
            </w:r>
          </w:p>
        </w:tc>
      </w:tr>
      <w:tr>
        <w:tc>
          <w:tcPr>
            <w:tcW w:type="dxa" w:w="1169"/>
          </w:tcPr>
          <w:p>
            <w:r>
              <w:rPr>
                <w:sz w:val="20"/>
              </w:rPr>
              <w:t>**Albumine 20 %**</w:t>
            </w:r>
          </w:p>
        </w:tc>
        <w:tc>
          <w:tcPr>
            <w:tcW w:type="dxa" w:w="1169"/>
          </w:tcPr>
          <w:p>
            <w:r>
              <w:rPr>
                <w:sz w:val="20"/>
              </w:rPr>
              <w:t>ALBUMINE HUMAINE 20% BIOTEST</w:t>
            </w:r>
          </w:p>
        </w:tc>
        <w:tc>
          <w:tcPr>
            <w:tcW w:type="dxa" w:w="1169"/>
          </w:tcPr>
          <w:p>
            <w:r>
              <w:rPr>
                <w:sz w:val="20"/>
              </w:rPr>
              <w:t>Biotest Pharma</w:t>
            </w:r>
          </w:p>
        </w:tc>
        <w:tc>
          <w:tcPr>
            <w:tcW w:type="dxa" w:w="1169"/>
          </w:tcPr>
          <w:p>
            <w:r>
              <w:rPr>
                <w:sz w:val="20"/>
              </w:rPr>
              <w:t>20 %</w:t>
            </w:r>
          </w:p>
        </w:tc>
        <w:tc>
          <w:tcPr>
            <w:tcW w:type="dxa" w:w="1169"/>
          </w:tcPr>
          <w:p>
            <w:r>
              <w:rPr>
                <w:sz w:val="20"/>
              </w:rPr>
              <w:t>Solution pour perfusion IV</w:t>
            </w:r>
          </w:p>
        </w:tc>
        <w:tc>
          <w:tcPr>
            <w:tcW w:type="dxa" w:w="1169"/>
          </w:tcPr>
          <w:p>
            <w:r>
              <w:rPr>
                <w:sz w:val="20"/>
              </w:rPr>
              <w:t>Flacon 50 mL et 100 mL</w:t>
            </w:r>
          </w:p>
        </w:tc>
        <w:tc>
          <w:tcPr>
            <w:tcW w:type="dxa" w:w="1169"/>
          </w:tcPr>
          <w:p>
            <w:r>
              <w:rPr>
                <w:sz w:val="20"/>
              </w:rPr>
              <w:t>Liste I</w:t>
            </w:r>
          </w:p>
        </w:tc>
        <w:tc>
          <w:tcPr>
            <w:tcW w:type="dxa" w:w="1169"/>
          </w:tcPr>
          <w:p>
            <w:r>
              <w:rPr>
                <w:sz w:val="20"/>
              </w:rPr>
              <w:t>Actif</w:t>
            </w:r>
          </w:p>
        </w:tc>
      </w:tr>
      <w:tr>
        <w:tc>
          <w:tcPr>
            <w:tcW w:type="dxa" w:w="1169"/>
          </w:tcPr>
          <w:p>
            <w:r>
              <w:rPr>
                <w:sz w:val="20"/>
              </w:rPr>
              <w:t>**Albumine 20 %**</w:t>
            </w:r>
          </w:p>
        </w:tc>
        <w:tc>
          <w:tcPr>
            <w:tcW w:type="dxa" w:w="1169"/>
          </w:tcPr>
          <w:p>
            <w:r>
              <w:rPr>
                <w:sz w:val="20"/>
              </w:rPr>
              <w:t>SK ALBUMIN 20% INJECTION</w:t>
            </w:r>
          </w:p>
        </w:tc>
        <w:tc>
          <w:tcPr>
            <w:tcW w:type="dxa" w:w="1169"/>
          </w:tcPr>
          <w:p>
            <w:r>
              <w:rPr>
                <w:sz w:val="20"/>
              </w:rPr>
              <w:t>SK Plasma</w:t>
            </w:r>
          </w:p>
        </w:tc>
        <w:tc>
          <w:tcPr>
            <w:tcW w:type="dxa" w:w="1169"/>
          </w:tcPr>
          <w:p>
            <w:r>
              <w:rPr>
                <w:sz w:val="20"/>
              </w:rPr>
              <w:t>20 %</w:t>
            </w:r>
          </w:p>
        </w:tc>
        <w:tc>
          <w:tcPr>
            <w:tcW w:type="dxa" w:w="1169"/>
          </w:tcPr>
          <w:p>
            <w:r>
              <w:rPr>
                <w:sz w:val="20"/>
              </w:rPr>
              <w:t>Solution pour perfusion IV</w:t>
            </w:r>
          </w:p>
        </w:tc>
        <w:tc>
          <w:tcPr>
            <w:tcW w:type="dxa" w:w="1169"/>
          </w:tcPr>
          <w:p>
            <w:r>
              <w:rPr>
                <w:sz w:val="20"/>
              </w:rPr>
              <w:t>Flacon 50 mL et 100 mL</w:t>
            </w:r>
          </w:p>
        </w:tc>
        <w:tc>
          <w:tcPr>
            <w:tcW w:type="dxa" w:w="1169"/>
          </w:tcPr>
          <w:p>
            <w:r>
              <w:rPr>
                <w:sz w:val="20"/>
              </w:rPr>
              <w:t>Liste I</w:t>
            </w:r>
          </w:p>
        </w:tc>
        <w:tc>
          <w:tcPr>
            <w:tcW w:type="dxa" w:w="1169"/>
          </w:tcPr>
          <w:p>
            <w:r>
              <w:rPr>
                <w:sz w:val="20"/>
              </w:rPr>
              <w:t>Actif</w:t>
            </w:r>
          </w:p>
        </w:tc>
      </w:tr>
      <w:tr>
        <w:tc>
          <w:tcPr>
            <w:tcW w:type="dxa" w:w="1169"/>
          </w:tcPr>
          <w:p>
            <w:r>
              <w:rPr>
                <w:sz w:val="20"/>
              </w:rPr>
              <w:t>**Albumine 20 %**</w:t>
            </w:r>
          </w:p>
        </w:tc>
        <w:tc>
          <w:tcPr>
            <w:tcW w:type="dxa" w:w="1169"/>
          </w:tcPr>
          <w:p>
            <w:r>
              <w:rPr>
                <w:sz w:val="20"/>
              </w:rPr>
              <w:t>ALBUTEN 20%</w:t>
            </w:r>
          </w:p>
        </w:tc>
        <w:tc>
          <w:tcPr>
            <w:tcW w:type="dxa" w:w="1169"/>
          </w:tcPr>
          <w:p>
            <w:r>
              <w:rPr>
                <w:sz w:val="20"/>
              </w:rPr>
              <w:t>Instituto Grifols</w:t>
            </w:r>
          </w:p>
        </w:tc>
        <w:tc>
          <w:tcPr>
            <w:tcW w:type="dxa" w:w="1169"/>
          </w:tcPr>
          <w:p>
            <w:r>
              <w:rPr>
                <w:sz w:val="20"/>
              </w:rPr>
              <w:t>20 %</w:t>
            </w:r>
          </w:p>
        </w:tc>
        <w:tc>
          <w:tcPr>
            <w:tcW w:type="dxa" w:w="1169"/>
          </w:tcPr>
          <w:p>
            <w:r>
              <w:rPr>
                <w:sz w:val="20"/>
              </w:rPr>
              <w:t>Solution pour perfusion IV</w:t>
            </w:r>
          </w:p>
        </w:tc>
        <w:tc>
          <w:tcPr>
            <w:tcW w:type="dxa" w:w="1169"/>
          </w:tcPr>
          <w:p>
            <w:r>
              <w:rPr>
                <w:sz w:val="20"/>
              </w:rPr>
              <w:t>Flacon 50 mL et 100 mL</w:t>
            </w:r>
          </w:p>
        </w:tc>
        <w:tc>
          <w:tcPr>
            <w:tcW w:type="dxa" w:w="1169"/>
          </w:tcPr>
          <w:p>
            <w:r>
              <w:rPr>
                <w:sz w:val="20"/>
              </w:rPr>
              <w:t>Liste I</w:t>
            </w:r>
          </w:p>
        </w:tc>
        <w:tc>
          <w:tcPr>
            <w:tcW w:type="dxa" w:w="1169"/>
          </w:tcPr>
          <w:p>
            <w:r>
              <w:rPr>
                <w:sz w:val="20"/>
              </w:rPr>
              <w:t>Actif</w:t>
            </w:r>
          </w:p>
        </w:tc>
      </w:tr>
      <w:tr>
        <w:tc>
          <w:tcPr>
            <w:tcW w:type="dxa" w:w="1169"/>
          </w:tcPr>
          <w:p>
            <w:r>
              <w:rPr>
                <w:sz w:val="20"/>
              </w:rPr>
              <w:t>**Albumine 20 %**</w:t>
            </w:r>
          </w:p>
        </w:tc>
        <w:tc>
          <w:tcPr>
            <w:tcW w:type="dxa" w:w="1169"/>
          </w:tcPr>
          <w:p>
            <w:r>
              <w:rPr>
                <w:sz w:val="20"/>
              </w:rPr>
              <w:t>HUMAN ALBUMIN BAXTER</w:t>
            </w:r>
          </w:p>
        </w:tc>
        <w:tc>
          <w:tcPr>
            <w:tcW w:type="dxa" w:w="1169"/>
          </w:tcPr>
          <w:p>
            <w:r>
              <w:rPr>
                <w:sz w:val="20"/>
              </w:rPr>
              <w:t>Baxter AG</w:t>
            </w:r>
          </w:p>
        </w:tc>
        <w:tc>
          <w:tcPr>
            <w:tcW w:type="dxa" w:w="1169"/>
          </w:tcPr>
          <w:p>
            <w:r>
              <w:rPr>
                <w:sz w:val="20"/>
              </w:rPr>
              <w:t>20 %</w:t>
            </w:r>
          </w:p>
        </w:tc>
        <w:tc>
          <w:tcPr>
            <w:tcW w:type="dxa" w:w="1169"/>
          </w:tcPr>
          <w:p>
            <w:r>
              <w:rPr>
                <w:sz w:val="20"/>
              </w:rPr>
              <w:t>Solution injectable IV</w:t>
            </w:r>
          </w:p>
        </w:tc>
        <w:tc>
          <w:tcPr>
            <w:tcW w:type="dxa" w:w="1169"/>
          </w:tcPr>
          <w:p>
            <w:r>
              <w:rPr>
                <w:sz w:val="20"/>
              </w:rPr>
              <w:t>Flacon 50 mL et 100 mL</w:t>
            </w:r>
          </w:p>
        </w:tc>
        <w:tc>
          <w:tcPr>
            <w:tcW w:type="dxa" w:w="1169"/>
          </w:tcPr>
          <w:p>
            <w:r>
              <w:rPr>
                <w:sz w:val="20"/>
              </w:rPr>
              <w:t>Liste I</w:t>
            </w:r>
          </w:p>
        </w:tc>
        <w:tc>
          <w:tcPr>
            <w:tcW w:type="dxa" w:w="1169"/>
          </w:tcPr>
          <w:p>
            <w:r>
              <w:rPr>
                <w:sz w:val="20"/>
              </w:rPr>
              <w:t>Actif</w:t>
            </w:r>
          </w:p>
        </w:tc>
      </w:tr>
      <w:tr>
        <w:tc>
          <w:tcPr>
            <w:tcW w:type="dxa" w:w="1169"/>
          </w:tcPr>
          <w:p>
            <w:r>
              <w:rPr>
                <w:sz w:val="20"/>
              </w:rPr>
              <w:t>**Albumine 20 %**</w:t>
            </w:r>
          </w:p>
        </w:tc>
        <w:tc>
          <w:tcPr>
            <w:tcW w:type="dxa" w:w="1169"/>
          </w:tcPr>
          <w:p>
            <w:r>
              <w:rPr>
                <w:sz w:val="20"/>
              </w:rPr>
              <w:t>VIALEBEX</w:t>
            </w:r>
          </w:p>
        </w:tc>
        <w:tc>
          <w:tcPr>
            <w:tcW w:type="dxa" w:w="1169"/>
          </w:tcPr>
          <w:p>
            <w:r>
              <w:rPr>
                <w:sz w:val="20"/>
              </w:rPr>
              <w:t>LFB Biomédicaments</w:t>
            </w:r>
          </w:p>
        </w:tc>
        <w:tc>
          <w:tcPr>
            <w:tcW w:type="dxa" w:w="1169"/>
          </w:tcPr>
          <w:p>
            <w:r>
              <w:rPr>
                <w:sz w:val="20"/>
              </w:rPr>
              <w:t>20 %</w:t>
            </w:r>
          </w:p>
        </w:tc>
        <w:tc>
          <w:tcPr>
            <w:tcW w:type="dxa" w:w="1169"/>
          </w:tcPr>
          <w:p>
            <w:r>
              <w:rPr>
                <w:sz w:val="20"/>
              </w:rPr>
              <w:t>Solution pour perfusion IV</w:t>
            </w:r>
          </w:p>
        </w:tc>
        <w:tc>
          <w:tcPr>
            <w:tcW w:type="dxa" w:w="1169"/>
          </w:tcPr>
          <w:p>
            <w:r>
              <w:rPr>
                <w:sz w:val="20"/>
              </w:rPr>
              <w:t>Flacon 50 mL et 100 mL</w:t>
            </w:r>
          </w:p>
        </w:tc>
        <w:tc>
          <w:tcPr>
            <w:tcW w:type="dxa" w:w="1169"/>
          </w:tcPr>
          <w:p>
            <w:r>
              <w:rPr>
                <w:sz w:val="20"/>
              </w:rPr>
              <w:t>Liste I</w:t>
            </w:r>
          </w:p>
        </w:tc>
        <w:tc>
          <w:tcPr>
            <w:tcW w:type="dxa" w:w="1169"/>
          </w:tcPr>
          <w:p>
            <w:r>
              <w:rPr>
                <w:sz w:val="20"/>
              </w:rPr>
              <w:t>Actif</w:t>
            </w:r>
          </w:p>
        </w:tc>
      </w:tr>
      <w:tr>
        <w:tc>
          <w:tcPr>
            <w:tcW w:type="dxa" w:w="1169"/>
          </w:tcPr>
          <w:p>
            <w:r>
              <w:rPr>
                <w:sz w:val="20"/>
              </w:rPr>
              <w:t>**Albumine 20 %**</w:t>
            </w:r>
          </w:p>
        </w:tc>
        <w:tc>
          <w:tcPr>
            <w:tcW w:type="dxa" w:w="1169"/>
          </w:tcPr>
          <w:p>
            <w:r>
              <w:rPr>
                <w:sz w:val="20"/>
              </w:rPr>
              <w:t>ALBUREL</w:t>
            </w:r>
          </w:p>
        </w:tc>
        <w:tc>
          <w:tcPr>
            <w:tcW w:type="dxa" w:w="1169"/>
          </w:tcPr>
          <w:p>
            <w:r>
              <w:rPr>
                <w:sz w:val="20"/>
              </w:rPr>
              <w:t>CPCM (Saidal)</w:t>
            </w:r>
          </w:p>
        </w:tc>
        <w:tc>
          <w:tcPr>
            <w:tcW w:type="dxa" w:w="1169"/>
          </w:tcPr>
          <w:p>
            <w:r>
              <w:rPr>
                <w:sz w:val="20"/>
              </w:rPr>
              <w:t>20 % (20 g/100 mL)</w:t>
            </w:r>
          </w:p>
        </w:tc>
        <w:tc>
          <w:tcPr>
            <w:tcW w:type="dxa" w:w="1169"/>
          </w:tcPr>
          <w:p>
            <w:r>
              <w:rPr>
                <w:sz w:val="20"/>
              </w:rPr>
              <w:t>Solution pour perfusion IV</w:t>
            </w:r>
          </w:p>
        </w:tc>
        <w:tc>
          <w:tcPr>
            <w:tcW w:type="dxa" w:w="1169"/>
          </w:tcPr>
          <w:p>
            <w:r>
              <w:rPr>
                <w:sz w:val="20"/>
              </w:rPr>
              <w:t>Flacon 50 mL et 100 mL</w:t>
            </w:r>
          </w:p>
        </w:tc>
        <w:tc>
          <w:tcPr>
            <w:tcW w:type="dxa" w:w="1169"/>
          </w:tcPr>
          <w:p>
            <w:r>
              <w:rPr>
                <w:sz w:val="20"/>
              </w:rPr>
              <w:t>—</w:t>
            </w:r>
          </w:p>
        </w:tc>
        <w:tc>
          <w:tcPr>
            <w:tcW w:type="dxa" w:w="1169"/>
          </w:tcPr>
          <w:p>
            <w:r>
              <w:rPr>
                <w:sz w:val="20"/>
              </w:rPr>
              <w:t>Actif</w:t>
            </w:r>
          </w:p>
        </w:tc>
      </w:tr>
      <w:tr>
        <w:tc>
          <w:tcPr>
            <w:tcW w:type="dxa" w:w="1169"/>
          </w:tcPr>
          <w:p>
            <w:r>
              <w:rPr>
                <w:sz w:val="20"/>
              </w:rPr>
              <w:t>**Albumine 20 %**</w:t>
            </w:r>
          </w:p>
        </w:tc>
        <w:tc>
          <w:tcPr>
            <w:tcW w:type="dxa" w:w="1169"/>
          </w:tcPr>
          <w:p>
            <w:r>
              <w:rPr>
                <w:sz w:val="20"/>
              </w:rPr>
              <w:t>HUMAN ALBUMIN BEHRING 20%</w:t>
            </w:r>
          </w:p>
        </w:tc>
        <w:tc>
          <w:tcPr>
            <w:tcW w:type="dxa" w:w="1169"/>
          </w:tcPr>
          <w:p>
            <w:r>
              <w:rPr>
                <w:sz w:val="20"/>
              </w:rPr>
              <w:t>CSL Behring</w:t>
            </w:r>
          </w:p>
        </w:tc>
        <w:tc>
          <w:tcPr>
            <w:tcW w:type="dxa" w:w="1169"/>
          </w:tcPr>
          <w:p>
            <w:r>
              <w:rPr>
                <w:sz w:val="20"/>
              </w:rPr>
              <w:t>200 g/L</w:t>
            </w:r>
          </w:p>
        </w:tc>
        <w:tc>
          <w:tcPr>
            <w:tcW w:type="dxa" w:w="1169"/>
          </w:tcPr>
          <w:p>
            <w:r>
              <w:rPr>
                <w:sz w:val="20"/>
              </w:rPr>
              <w:t>Solution pour perfusion IV</w:t>
            </w:r>
          </w:p>
        </w:tc>
        <w:tc>
          <w:tcPr>
            <w:tcW w:type="dxa" w:w="1169"/>
          </w:tcPr>
          <w:p>
            <w:r>
              <w:rPr>
                <w:sz w:val="20"/>
              </w:rPr>
              <w:t>Flacon 50 mL et 100 mL</w:t>
            </w:r>
          </w:p>
        </w:tc>
        <w:tc>
          <w:tcPr>
            <w:tcW w:type="dxa" w:w="1169"/>
          </w:tcPr>
          <w:p>
            <w:r>
              <w:rPr>
                <w:sz w:val="20"/>
              </w:rPr>
              <w:t>—</w:t>
            </w:r>
          </w:p>
        </w:tc>
        <w:tc>
          <w:tcPr>
            <w:tcW w:type="dxa" w:w="1169"/>
          </w:tcPr>
          <w:p>
            <w:r>
              <w:rPr>
                <w:sz w:val="20"/>
              </w:rPr>
              <w:t>Actif</w:t>
            </w:r>
          </w:p>
        </w:tc>
      </w:tr>
      <w:tr>
        <w:tc>
          <w:tcPr>
            <w:tcW w:type="dxa" w:w="1169"/>
          </w:tcPr>
          <w:p>
            <w:r>
              <w:rPr>
                <w:sz w:val="20"/>
              </w:rPr>
              <w:t>**Albumine 20 %**</w:t>
            </w:r>
          </w:p>
        </w:tc>
        <w:tc>
          <w:tcPr>
            <w:tcW w:type="dxa" w:w="1169"/>
          </w:tcPr>
          <w:p>
            <w:r>
              <w:rPr>
                <w:sz w:val="20"/>
              </w:rPr>
              <w:t>ALBUMINE HUMAINE Medicuba</w:t>
            </w:r>
          </w:p>
        </w:tc>
        <w:tc>
          <w:tcPr>
            <w:tcW w:type="dxa" w:w="1169"/>
          </w:tcPr>
          <w:p>
            <w:r>
              <w:rPr>
                <w:sz w:val="20"/>
              </w:rPr>
              <w:t>Medicuba</w:t>
            </w:r>
          </w:p>
        </w:tc>
        <w:tc>
          <w:tcPr>
            <w:tcW w:type="dxa" w:w="1169"/>
          </w:tcPr>
          <w:p>
            <w:r>
              <w:rPr>
                <w:sz w:val="20"/>
              </w:rPr>
              <w:t>20 %</w:t>
            </w:r>
          </w:p>
        </w:tc>
        <w:tc>
          <w:tcPr>
            <w:tcW w:type="dxa" w:w="1169"/>
          </w:tcPr>
          <w:p>
            <w:r>
              <w:rPr>
                <w:sz w:val="20"/>
              </w:rPr>
              <w:t>Solution injectable</w:t>
            </w:r>
          </w:p>
        </w:tc>
        <w:tc>
          <w:tcPr>
            <w:tcW w:type="dxa" w:w="1169"/>
          </w:tcPr>
          <w:p>
            <w:r>
              <w:rPr>
                <w:sz w:val="20"/>
              </w:rPr>
              <w:t>Flacon 50 mL</w:t>
            </w:r>
          </w:p>
        </w:tc>
        <w:tc>
          <w:tcPr>
            <w:tcW w:type="dxa" w:w="1169"/>
          </w:tcPr>
          <w:p>
            <w:r>
              <w:rPr>
                <w:sz w:val="20"/>
              </w:rPr>
              <w:t>—</w:t>
            </w:r>
          </w:p>
        </w:tc>
        <w:tc>
          <w:tcPr>
            <w:tcW w:type="dxa" w:w="1169"/>
          </w:tcPr>
          <w:p>
            <w:r>
              <w:rPr>
                <w:sz w:val="20"/>
              </w:rPr>
              <w:t>Retrait</w:t>
            </w:r>
          </w:p>
        </w:tc>
      </w:tr>
      <w:tr>
        <w:tc>
          <w:tcPr>
            <w:tcW w:type="dxa" w:w="1169"/>
          </w:tcPr>
          <w:p>
            <w:r>
              <w:rPr>
                <w:sz w:val="20"/>
              </w:rPr>
              <w:t>**PCC**</w:t>
            </w:r>
          </w:p>
        </w:tc>
        <w:tc>
          <w:tcPr>
            <w:tcW w:type="dxa" w:w="1169"/>
          </w:tcPr>
          <w:p>
            <w:r>
              <w:rPr>
                <w:sz w:val="20"/>
              </w:rPr>
              <w:t>OCTAPLEX</w:t>
            </w:r>
          </w:p>
        </w:tc>
        <w:tc>
          <w:tcPr>
            <w:tcW w:type="dxa" w:w="1169"/>
          </w:tcPr>
          <w:p>
            <w:r>
              <w:rPr>
                <w:sz w:val="20"/>
              </w:rPr>
              <w:t>Octapharma</w:t>
            </w:r>
          </w:p>
        </w:tc>
        <w:tc>
          <w:tcPr>
            <w:tcW w:type="dxa" w:w="1169"/>
          </w:tcPr>
          <w:p>
            <w:r>
              <w:rPr>
                <w:sz w:val="20"/>
              </w:rPr>
              <w:t>500 UI</w:t>
            </w:r>
          </w:p>
        </w:tc>
        <w:tc>
          <w:tcPr>
            <w:tcW w:type="dxa" w:w="1169"/>
          </w:tcPr>
          <w:p>
            <w:r>
              <w:rPr>
                <w:sz w:val="20"/>
              </w:rPr>
              <w:t>Poudre + solvant pour perfusion IV</w:t>
            </w:r>
          </w:p>
        </w:tc>
        <w:tc>
          <w:tcPr>
            <w:tcW w:type="dxa" w:w="1169"/>
          </w:tcPr>
          <w:p>
            <w:r>
              <w:rPr>
                <w:sz w:val="20"/>
              </w:rPr>
              <w:t>1 flacon poudre + 1 flacon solvant 20 mL</w:t>
            </w:r>
          </w:p>
        </w:tc>
        <w:tc>
          <w:tcPr>
            <w:tcW w:type="dxa" w:w="1169"/>
          </w:tcPr>
          <w:p>
            <w:r>
              <w:rPr>
                <w:sz w:val="20"/>
              </w:rPr>
              <w:t>Liste I</w:t>
            </w:r>
          </w:p>
        </w:tc>
        <w:tc>
          <w:tcPr>
            <w:tcW w:type="dxa" w:w="1169"/>
          </w:tcPr>
          <w:p>
            <w:r>
              <w:rPr>
                <w:sz w:val="20"/>
              </w:rPr>
              <w:t>Actif</w:t>
            </w:r>
          </w:p>
        </w:tc>
      </w:tr>
    </w:tbl>
    <w:p/>
    <w:p>
      <w:pPr>
        <w:pStyle w:val="Heading2"/>
      </w:pPr>
      <w:r>
        <w:t>173.8. Synthèse pédagogique pour la pratique officinale et clinique algérienne</w:t>
      </w:r>
    </w:p>
    <w:p>
      <w:pPr>
        <w:pStyle w:val="Heading3"/>
      </w:pPr>
      <w:r>
        <w:t>1. Points communs aux quatre DCI (logique de produit sanguin stable)</w:t>
      </w:r>
    </w:p>
    <w:p>
      <w:pPr>
        <w:pStyle w:val="ListBullet"/>
      </w:pPr>
      <w:r/>
      <w:r>
        <w:rPr>
          <w:b/>
        </w:rPr>
        <w:t>Origine plasmatique humaine</w:t>
      </w:r>
      <w:r>
        <w:t xml:space="preserve"> : tous les 4 produits sont des </w:t>
      </w:r>
      <w:r>
        <w:rPr>
          <w:b/>
        </w:rPr>
        <w:t>médicaments dérivés du sang</w:t>
      </w:r>
      <w:r>
        <w:t xml:space="preserve"> (MDS), obtenus par fractionnement plasmatique Cohn/chromatographie à partir de pools de plasma de plusieurs milliers de donneurs.</w:t>
      </w:r>
    </w:p>
    <w:p>
      <w:pPr>
        <w:pStyle w:val="ListBullet"/>
      </w:pPr>
      <w:r/>
      <w:r>
        <w:rPr>
          <w:b/>
        </w:rPr>
        <w:t>Sécurité virale</w:t>
      </w:r>
      <w:r>
        <w:t xml:space="preserve"> : double niveau d'inactivation (solvant-détergent pour virus enveloppés, pasteurisation pour albumine, nanofiltration pour virus non enveloppés) ; risque résiduel théorique pour agents non enveloppés (HAV, Parvovirus B19, prions).</w:t>
      </w:r>
    </w:p>
    <w:p>
      <w:pPr>
        <w:pStyle w:val="ListBullet"/>
      </w:pPr>
      <w:r/>
      <w:r>
        <w:rPr>
          <w:b/>
        </w:rPr>
        <w:t>Traçabilité nominative obligatoire</w:t>
      </w:r>
      <w:r>
        <w:t xml:space="preserve"> : registre national des produits sanguins du CNTS, registre hémovigilance hospitalier.</w:t>
      </w:r>
    </w:p>
    <w:p>
      <w:pPr>
        <w:pStyle w:val="ListBullet"/>
      </w:pPr>
      <w:r/>
      <w:r>
        <w:rPr>
          <w:b/>
        </w:rPr>
        <w:t>Liste I</w:t>
      </w:r>
      <w:r>
        <w:t xml:space="preserve"> : toutes les spécialités sont sur ordonnance obligatoire, prescription principalement hospitalière.</w:t>
      </w:r>
    </w:p>
    <w:p>
      <w:pPr>
        <w:pStyle w:val="ListBullet"/>
      </w:pPr>
      <w:r/>
      <w:r>
        <w:rPr>
          <w:b/>
        </w:rPr>
        <w:t>Aucune interaction systémique CYP450</w:t>
      </w:r>
      <w:r>
        <w:t xml:space="preserve"> : tous ces produits sont métabolisés par protéolyse lysosomale, sans intervention enzymatique hépatique.</w:t>
      </w:r>
    </w:p>
    <w:p>
      <w:pPr>
        <w:pStyle w:val="ListBullet"/>
      </w:pPr>
      <w:r/>
      <w:r>
        <w:rPr>
          <w:b/>
        </w:rPr>
        <w:t>Adaptation posologique</w:t>
      </w:r>
      <w:r>
        <w:t xml:space="preserve"> : pas nécessaire en IR ou IH (métabolisme non rénal, non hépatique au sens enzymatique).</w:t>
      </w:r>
    </w:p>
    <w:p>
      <w:pPr>
        <w:pStyle w:val="Heading3"/>
      </w:pPr>
      <w:r>
        <w:t>2. Différences pharmacologiques essentielles</w:t>
      </w:r>
    </w:p>
    <w:tbl>
      <w:tblPr>
        <w:tblStyle w:val="LightGrid-Accent1"/>
        <w:tblW w:type="auto" w:w="0"/>
        <w:tblLook w:firstColumn="1" w:firstRow="1" w:lastColumn="0" w:lastRow="0" w:noHBand="0" w:noVBand="1" w:val="04A0"/>
      </w:tblPr>
      <w:tblGrid>
        <w:gridCol w:w="1871"/>
        <w:gridCol w:w="1871"/>
        <w:gridCol w:w="1871"/>
        <w:gridCol w:w="1871"/>
        <w:gridCol w:w="1871"/>
      </w:tblGrid>
      <w:tr>
        <w:tc>
          <w:tcPr>
            <w:tcW w:type="dxa" w:w="1871"/>
          </w:tcPr>
          <w:p>
            <w:r>
              <w:rPr>
                <w:b/>
                <w:sz w:val="20"/>
              </w:rPr>
              <w:t>Critère</w:t>
            </w:r>
          </w:p>
        </w:tc>
        <w:tc>
          <w:tcPr>
            <w:tcW w:type="dxa" w:w="1871"/>
          </w:tcPr>
          <w:p>
            <w:r>
              <w:rPr>
                <w:b/>
                <w:sz w:val="20"/>
              </w:rPr>
              <w:t>Anti-D</w:t>
            </w:r>
          </w:p>
        </w:tc>
        <w:tc>
          <w:tcPr>
            <w:tcW w:type="dxa" w:w="1871"/>
          </w:tcPr>
          <w:p>
            <w:r>
              <w:rPr>
                <w:b/>
                <w:sz w:val="20"/>
              </w:rPr>
              <w:t>Anti-HBs</w:t>
            </w:r>
          </w:p>
        </w:tc>
        <w:tc>
          <w:tcPr>
            <w:tcW w:type="dxa" w:w="1871"/>
          </w:tcPr>
          <w:p>
            <w:r>
              <w:rPr>
                <w:b/>
                <w:sz w:val="20"/>
              </w:rPr>
              <w:t>Albumine</w:t>
            </w:r>
          </w:p>
        </w:tc>
        <w:tc>
          <w:tcPr>
            <w:tcW w:type="dxa" w:w="1871"/>
          </w:tcPr>
          <w:p>
            <w:r>
              <w:rPr>
                <w:b/>
                <w:sz w:val="20"/>
              </w:rPr>
              <w:t>PCC</w:t>
            </w:r>
          </w:p>
        </w:tc>
      </w:tr>
      <w:tr>
        <w:tc>
          <w:tcPr>
            <w:tcW w:type="dxa" w:w="1871"/>
          </w:tcPr>
          <w:p>
            <w:r>
              <w:rPr>
                <w:sz w:val="20"/>
              </w:rPr>
              <w:t>**Composition**</w:t>
            </w:r>
          </w:p>
        </w:tc>
        <w:tc>
          <w:tcPr>
            <w:tcW w:type="dxa" w:w="1871"/>
          </w:tcPr>
          <w:p>
            <w:r>
              <w:rPr>
                <w:sz w:val="20"/>
              </w:rPr>
              <w:t>IgG polyclonale spécifique anti-RhD</w:t>
            </w:r>
          </w:p>
        </w:tc>
        <w:tc>
          <w:tcPr>
            <w:tcW w:type="dxa" w:w="1871"/>
          </w:tcPr>
          <w:p>
            <w:r>
              <w:rPr>
                <w:sz w:val="20"/>
              </w:rPr>
              <w:t>IgG polyclonale spécifique anti-HBs</w:t>
            </w:r>
          </w:p>
        </w:tc>
        <w:tc>
          <w:tcPr>
            <w:tcW w:type="dxa" w:w="1871"/>
          </w:tcPr>
          <w:p>
            <w:r>
              <w:rPr>
                <w:sz w:val="20"/>
              </w:rPr>
              <w:t>Protéine plasmatique pure (66,5 kDa)</w:t>
            </w:r>
          </w:p>
        </w:tc>
        <w:tc>
          <w:tcPr>
            <w:tcW w:type="dxa" w:w="1871"/>
          </w:tcPr>
          <w:p>
            <w:r>
              <w:rPr>
                <w:sz w:val="20"/>
              </w:rPr>
              <w:t>Mélange facteurs II, VII, IX, X + protéines C et S</w:t>
            </w:r>
          </w:p>
        </w:tc>
      </w:tr>
      <w:tr>
        <w:tc>
          <w:tcPr>
            <w:tcW w:type="dxa" w:w="1871"/>
          </w:tcPr>
          <w:p>
            <w:r>
              <w:rPr>
                <w:sz w:val="20"/>
              </w:rPr>
              <w:t>**Cible**</w:t>
            </w:r>
          </w:p>
        </w:tc>
        <w:tc>
          <w:tcPr>
            <w:tcW w:type="dxa" w:w="1871"/>
          </w:tcPr>
          <w:p>
            <w:r>
              <w:rPr>
                <w:sz w:val="20"/>
              </w:rPr>
              <w:t>Antigène D (érythrocytaire)</w:t>
            </w:r>
          </w:p>
        </w:tc>
        <w:tc>
          <w:tcPr>
            <w:tcW w:type="dxa" w:w="1871"/>
          </w:tcPr>
          <w:p>
            <w:r>
              <w:rPr>
                <w:sz w:val="20"/>
              </w:rPr>
              <w:t>Antigène HBs viral</w:t>
            </w:r>
          </w:p>
        </w:tc>
        <w:tc>
          <w:tcPr>
            <w:tcW w:type="dxa" w:w="1871"/>
          </w:tcPr>
          <w:p>
            <w:r>
              <w:rPr>
                <w:sz w:val="20"/>
              </w:rPr>
              <w:t>Pression oncotique plasmatique</w:t>
            </w:r>
          </w:p>
        </w:tc>
        <w:tc>
          <w:tcPr>
            <w:tcW w:type="dxa" w:w="1871"/>
          </w:tcPr>
          <w:p>
            <w:r>
              <w:rPr>
                <w:sz w:val="20"/>
              </w:rPr>
              <w:t>Cascade de coagulation</w:t>
            </w:r>
          </w:p>
        </w:tc>
      </w:tr>
      <w:tr>
        <w:tc>
          <w:tcPr>
            <w:tcW w:type="dxa" w:w="1871"/>
          </w:tcPr>
          <w:p>
            <w:r>
              <w:rPr>
                <w:sz w:val="20"/>
              </w:rPr>
              <w:t>**Voie**</w:t>
            </w:r>
          </w:p>
        </w:tc>
        <w:tc>
          <w:tcPr>
            <w:tcW w:type="dxa" w:w="1871"/>
          </w:tcPr>
          <w:p>
            <w:r>
              <w:rPr>
                <w:sz w:val="20"/>
              </w:rPr>
              <w:t>IM stricte (ou IV Rhophylac)</w:t>
            </w:r>
          </w:p>
        </w:tc>
        <w:tc>
          <w:tcPr>
            <w:tcW w:type="dxa" w:w="1871"/>
          </w:tcPr>
          <w:p>
            <w:r>
              <w:rPr>
                <w:sz w:val="20"/>
              </w:rPr>
              <w:t>IM (ou IV HEPATECT CP)</w:t>
            </w:r>
          </w:p>
        </w:tc>
        <w:tc>
          <w:tcPr>
            <w:tcW w:type="dxa" w:w="1871"/>
          </w:tcPr>
          <w:p>
            <w:r>
              <w:rPr>
                <w:sz w:val="20"/>
              </w:rPr>
              <w:t>IV stricte</w:t>
            </w:r>
          </w:p>
        </w:tc>
        <w:tc>
          <w:tcPr>
            <w:tcW w:type="dxa" w:w="1871"/>
          </w:tcPr>
          <w:p>
            <w:r>
              <w:rPr>
                <w:sz w:val="20"/>
              </w:rPr>
              <w:t>IV stricte lente</w:t>
            </w:r>
          </w:p>
        </w:tc>
      </w:tr>
      <w:tr>
        <w:tc>
          <w:tcPr>
            <w:tcW w:type="dxa" w:w="1871"/>
          </w:tcPr>
          <w:p>
            <w:r>
              <w:rPr>
                <w:sz w:val="20"/>
              </w:rPr>
              <w:t>**Délai d'action**</w:t>
            </w:r>
          </w:p>
        </w:tc>
        <w:tc>
          <w:tcPr>
            <w:tcW w:type="dxa" w:w="1871"/>
          </w:tcPr>
          <w:p>
            <w:r>
              <w:rPr>
                <w:sz w:val="20"/>
              </w:rPr>
              <w:t>24-48 h (pic)</w:t>
            </w:r>
          </w:p>
        </w:tc>
        <w:tc>
          <w:tcPr>
            <w:tcW w:type="dxa" w:w="1871"/>
          </w:tcPr>
          <w:p>
            <w:r>
              <w:rPr>
                <w:sz w:val="20"/>
              </w:rPr>
              <w:t>4-7 jours (pic IM)</w:t>
            </w:r>
          </w:p>
        </w:tc>
        <w:tc>
          <w:tcPr>
            <w:tcW w:type="dxa" w:w="1871"/>
          </w:tcPr>
          <w:p>
            <w:r>
              <w:rPr>
                <w:sz w:val="20"/>
              </w:rPr>
              <w:t>30 min</w:t>
            </w:r>
          </w:p>
        </w:tc>
        <w:tc>
          <w:tcPr>
            <w:tcW w:type="dxa" w:w="1871"/>
          </w:tcPr>
          <w:p>
            <w:r>
              <w:rPr>
                <w:sz w:val="20"/>
              </w:rPr>
              <w:t>10-30 min</w:t>
            </w:r>
          </w:p>
        </w:tc>
      </w:tr>
      <w:tr>
        <w:tc>
          <w:tcPr>
            <w:tcW w:type="dxa" w:w="1871"/>
          </w:tcPr>
          <w:p>
            <w:r>
              <w:rPr>
                <w:sz w:val="20"/>
              </w:rPr>
              <w:t>**Demi-vie**</w:t>
            </w:r>
          </w:p>
        </w:tc>
        <w:tc>
          <w:tcPr>
            <w:tcW w:type="dxa" w:w="1871"/>
          </w:tcPr>
          <w:p>
            <w:r>
              <w:rPr>
                <w:sz w:val="20"/>
              </w:rPr>
              <w:t>21-25 j</w:t>
            </w:r>
          </w:p>
        </w:tc>
        <w:tc>
          <w:tcPr>
            <w:tcW w:type="dxa" w:w="1871"/>
          </w:tcPr>
          <w:p>
            <w:r>
              <w:rPr>
                <w:sz w:val="20"/>
              </w:rPr>
              <w:t>21-25 j</w:t>
            </w:r>
          </w:p>
        </w:tc>
        <w:tc>
          <w:tcPr>
            <w:tcW w:type="dxa" w:w="1871"/>
          </w:tcPr>
          <w:p>
            <w:r>
              <w:rPr>
                <w:sz w:val="20"/>
              </w:rPr>
              <w:t>15-20 j</w:t>
            </w:r>
          </w:p>
        </w:tc>
        <w:tc>
          <w:tcPr>
            <w:tcW w:type="dxa" w:w="1871"/>
          </w:tcPr>
          <w:p>
            <w:r>
              <w:rPr>
                <w:sz w:val="20"/>
              </w:rPr>
              <w:t>6-72 h (selon facteur)</w:t>
            </w:r>
          </w:p>
        </w:tc>
      </w:tr>
      <w:tr>
        <w:tc>
          <w:tcPr>
            <w:tcW w:type="dxa" w:w="1871"/>
          </w:tcPr>
          <w:p>
            <w:r>
              <w:rPr>
                <w:sz w:val="20"/>
              </w:rPr>
              <w:t>**Contexte clinique**</w:t>
            </w:r>
          </w:p>
        </w:tc>
        <w:tc>
          <w:tcPr>
            <w:tcW w:type="dxa" w:w="1871"/>
          </w:tcPr>
          <w:p>
            <w:r>
              <w:rPr>
                <w:sz w:val="20"/>
              </w:rPr>
              <w:t>Obstétrical préventif</w:t>
            </w:r>
          </w:p>
        </w:tc>
        <w:tc>
          <w:tcPr>
            <w:tcW w:type="dxa" w:w="1871"/>
          </w:tcPr>
          <w:p>
            <w:r>
              <w:rPr>
                <w:sz w:val="20"/>
              </w:rPr>
              <w:t>Infectieux post-exposition</w:t>
            </w:r>
          </w:p>
        </w:tc>
        <w:tc>
          <w:tcPr>
            <w:tcW w:type="dxa" w:w="1871"/>
          </w:tcPr>
          <w:p>
            <w:r>
              <w:rPr>
                <w:sz w:val="20"/>
              </w:rPr>
              <w:t>Réanimation, hépatologie, néphrologie</w:t>
            </w:r>
          </w:p>
        </w:tc>
        <w:tc>
          <w:tcPr>
            <w:tcW w:type="dxa" w:w="1871"/>
          </w:tcPr>
          <w:p>
            <w:r>
              <w:rPr>
                <w:sz w:val="20"/>
              </w:rPr>
              <w:t>Urgence hémorragique vitale sous AVK</w:t>
            </w:r>
          </w:p>
        </w:tc>
      </w:tr>
    </w:tbl>
    <w:p/>
    <w:p>
      <w:pPr>
        <w:pStyle w:val="Heading3"/>
      </w:pPr>
      <w:r>
        <w:t>3. Messages pédagogiques clés pour l'étudiant en pharmacie algérien</w:t>
      </w:r>
    </w:p>
    <w:p>
      <w:pPr>
        <w:pStyle w:val="ListNumber"/>
      </w:pPr>
      <w:r/>
      <w:r>
        <w:rPr>
          <w:b/>
        </w:rPr>
        <w:t>Anti-D — Règle des 72 heures</w:t>
      </w:r>
      <w:r>
        <w:t xml:space="preserve"> : l'injection post-partum doit être administrée </w:t>
      </w:r>
      <w:r>
        <w:rPr>
          <w:b/>
        </w:rPr>
        <w:t>dans les 72 heures</w:t>
      </w:r>
      <w:r>
        <w:t xml:space="preserve"> suivant l'accouchement (ou événement immunogène) ; au-delà, l'efficacité décroît rapidement (-50 % à 96 h, -80 % à 7 jours). La patiente RhD− doit être informée dès la première consultation prénatale de cette contrainte temporelle.</w:t>
      </w:r>
    </w:p>
    <w:p>
      <w:pPr>
        <w:pStyle w:val="ListNumber"/>
      </w:pPr>
      <w:r/>
      <w:r>
        <w:rPr>
          <w:b/>
        </w:rPr>
        <w:t>Anti-D — Prophylaxie systématique à 28 SA</w:t>
      </w:r>
      <w:r>
        <w:t xml:space="preserve"> : la recommandation HAS/ANSM de prophylaxie anténatale systématique à 28 SA (en plus de la prophylaxie post-partum) réduit le risque d'immunisation de 1-2 % (post-partum seul) à &lt; 0,1 %. Cette pratique reste sous-appliquée en Algérie hors des grands centres urbains.</w:t>
      </w:r>
    </w:p>
    <w:p>
      <w:pPr>
        <w:pStyle w:val="ListNumber"/>
      </w:pPr>
      <w:r/>
      <w:r>
        <w:rPr>
          <w:b/>
        </w:rPr>
        <w:t>Anti-HBs — Schéma combiné obligatoire chez le nouveau-né de mère AgHBs+</w:t>
      </w:r>
      <w:r>
        <w:t xml:space="preserve"> : IgHBs 30 UI IM à la naissance (H0-H12) + vaccin VHB 10 µg IM en site séparé + 2ᵉ et 3ᵉ doses vaccinales à 1 et 6 mois. Ce schéma réduit le risque de transmission verticale de 90 % à &lt; 5 %. Le dépistage prénatal AgHBs est obligatoire en Algérie.</w:t>
      </w:r>
    </w:p>
    <w:p>
      <w:pPr>
        <w:pStyle w:val="ListNumber"/>
      </w:pPr>
      <w:r/>
      <w:r>
        <w:rPr>
          <w:b/>
        </w:rPr>
        <w:t>Anti-HBs — Voie IM ≠ voie IV</w:t>
      </w:r>
      <w:r>
        <w:t xml:space="preserve"> : FOVEPTA et Hepatitis B P Behring sont strictement IM ; HEPATECT CP est strictement IV. Ne jamais inverser (risque de choc anaphylactoïde ou d'inefficacité).</w:t>
      </w:r>
    </w:p>
    <w:p>
      <w:pPr>
        <w:pStyle w:val="ListNumber"/>
      </w:pPr>
      <w:r/>
      <w:r>
        <w:rPr>
          <w:b/>
        </w:rPr>
        <w:t>Albumine — Surcharge volémique (piège majeur)</w:t>
      </w:r>
      <w:r>
        <w:t xml:space="preserve"> : CI absolue en cas d'IC sévère décompensée, d'OAP cardiogénique, d'hypervolémie. Surveillance TA, FC, ECG, diurèse obligatoire pendant la perfusion. Débit ≤ 1-2 mL/min adulte.</w:t>
      </w:r>
    </w:p>
    <w:p>
      <w:pPr>
        <w:pStyle w:val="ListNumber"/>
      </w:pPr>
      <w:r/>
      <w:r>
        <w:rPr>
          <w:b/>
        </w:rPr>
        <w:t>Albumine — Prévention post-paracentèse</w:t>
      </w:r>
      <w:r>
        <w:t xml:space="preserve"> : 6-8 g d'albumine 20 % par litre d'ascite évacuée au-delà de 5 L (recommandations EASL/Baveno VII) — ne pas oublier sinon hypovolémie post-paracentèse, IRA fonctionnelle.</w:t>
      </w:r>
    </w:p>
    <w:p>
      <w:pPr>
        <w:pStyle w:val="ListNumber"/>
      </w:pPr>
      <w:r/>
      <w:r>
        <w:rPr>
          <w:b/>
        </w:rPr>
        <w:t>PCC — Risque thromboembolique (piège majeur)</w:t>
      </w:r>
      <w:r>
        <w:t xml:space="preserve"> : 2-5 % des cas (TVP, EP, AVC, IDM), surtout si dose &gt; 50 UI/kg, sujet âgé, cancer. Surveillance INR 30min/6h/12h/24h + ECG + D-dimères. Dose maximale 3000 UI/jour.</w:t>
      </w:r>
    </w:p>
    <w:p>
      <w:pPr>
        <w:pStyle w:val="ListNumber"/>
      </w:pPr>
      <w:r/>
      <w:r>
        <w:rPr>
          <w:b/>
        </w:rPr>
        <w:t>PCC — Association systématique avec vitamine K1</w:t>
      </w:r>
      <w:r>
        <w:t xml:space="preserve"> : 10 mg IV lent ou per os. Sans vitamine K1 associée, l'effet du PCC se dissipe en 6-8 h (récidive hémorragique possible).</w:t>
      </w:r>
    </w:p>
    <w:p>
      <w:pPr>
        <w:pStyle w:val="ListNumber"/>
      </w:pPr>
      <w:r/>
      <w:r>
        <w:rPr>
          <w:b/>
        </w:rPr>
        <w:t>PCC — TIH (thrombopénie induite par l'héparine)</w:t>
      </w:r>
      <w:r>
        <w:t xml:space="preserve"> : Octaplex contient de l'héparine — CI absolue si antécédent de TIH. Surveiller plaquettes à J0, J3, J7, J14.</w:t>
      </w:r>
    </w:p>
    <w:p>
      <w:pPr>
        <w:pStyle w:val="ListNumber"/>
      </w:pPr>
      <w:r/>
      <w:r>
        <w:rPr>
          <w:b/>
        </w:rPr>
        <w:t>Traçabilité nominative</w:t>
      </w:r>
      <w:r>
        <w:t xml:space="preserve"> : tous les 4 produits nécessitent un enregistrement nominatif (receveur, lot, date) dans le registre hémovigilance hospitalier et le registre national des produits sanguins du CNTS. Le pharmacien d'officina doit vérifier la traçabilité des spécialités éventuellement délivrées en ville (albumine principalement).</w:t>
      </w:r>
    </w:p>
    <w:p>
      <w:pPr>
        <w:pStyle w:val="Heading3"/>
      </w:pPr>
      <w:r>
        <w:t>4. Algorithmes décisionnels cliniques</w:t>
      </w:r>
    </w:p>
    <w:p>
      <w:r/>
      <w:r>
        <w:rPr>
          <w:b/>
        </w:rPr>
        <w:t>Algorithme 1 — Femme RhD− enceinte :</w:t>
      </w:r>
      <w:r/>
    </w:p>
    <w:p>
      <w:pPr>
        <w:pStyle w:val="ListBullet"/>
      </w:pPr>
      <w:r>
        <w:t>1ʳᵉ consultation prénatale : RAI + groupe sanguin + RhD + Kell.</w:t>
      </w:r>
    </w:p>
    <w:p>
      <w:pPr>
        <w:pStyle w:val="ListBullet"/>
      </w:pPr>
      <w:r>
        <w:t>À 28 SA : RAI de contrôle + si négative, injection IgG anti-D 1500 UI IM (RHOPHYLAC 300).</w:t>
      </w:r>
    </w:p>
    <w:p>
      <w:pPr>
        <w:pStyle w:val="ListBullet"/>
      </w:pPr>
      <w:r>
        <w:t>Événement immunogène (amniocentèse, traumatisme, saignement) : IgG anti-D selon terme.</w:t>
      </w:r>
    </w:p>
    <w:p>
      <w:pPr>
        <w:pStyle w:val="ListBullet"/>
      </w:pPr>
      <w:r>
        <w:t>À l'accouchement : vérifier RhD enfant ; si enfant RhD+, injection IgG anti-D 1500 UI IM dans les 72 h.</w:t>
      </w:r>
    </w:p>
    <w:p>
      <w:r/>
      <w:r>
        <w:rPr>
          <w:b/>
        </w:rPr>
        <w:t>Algorithme 2 — Sujet exposé au VHB (AES ou sexuel) :</w:t>
      </w:r>
      <w:r/>
    </w:p>
    <w:p>
      <w:pPr>
        <w:pStyle w:val="ListBullet"/>
      </w:pPr>
      <w:r>
        <w:t>Évaluer statut vaccinal et taux anti-HBs du sujet exposé.</w:t>
      </w:r>
    </w:p>
    <w:p>
      <w:pPr>
        <w:pStyle w:val="ListBullet"/>
      </w:pPr>
      <w:r>
        <w:t>Si anti-HBs ≥ 10 UI/L documenté récent : pas d'IgHBs, contrôle sérologique à 3 mois.</w:t>
      </w:r>
    </w:p>
    <w:p>
      <w:pPr>
        <w:pStyle w:val="ListBullet"/>
      </w:pPr>
      <w:r>
        <w:t>Si anti-HBs &lt; 10 UI/L ou statut inconnu : IgHBs 500 UI IM ASAP (&lt; 24 h) + vaccin VHB en site séparé + 2ᵉ et 3ᵉ doses vaccinales.</w:t>
      </w:r>
    </w:p>
    <w:p>
      <w:pPr>
        <w:pStyle w:val="ListBullet"/>
      </w:pPr>
      <w:r>
        <w:t>Nouveau-né de mère AgHBs+ : IgHBs 30 UI IM H0-H12 + vaccin VHB 10 µg IM autre site, contrôle à 9-12 mois.</w:t>
      </w:r>
    </w:p>
    <w:p>
      <w:r/>
      <w:r>
        <w:rPr>
          <w:b/>
        </w:rPr>
        <w:t>Algorithme 3 — Hémorragie grave sous AVK :</w:t>
      </w:r>
      <w:r/>
    </w:p>
    <w:p>
      <w:pPr>
        <w:pStyle w:val="ListBullet"/>
      </w:pPr>
      <w:r>
        <w:t>Arrêt immédiat des AVK.</w:t>
      </w:r>
    </w:p>
    <w:p>
      <w:pPr>
        <w:pStyle w:val="ListBullet"/>
      </w:pPr>
      <w:r>
        <w:t>Bilan biologique urgent : TP-INR, TCA, fibrinogène, NFS, plaquettes.</w:t>
      </w:r>
    </w:p>
    <w:p>
      <w:pPr>
        <w:pStyle w:val="ListBullet"/>
      </w:pPr>
      <w:r>
        <w:t>PCC 25-50 UI/kg IV lente (perfusion 5-10 min) selon INR initial.</w:t>
      </w:r>
    </w:p>
    <w:p>
      <w:pPr>
        <w:pStyle w:val="ListBullet"/>
      </w:pPr>
      <w:r>
        <w:t>Vitamine K1 10 mg IV lent (1 mg/min).</w:t>
      </w:r>
    </w:p>
    <w:p>
      <w:pPr>
        <w:pStyle w:val="ListBullet"/>
      </w:pPr>
      <w:r>
        <w:t>Surveillance INR 30 min, 6 h, 12 h, 24 h.</w:t>
      </w:r>
    </w:p>
    <w:p>
      <w:pPr>
        <w:pStyle w:val="ListBullet"/>
      </w:pPr>
      <w:r>
        <w:t>Si hémorragie persistante : second PCC 25 UI/kg, débat transfusionnel (CGR, PFC).</w:t>
      </w:r>
    </w:p>
    <w:p>
      <w:pPr>
        <w:pStyle w:val="ListBullet"/>
      </w:pPr>
      <w:r>
        <w:t>Prévention thromboembolique à distance (J+3 à J+5 selon contexte) : HBPM dose préventive.</w:t>
      </w:r>
    </w:p>
    <w:p>
      <w:r/>
      <w:r>
        <w:rPr>
          <w:b/>
        </w:rPr>
        <w:t>Algorithme 4 — Cirrhose décompensée avec ascite &gt; 5 L :</w:t>
      </w:r>
      <w:r/>
    </w:p>
    <w:p>
      <w:pPr>
        <w:pStyle w:val="ListBullet"/>
      </w:pPr>
      <w:r>
        <w:t>Paracentèse évacuatrice prudente.</w:t>
      </w:r>
    </w:p>
    <w:p>
      <w:pPr>
        <w:pStyle w:val="ListBullet"/>
      </w:pPr>
      <w:r>
        <w:t xml:space="preserve">Albumine 20 % : </w:t>
      </w:r>
      <w:r>
        <w:rPr>
          <w:b/>
        </w:rPr>
        <w:t>6-8 g par litre d'ascite au-delà de 5 L</w:t>
      </w:r>
      <w:r>
        <w:t xml:space="preserve"> (soit 30-40 mL d'albumine 20 % par litre excédentaire).</w:t>
      </w:r>
    </w:p>
    <w:p>
      <w:pPr>
        <w:pStyle w:val="ListBullet"/>
      </w:pPr>
      <w:r>
        <w:t>Surveillance TA, FC, diurèse.</w:t>
      </w:r>
    </w:p>
    <w:p>
      <w:pPr>
        <w:pStyle w:val="ListBullet"/>
      </w:pPr>
      <w:r>
        <w:t>Si SHR : associer terlipressine + albumine 20-40 g/j.</w:t>
      </w:r>
    </w:p>
    <w:p>
      <w:pPr>
        <w:pStyle w:val="Heading3"/>
      </w:pPr>
      <w:r>
        <w:t>5. Erreurs fréquentes et pièges à éviter</w:t>
      </w:r>
    </w:p>
    <w:p>
      <w:pPr>
        <w:pStyle w:val="ListNumber"/>
      </w:pPr>
      <w:r/>
      <w:r>
        <w:rPr>
          <w:b/>
        </w:rPr>
        <w:t>Voie IM administrée par erreur en IV</w:t>
      </w:r>
      <w:r>
        <w:t xml:space="preserve"> (anti-D, anti-HBs IM) : risque de choc anaphylactoïde grave. Toujours vérifier la spécialité et la voie autorisée avant administration.</w:t>
      </w:r>
    </w:p>
    <w:p>
      <w:pPr>
        <w:pStyle w:val="ListNumber"/>
      </w:pPr>
      <w:r/>
      <w:r>
        <w:rPr>
          <w:b/>
        </w:rPr>
        <w:t>Voie IV administrée par erreur en IM</w:t>
      </w:r>
      <w:r>
        <w:t xml:space="preserve"> (HEPATECT CP, PCC) : inefficacité, nécrose tissulaire.</w:t>
      </w:r>
    </w:p>
    <w:p>
      <w:pPr>
        <w:pStyle w:val="ListNumber"/>
      </w:pPr>
      <w:r/>
      <w:r>
        <w:rPr>
          <w:b/>
        </w:rPr>
        <w:t>Albumine en perfusion trop rapide</w:t>
      </w:r>
      <w:r>
        <w:t xml:space="preserve"> : surcharge volémique aiguë, OAP, IC décompensée. Respecter débit 1-2 mL/min.</w:t>
      </w:r>
    </w:p>
    <w:p>
      <w:pPr>
        <w:pStyle w:val="ListNumber"/>
      </w:pPr>
      <w:r/>
      <w:r>
        <w:rPr>
          <w:b/>
        </w:rPr>
        <w:t>PCC sans vitamine K1 associée</w:t>
      </w:r>
      <w:r>
        <w:t xml:space="preserve"> : récidive hémorragique à 6-8 h.</w:t>
      </w:r>
    </w:p>
    <w:p>
      <w:pPr>
        <w:pStyle w:val="ListNumber"/>
      </w:pPr>
      <w:r/>
      <w:r>
        <w:rPr>
          <w:b/>
        </w:rPr>
        <w:t>PCC en cas de TIH</w:t>
      </w:r>
      <w:r>
        <w:t xml:space="preserve"> : Octaplex contient de l'héparine — CI absolue.</w:t>
      </w:r>
    </w:p>
    <w:p>
      <w:pPr>
        <w:pStyle w:val="ListNumber"/>
      </w:pPr>
      <w:r/>
      <w:r>
        <w:rPr>
          <w:b/>
        </w:rPr>
        <w:t>Albumine en cas d'IC sévère</w:t>
      </w:r>
      <w:r>
        <w:t xml:space="preserve"> : surcharge volémique décompensée, OAP.</w:t>
      </w:r>
    </w:p>
    <w:p>
      <w:pPr>
        <w:pStyle w:val="ListNumber"/>
      </w:pPr>
      <w:r/>
      <w:r>
        <w:rPr>
          <w:b/>
        </w:rPr>
        <w:t>Anti-D au-delà de 72 h post-partum</w:t>
      </w:r>
      <w:r>
        <w:t xml:space="preserve"> : efficacité réduite (mais à administrer tout de même, l'efficacité résiduelle existe jusqu'à 10 jours).</w:t>
      </w:r>
    </w:p>
    <w:p>
      <w:pPr>
        <w:pStyle w:val="ListNumber"/>
      </w:pPr>
      <w:r/>
      <w:r>
        <w:rPr>
          <w:b/>
        </w:rPr>
        <w:t>Anti-HBs chez sujet déjà immunisé</w:t>
      </w:r>
      <w:r>
        <w:t xml:space="preserve"> (anti-HBs ≥ 10 UI/L récent) : inutile, sauf si exposition récente documentée à risque très élevé.</w:t>
      </w:r>
    </w:p>
    <w:p>
      <w:pPr>
        <w:pStyle w:val="ListNumber"/>
      </w:pPr>
      <w:r/>
      <w:r>
        <w:rPr>
          <w:b/>
        </w:rPr>
        <w:t>Confusion entre Ig anti-D (obstétricale), Ig anti-HBs (infectieuse), Ig polyvalente IV (immunologique) :</w:t>
      </w:r>
      <w:r>
        <w:t xml:space="preserve"> DCI et indications totalement différentes.</w:t>
      </w:r>
    </w:p>
    <w:p>
      <w:pPr>
        <w:pStyle w:val="ListNumber"/>
      </w:pPr>
      <w:r/>
      <w:r>
        <w:rPr>
          <w:b/>
        </w:rPr>
        <w:t>PCC pour antagoniser un AOD</w:t>
      </w:r>
      <w:r>
        <w:t xml:space="preserve"> (apixaban, rivaroxaban, dabigatran) : inefficacité relative (Andexanet alpha ou Idarucizumab préférables si disponibles).</w:t>
      </w:r>
    </w:p>
    <w:p>
      <w:pPr>
        <w:pStyle w:val="Heading3"/>
      </w:pPr>
      <w:r>
        <w:t>6. Conseils pratiques au comptoir</w:t>
      </w:r>
    </w:p>
    <w:p>
      <w:pPr>
        <w:pStyle w:val="ListBullet"/>
      </w:pPr>
      <w:r/>
      <w:r>
        <w:rPr>
          <w:b/>
        </w:rPr>
        <w:t>Vérifier systématiquement la chaîne du froid</w:t>
      </w:r>
      <w:r>
        <w:t xml:space="preserve"> (+2 à +8 °C) pour les immunoglobulines et le PCC. L'albumine peut être conservée à température ambiante ≤ 25 °C.</w:t>
      </w:r>
    </w:p>
    <w:p>
      <w:pPr>
        <w:pStyle w:val="ListBullet"/>
      </w:pPr>
      <w:r/>
      <w:r>
        <w:rPr>
          <w:b/>
        </w:rPr>
        <w:t>Vérifier l'aspect de la solution</w:t>
      </w:r>
      <w:r>
        <w:t xml:space="preserve"> avant emploi (limpide, sans trouble, sans flocons, couleur conforme).</w:t>
      </w:r>
    </w:p>
    <w:p>
      <w:pPr>
        <w:pStyle w:val="ListBullet"/>
      </w:pPr>
      <w:r/>
      <w:r>
        <w:rPr>
          <w:b/>
        </w:rPr>
        <w:t>Respecter les dates de péremption</w:t>
      </w:r>
      <w:r>
        <w:t xml:space="preserve"> — produits sanguins stables avec dates strictes.</w:t>
      </w:r>
    </w:p>
    <w:p>
      <w:pPr>
        <w:pStyle w:val="ListBullet"/>
      </w:pPr>
      <w:r/>
      <w:r>
        <w:rPr>
          <w:b/>
        </w:rPr>
        <w:t>Déclarer toute réaction indésirable</w:t>
      </w:r>
      <w:r>
        <w:t xml:space="preserve"> au centre national de pharmacovigilance et au CNTS (hémovigilance).</w:t>
      </w:r>
    </w:p>
    <w:p>
      <w:pPr>
        <w:pStyle w:val="ListBullet"/>
      </w:pPr>
      <w:r/>
      <w:r>
        <w:rPr>
          <w:b/>
        </w:rPr>
        <w:t>Ne jamais délivrer sans ordonnance</w:t>
      </w:r>
      <w:r>
        <w:t xml:space="preserve"> (Liste I) et </w:t>
      </w:r>
      <w:r>
        <w:rPr>
          <w:b/>
        </w:rPr>
        <w:t>vérifier l'identité du prescripteur</w:t>
      </w:r>
      <w:r>
        <w:t xml:space="preserve"> (spécialiste hospitalier principalement).</w:t>
      </w:r>
    </w:p>
    <w:p>
      <w:pPr>
        <w:pStyle w:val="ListBullet"/>
      </w:pPr>
      <w:r/>
      <w:r>
        <w:rPr>
          <w:b/>
        </w:rPr>
        <w:t>Conseils aux patientes RhD−</w:t>
      </w:r>
      <w:r>
        <w:t xml:space="preserve"> : informer de la nécessité d'une injection à 28 SA et dans les 72 h post-partum, remettre une carte de groupe sanguin avec mention "RhD−, nécessite immunoglobuline anti-D à 28 SA et en post-partum".</w:t>
      </w:r>
    </w:p>
    <w:p>
      <w:pPr>
        <w:pStyle w:val="Heading3"/>
      </w:pPr>
      <w:r>
        <w:t>7. Spécificités algériennes à retenir</w:t>
      </w:r>
    </w:p>
    <w:p>
      <w:pPr>
        <w:pStyle w:val="ListBullet"/>
      </w:pPr>
      <w:r/>
      <w:r>
        <w:rPr>
          <w:b/>
        </w:rPr>
        <w:t>Production locale</w:t>
      </w:r>
      <w:r>
        <w:t xml:space="preserve"> : seule l'</w:t>
      </w:r>
      <w:r>
        <w:rPr>
          <w:b/>
        </w:rPr>
        <w:t>albumine humaine (ALBUREL — CPCM/Saidal)</w:t>
      </w:r>
      <w:r>
        <w:t xml:space="preserve"> est produite localement. Toutes les autres spécialités sont importées (CSL Behring, Biotest, Octapharma, LFB, Grifols, Baxter, SK Plasma, Bharat, Medicuba/Farmacuba).</w:t>
      </w:r>
    </w:p>
    <w:p>
      <w:pPr>
        <w:pStyle w:val="ListBullet"/>
      </w:pPr>
      <w:r/>
      <w:r>
        <w:rPr>
          <w:b/>
        </w:rPr>
        <w:t>Disponibilité inégale</w:t>
      </w:r>
      <w:r>
        <w:t xml:space="preserve"> : le PCC (OCTAPLEX) n'est disponible qu'en milieu hospitalier (services de réanimation, urgences, neurochirurgie). L'accès en zone rurale est limité.</w:t>
      </w:r>
    </w:p>
    <w:p>
      <w:pPr>
        <w:pStyle w:val="ListBullet"/>
      </w:pPr>
      <w:r/>
      <w:r>
        <w:rPr>
          <w:b/>
        </w:rPr>
        <w:t>Prophylaxie anti-D systématique à 28 SA</w:t>
      </w:r>
      <w:r>
        <w:t xml:space="preserve"> : recommandation HAS mais application inégale en Algérie hors des grandes maternités urbaines. Le rôle du pharmacien d'officina est de sensibiliser les patientes RhD− à cette prophylaxie.</w:t>
      </w:r>
    </w:p>
    <w:p>
      <w:pPr>
        <w:pStyle w:val="ListBullet"/>
      </w:pPr>
      <w:r/>
      <w:r>
        <w:rPr>
          <w:b/>
        </w:rPr>
        <w:t>Dépistage prénatal AgHBs</w:t>
      </w:r>
      <w:r>
        <w:t xml:space="preserve"> : obligatoire en Algérie au 3e mois de grossesse. Schéma combiné IgHBs + vaccin à la naissance pour les nouveau-nés de mères AgHBs+.</w:t>
      </w:r>
    </w:p>
    <w:p>
      <w:pPr>
        <w:pStyle w:val="ListBullet"/>
      </w:pPr>
      <w:r/>
      <w:r>
        <w:rPr>
          <w:b/>
        </w:rPr>
        <w:t>Système national de traçabilité</w:t>
      </w:r>
      <w:r>
        <w:t xml:space="preserve"> : registre du CNTS (Centre National de Transfusion Sanguine) obligatoire pour tous les produits sanguins stables, à la fois pour le traçage donneur-receveur et la pharmacovigilance.</w:t>
      </w:r>
    </w:p>
    <w:p>
      <w:pPr>
        <w:pStyle w:val="Heading3"/>
      </w:pPr>
      <w:r>
        <w:t>8. Implications pour la recherche et la pratique future</w:t>
      </w:r>
    </w:p>
    <w:p>
      <w:pPr>
        <w:pStyle w:val="ListBullet"/>
      </w:pPr>
      <w:r/>
      <w:r>
        <w:rPr>
          <w:b/>
        </w:rPr>
        <w:t>Élargissement du programme de prophylaxie anti-D systématique</w:t>
      </w:r>
      <w:r>
        <w:t xml:space="preserve"> à l'ensemble du territoire algérien (formation des sages-femmes rurales, disponibilité de la spécialité RHOPHYLAC 300).</w:t>
      </w:r>
    </w:p>
    <w:p>
      <w:pPr>
        <w:pStyle w:val="ListBullet"/>
      </w:pPr>
      <w:r/>
      <w:r>
        <w:rPr>
          <w:b/>
        </w:rPr>
        <w:t>Développement d'un PCC sans héparine</w:t>
      </w:r>
      <w:r>
        <w:t xml:space="preserve"> (alternatives pour patients aux antécédents de TIH).</w:t>
      </w:r>
    </w:p>
    <w:p>
      <w:pPr>
        <w:pStyle w:val="ListBullet"/>
      </w:pPr>
      <w:r/>
      <w:r>
        <w:rPr>
          <w:b/>
        </w:rPr>
        <w:t>Évaluation de l'efficacité en vie réelle</w:t>
      </w:r>
      <w:r>
        <w:t xml:space="preserve"> des stratégies combinées IgHBs + vaccin VHB dans la prévention de la transmission verticale du VHB en Algérie.</w:t>
      </w:r>
    </w:p>
    <w:p>
      <w:pPr>
        <w:pStyle w:val="ListBullet"/>
      </w:pPr>
      <w:r/>
      <w:r>
        <w:rPr>
          <w:b/>
        </w:rPr>
        <w:t>Études pharmaco-économiques</w:t>
      </w:r>
      <w:r>
        <w:t xml:space="preserve"> comparant l'albumine humaine aux cristalloïdes dans le choc septique (Surviving Sepsis Campaign 2021).</w:t>
      </w:r>
    </w:p>
    <w:p>
      <w:pPr>
        <w:pStyle w:val="Heading2"/>
      </w:pPr>
      <w:r>
        <w:t>173.9. Conclusion du chapitre 173</w:t>
      </w:r>
    </w:p>
    <w:p>
      <w:r>
        <w:t>Le chapitre 173 a traité quatre classes pharmacologiques de produits sanguins stables essentiels à la pratique clinique algérienne :</w:t>
      </w:r>
    </w:p>
    <w:p>
      <w:pPr>
        <w:pStyle w:val="ListNumber"/>
      </w:pPr>
      <w:r/>
      <w:r>
        <w:rPr>
          <w:b/>
        </w:rPr>
        <w:t>Immunoglobulines spécifiques anti-D</w:t>
      </w:r>
      <w:r>
        <w:t xml:space="preserve"> pour la prévention de l'immunisation feto-maternelle Rhésus D, avec une importance critique de la prophylaxie systématique à 28 SA et post-partum 72 h.</w:t>
      </w:r>
    </w:p>
    <w:p>
      <w:pPr>
        <w:pStyle w:val="ListNumber"/>
      </w:pPr>
      <w:r/>
      <w:r>
        <w:rPr>
          <w:b/>
        </w:rPr>
        <w:t>Immunoglobulines spécifiques anti-HBs</w:t>
      </w:r>
      <w:r>
        <w:t xml:space="preserve"> pour la prophylaxie post-exposition au VHB, avec un schéma combiné obligatoire (IgHBs + vaccin) chez le nouveau-né de mère AgHBs+ pour réduire le risque de transmission verticale à &lt; 5 %.</w:t>
      </w:r>
    </w:p>
    <w:p>
      <w:pPr>
        <w:pStyle w:val="ListNumber"/>
      </w:pPr>
      <w:r/>
      <w:r>
        <w:rPr>
          <w:b/>
        </w:rPr>
        <w:t>Albumine humaine 20 %</w:t>
      </w:r>
      <w:r>
        <w:t xml:space="preserve"> pour l'expansion volémique oncotique, l'hypoalbuminémie symptomatique et la prévention de l'hypovolémie post-paracentèse, avec un risque majeur de surcharge volémique en cas d'IC sous-jacente.</w:t>
      </w:r>
    </w:p>
    <w:p>
      <w:pPr>
        <w:pStyle w:val="ListNumber"/>
      </w:pPr>
      <w:r/>
      <w:r>
        <w:rPr>
          <w:b/>
        </w:rPr>
        <w:t>Complexe humain plasmatique prothrombinique (PCC Octaplex)</w:t>
      </w:r>
      <w:r>
        <w:t xml:space="preserve"> pour l'antagonisation d'urgence des AVK en cas d'hémorragie grave, avec un risque thromboembolique non négligeable (2-5 %) et l'obligation d'associer la vitamine K1.</w:t>
      </w:r>
    </w:p>
    <w:p>
      <w:r>
        <w:t>Chaque produit répond à une logique pharmacologique spécifique (saturation antigénique pour les Ig spécifiques, pression oncotique pour l'albumine, apport de facteurs de coagulation pour le PCC), mais partage un cadre réglementaire commun (médicaments dérivés du sang, Liste I, traçabilité nominative, sécurité virale multi-niveau). La maîtrise de ces produits est essentielle pour le pharmacien d'officine et hospitalier algérien, qui joue un rôle clé dans la dispensation, le conseil pharmaceutique, et la pharmacovigilance.</w:t>
      </w:r>
    </w:p>
    <w:p>
      <w:r>
        <w:t xml:space="preserve">La suite du Fascicule XVIII traitera des </w:t>
      </w:r>
      <w:r>
        <w:rPr>
          <w:b/>
        </w:rPr>
        <w:t>vaccins</w:t>
      </w:r>
      <w:r>
        <w:t xml:space="preserve"> (chapitre 174), complétant ainsi le triptyque immunologique (immunosuppresseurs → IgIV → Ig spécifiques/substituts plasmatiques → vaccins).</w:t>
      </w:r>
    </w:p>
    <w:p>
      <w:r/>
      <w:r>
        <w:rPr>
          <w:b/>
        </w:rPr>
        <w:t>Sources mobilisées pour ce chapitre :</w:t>
      </w:r>
      <w:r/>
    </w:p>
    <w:p>
      <w:pPr>
        <w:pStyle w:val="ListBullet"/>
      </w:pPr>
      <w:r/>
      <w:r>
        <w:rPr>
          <w:b/>
        </w:rPr>
        <w:t>VIDAL</w:t>
      </w:r>
      <w:r>
        <w:t xml:space="preserve"> (Vidal 2024) — Résumés des caractéristiques des produits (RCP) des spécialités RHOPHYLAC 300, RHOCLONE, HEPATECT CP, FOVEPTA, Hepatitis B P Behring, VIALEBEX, ALBUREL, ALBUTEN 20 %, HUMAN ALBUMIN BEHRING 20 %, OCTAPLEX.</w:t>
      </w:r>
    </w:p>
    <w:p>
      <w:pPr>
        <w:pStyle w:val="ListBullet"/>
      </w:pPr>
      <w:r/>
      <w:r>
        <w:rPr>
          <w:b/>
        </w:rPr>
        <w:t>ANSM</w:t>
      </w:r>
      <w:r>
        <w:t xml:space="preserve"> (Agence Nationale de Sécurité du Médicament et des produits de santé) — recommandations sur les médicaments dérivés du sang, hémovigilance.</w:t>
      </w:r>
    </w:p>
    <w:p>
      <w:pPr>
        <w:pStyle w:val="ListBullet"/>
      </w:pPr>
      <w:r/>
      <w:r>
        <w:rPr>
          <w:b/>
        </w:rPr>
        <w:t>Thériaque</w:t>
      </w:r>
      <w:r>
        <w:t xml:space="preserve"> — base de données française des médicaments et produits de santé.</w:t>
      </w:r>
    </w:p>
    <w:p>
      <w:pPr>
        <w:pStyle w:val="ListBullet"/>
      </w:pPr>
      <w:r/>
      <w:r>
        <w:rPr>
          <w:b/>
        </w:rPr>
        <w:t>CRAT</w:t>
      </w:r>
      <w:r>
        <w:t xml:space="preserve"> (Centre de Référence sur les Agents Tératogènes) — fiches "Immunoglobulines anti-D", "Immunoglobulines anti-hépatite B", "Albumine humaine", "Complexe prothrombinique", "Antivitamines K", "Vitamine K1".</w:t>
      </w:r>
    </w:p>
    <w:p>
      <w:pPr>
        <w:pStyle w:val="ListBullet"/>
      </w:pPr>
      <w:r/>
      <w:r>
        <w:rPr>
          <w:b/>
        </w:rPr>
        <w:t>UpToDate</w:t>
      </w:r>
      <w:r>
        <w:t xml:space="preserve"> — chapitres "Prevention of Rh(D) alloimmunization", "Post-exposure prophylaxis against HBV", "Human albumin administration in critically ill patients", "Reversal of anticoagulation in life-threatening bleeding".</w:t>
      </w:r>
    </w:p>
    <w:p>
      <w:pPr>
        <w:pStyle w:val="ListBullet"/>
      </w:pPr>
      <w:r/>
      <w:r>
        <w:rPr>
          <w:b/>
        </w:rPr>
        <w:t>Surviving Sepsis Campaign 2021</w:t>
      </w:r>
      <w:r>
        <w:t xml:space="preserve"> — recommandations sur l'albumine dans le choc septique.</w:t>
      </w:r>
    </w:p>
    <w:p>
      <w:pPr>
        <w:pStyle w:val="ListBullet"/>
      </w:pPr>
      <w:r/>
      <w:r>
        <w:rPr>
          <w:b/>
        </w:rPr>
        <w:t>EASL/Baveno VII</w:t>
      </w:r>
      <w:r>
        <w:t xml:space="preserve"> — recommandations sur la cirrhose décompensée, paracentèse, syndrome hépato-rénal.</w:t>
      </w:r>
    </w:p>
    <w:p>
      <w:pPr>
        <w:pStyle w:val="ListBullet"/>
      </w:pPr>
      <w:r/>
      <w:r>
        <w:rPr>
          <w:b/>
        </w:rPr>
        <w:t>OMS</w:t>
      </w:r>
      <w:r>
        <w:t xml:space="preserve"> — guide sur la prévention de la transmission verticale du VHB.</w:t>
      </w:r>
    </w:p>
    <w:p>
      <w:pPr>
        <w:pStyle w:val="ListBullet"/>
      </w:pPr>
      <w:r/>
      <w:r>
        <w:rPr>
          <w:b/>
        </w:rPr>
        <w:t>CNTS Algérie</w:t>
      </w:r>
      <w:r>
        <w:t xml:space="preserve"> — Centre National de Transfusion Sanguine, recommandations nationales sur la traçabilité des produits sanguins stables.</w:t>
      </w:r>
    </w:p>
    <w:p>
      <w:pPr>
        <w:pStyle w:val="ListBullet"/>
      </w:pPr>
      <w:r/>
      <w:r>
        <w:rPr>
          <w:b/>
        </w:rPr>
        <w:t>Fascicule nomenclature algérienne Avril 2026</w:t>
      </w:r>
      <w:r>
        <w:t xml:space="preserve"> — fichier officiel "COMPLETE LISTE.xlsx" pour la liste exhaustive des spécialités commercialisées.</w:t>
      </w:r>
    </w:p>
    <w:p>
      <w:r/>
      <w:r>
        <w:rPr>
          <w:i/>
        </w:rPr>
        <w:t>Fin du chapitre 173 — Immunoglobulines spécifiques et substituts plasmatiques.</w:t>
      </w:r>
      <w:r/>
    </w:p>
    <w:p>
      <w:pPr>
        <w:pStyle w:val="Heading1"/>
      </w:pPr>
      <w:r>
        <w:t>SECTION 174 — VACCINS (Fascicule XVIII — Immunologie/Transplantation, Chapitre Final)</w:t>
      </w:r>
    </w:p>
    <w:p>
      <w:pPr>
        <w:pStyle w:val="Heading2"/>
      </w:pPr>
      <w:r>
        <w:t>174.0 Introduction générale du chapitre</w:t>
      </w:r>
    </w:p>
    <w:p>
      <w:r>
        <w:t>La vaccination constitue l'une des plus grandes réussites de la médecine moderne et reste, en termes de santé publique, l'intervention médicale la plus rentable jamais développée. L'Organisation mondiale de la Santé (OMS) estime que la vaccination évite chaque année entre 3,5 et 5 millions de décès dans le monde, principalement par la prévention de la rougeole, du tétanos, de la coqueluche, de la grippe saisonnière et des pneumonies à pneumocoque. Le présent chapitre clôt le Fascicule XVIII consacré à l'immunologie et à la transplantation, et aborde les sept principales classes de vaccins disponibles dans la nomenclature algérienne (Avril 2026) : vaccins vivants atténués (rougeole), vaccins recombinants (hépatite B), vaccins inactivés fragmentés (grippe saisonnière), vaccins conjugués (méningocoque ACWY), vaccins recombinants HPV (papillomavirus humain), vaccins polyosidiques (pneumocoque) et vaccins à ARNm ou vecteur viral (COVID-19).</w:t>
      </w:r>
    </w:p>
    <w:p>
      <w:r>
        <w:t xml:space="preserve">L'enseignement de la pharmacologie des vaccins s'écarte sensiblement de celui des autres classes médicamenteuses traitées dans les fascicules précédents. Contrairement à un antibiotique ou à un antihypertenseur, un vaccin ne traite pas une maladie déclarée : il </w:t>
      </w:r>
      <w:r>
        <w:rPr>
          <w:b/>
        </w:rPr>
        <w:t>prévient</w:t>
      </w:r>
      <w:r>
        <w:t xml:space="preserve"> une infection future en stimulant spécifiquement le système immunitaire adaptatif (lymphocytes B et T) afin de générer une mémoire immune protectrice. Le bénéfice clinique n'est observable qu'après un délai de plusieurs semaines et persiste généralement plusieurs années, parfois toute la vie entière. La pharmacocinétique classique (absorption, distribution, métabolisme, élimination) est ici reléguée au second plan : elle s'applique non pas à la molécule antigénique elle-même (qui disparaît en quelques jours), mais à la réponse immunologique induite (cinétique de production d'anticorps, génération de lymphocytes mémoires).</w:t>
      </w:r>
    </w:p>
    <w:p>
      <w:r>
        <w:t xml:space="preserve">Le pharmacien d'officine algérien joue un rôle central dans la chaîne vaccinale : il assure la </w:t>
      </w:r>
      <w:r>
        <w:rPr>
          <w:b/>
        </w:rPr>
        <w:t>conservation de la chaîne du froid</w:t>
      </w:r>
      <w:r>
        <w:t xml:space="preserve"> (+2 °C à +8 °C pour la quasi-totalité des vaccins, à l'exception notable du vaccin anti-amarile qui se conserve à −20 °C), il vérifie les </w:t>
      </w:r>
      <w:r>
        <w:rPr>
          <w:b/>
        </w:rPr>
        <w:t>contre-indications</w:t>
      </w:r>
      <w:r>
        <w:t xml:space="preserve"> (grossesse et immunodépression pour les vaccins vivants, allergies sévères pour les vaccins recombinants et ARNm), il participe au </w:t>
      </w:r>
      <w:r>
        <w:rPr>
          <w:b/>
        </w:rPr>
        <w:t>rappel du calendrier vaccinal</w:t>
      </w:r>
      <w:r>
        <w:t xml:space="preserve"> et il informe le patient sur les </w:t>
      </w:r>
      <w:r>
        <w:rPr>
          <w:b/>
        </w:rPr>
        <w:t>effets indésirables attendus</w:t>
      </w:r>
      <w:r>
        <w:t xml:space="preserve"> (fièvre modérée, réaction locale au point d'injection, myalgies, céphalées). Le présent chapitre aborde successivement chacune des sept sous-classes vaccinales présentes dans la nomenclature, en détaillant les mécanismes immunologiques, les particularités galéniques, les schémas posologiques, les contre-indications, les précautions d'usage et les pièges à éviter au comptoir.</w:t>
      </w:r>
    </w:p>
    <w:p>
      <w:r>
        <w:t>L'organisation pédagogique de la section suit l'ordre des sous-classes défini dans le fichier source nomenclature algérienne (Avril 2026) : Vivants atténués → Recombinants (HB) → Inactivés fragmentés (grippe) → Conjugués (méningocoque ACWY) → Recombinants (HPV) → Polyosidiques (pneumocoque) → ARNm/Vecteur viral (COVID-19). Chaque sous-classe est introduite par un panorama immunologique et technologique, puis développée au travers d'une fiche DCI détaillée respectant une structure normalisée en douze sections. Un tableau comparatif synthétique clôt le chapitre, accompagné d'une synthèse pédagogique transversale destinée à l'étudiant en pharmacie.</w:t>
      </w:r>
    </w:p>
    <w:p>
      <w:pPr>
        <w:pStyle w:val="Heading2"/>
      </w:pPr>
      <w:r>
        <w:t>174.1 Sous-classe : Vaccins vivants atténués</w:t>
      </w:r>
    </w:p>
    <w:p>
      <w:pPr>
        <w:pStyle w:val="Heading3"/>
      </w:pPr>
      <w:r>
        <w:t>Introduction à la sous-classe</w:t>
      </w:r>
    </w:p>
    <w:p>
      <w:r>
        <w:t xml:space="preserve">Les vaccins vivants atténués représentent la forme la plus ancienne et la plus immunogène de vaccination. Leur principe fondateur, initié par Edward Jenner en 1796 (vaccine anti-variolique) puis systématisé par Louis Pasteur à partir de 1885 (vaccin antirabique puis vaccin contre le charbon), consiste à administrer un micro-organisme vivant dont la </w:t>
      </w:r>
      <w:r>
        <w:rPr>
          <w:b/>
        </w:rPr>
        <w:t>virulence a été artificiellement réduite</w:t>
      </w:r>
      <w:r>
        <w:t xml:space="preserve"> par passages successifs sur cultures cellulaires, œufs embryonnés ou milieux non physiologiques. Le vaccin antirougeoleux, mis au point par John Enders en 1963 à partir de la souche Edmonston, en est l'archétype moderne : la souche virale, propagée pendant des dizaines de passages sur cellules embryonnaires de poulet puis sur cellules diploïdes humaines (WI-38), a perdu son pouvoir pathogène tout en conservant son intégrité antigénique et sa capacité de réplication.</w:t>
      </w:r>
    </w:p>
    <w:p>
      <w:r>
        <w:t xml:space="preserve">La caractéristique fondamentale des vaccins vivants atténués est leur capacité à </w:t>
      </w:r>
      <w:r>
        <w:rPr>
          <w:b/>
        </w:rPr>
        <w:t>se répliquer de manière limitée</w:t>
      </w:r>
      <w:r>
        <w:t xml:space="preserve"> dans l'organisme vacciné, générant ainsi une infection subclinique qui imite l'infection naturelle sans en provoquer la maladie. Cette réplication locale et régionale permet une présentation antigénique prolongée (plusieurs jours à semaines) au système immunitaire, aboutissant à une </w:t>
      </w:r>
      <w:r>
        <w:rPr>
          <w:b/>
        </w:rPr>
        <w:t>double réponse immunitaire humorale et cellulaire</w:t>
      </w:r>
      <w:r>
        <w:t xml:space="preserve"> : production d'immunoglobulines IgM puis IgG spécifiques (neutralisation, opsonisation, activation du complément), mais aussi induction de lymphocytes T CD4+ helper et CD8+ cytotoxiques capables de reconnaître et de détruire les cellules infectées. Cette double immunité confère aux vaccins vivants atténués une </w:t>
      </w:r>
      <w:r>
        <w:rPr>
          <w:b/>
        </w:rPr>
        <w:t>efficacité vaccinale exceptionnelle</w:t>
      </w:r>
      <w:r>
        <w:t xml:space="preserve">, souvent supérieure à 95 % après une à deux doses, et une </w:t>
      </w:r>
      <w:r>
        <w:rPr>
          <w:b/>
        </w:rPr>
        <w:t>durée de protection prolongée</w:t>
      </w:r>
      <w:r>
        <w:t>, parfois définitive (rougeole : 2 doses confèrent une protection à vie chez &gt; 97 % des vaccinés).</w:t>
      </w:r>
    </w:p>
    <w:p>
      <w:r>
        <w:t xml:space="preserve">Cependant, la réplication virale vaccinale impose des </w:t>
      </w:r>
      <w:r>
        <w:rPr>
          <w:b/>
        </w:rPr>
        <w:t>contre-indications majeures</w:t>
      </w:r>
      <w:r>
        <w:t xml:space="preserve"> liées au risque théorique d'infection disséminée : (i) </w:t>
      </w:r>
      <w:r>
        <w:rPr>
          <w:b/>
        </w:rPr>
        <w:t>immunodépression</w:t>
      </w:r>
      <w:r>
        <w:t xml:space="preserve"> congénitale, acquise (VIH avancé avec CD4 &lt; 200/mm³), iatrogène (corticothérapie &gt; 15 mg/j de prednisone pendant &gt; 2 semaines, chimiothérapie anticancéreuse, radiothérapie, transplantation d'organe solide ou de cellules souches hématopoïétiques &lt; 24 mois, traitement anti-TNF, anti-IL-6, anti-CD20) ; (ii) </w:t>
      </w:r>
      <w:r>
        <w:rPr>
          <w:b/>
        </w:rPr>
        <w:t>grossesse</w:t>
      </w:r>
      <w:r>
        <w:t xml:space="preserve"> (risque théorique de transmission fœtale d'un vaccin vivant, non documenté pour le vaccin antirougeoleux mais principe de précaution) ; (iii) </w:t>
      </w:r>
      <w:r>
        <w:rPr>
          <w:b/>
        </w:rPr>
        <w:t>allergie sévère</w:t>
      </w:r>
      <w:r>
        <w:t xml:space="preserve"> à un composant (néomycine, gélatine, protéines de l'œuf selon le substrat de production). La conservation requiert une </w:t>
      </w:r>
      <w:r>
        <w:rPr>
          <w:b/>
        </w:rPr>
        <w:t>chaîne du froid stricte</w:t>
      </w:r>
      <w:r>
        <w:t xml:space="preserve"> (+2 °C à +8 °C, ne jamais congeler les formes liquides, congélation autorisée pour les formes lyophilisées selon AMM). En Algérie, le vaccin antirougeoleux est actuellement NON_RENOUVELABLE dans la nomenclature, ce qui impose aux acteurs de santé de s'approvisionner via les circuits du Ministère de la Santé (Programme élargi de vaccination, PEV) ou de recourir aux vaccins combinés ROR (rougeole-oreillons-rubéole) lorsque disponibles.</w:t>
      </w:r>
    </w:p>
    <w:p>
      <w:pPr>
        <w:pStyle w:val="Heading3"/>
      </w:pPr>
      <w:r>
        <w:t>174.1.1 DCI : Vaccin antirougeoleux</w:t>
      </w:r>
    </w:p>
    <w:p>
      <w:r/>
      <w:r>
        <w:rPr>
          <w:b/>
        </w:rPr>
        <w:t>Liste des Catégories :</w:t>
      </w:r>
      <w:r>
        <w:t xml:space="preserve"> Vaccin vivant atténué antirougeoleux ; Vaccin du Programme Élargi de Vaccination (PEV) ; Conservation +2 °C à +8 °C ; NON_RENOUVELABLE en Algérie.</w:t>
      </w:r>
    </w:p>
    <w:p>
      <w:r>
        <w:t xml:space="preserve">La rougeole, maladie virale éruptive hautement contagieuse causée par un </w:t>
      </w:r>
      <w:r>
        <w:rPr>
          <w:i/>
        </w:rPr>
        <w:t>Morbillivirus</w:t>
      </w:r>
      <w:r>
        <w:t xml:space="preserve"> de la famille des </w:t>
      </w:r>
      <w:r>
        <w:rPr>
          <w:i/>
        </w:rPr>
        <w:t>Paramyxoviridae</w:t>
      </w:r>
      <w:r>
        <w:t>, reste une cause majeure de mortalité infantile dans les pays à faible couverture vaccinale. Avant l'introduction du vaccin, l'OMS estimait à 2,6 millions le nombre de décès annuels par rougeole dans le monde ; en 2023, grâce à la vaccination de masse, ce chiffre a chuté à environ 107 000 décès. Le vaccin antirougeoleux vivant atténué, administré en routine à 9 mois (première dose) puis 18 mois (deuxième dose) dans le calendrier algérien, constitue la pierre angulaire de la stratégie d'élimination mondiale. Sa couverture vaccinale nationale en Algérie avoisine 92 % (données OMS 2023), mais des flambées résiduelles persistent dans les wilayas du Sud et les populations nomades. Le vaccin monovalent antirougeoleux est en pratique souvent remplacé par les vaccins combinés ROR (rougeole-oreillons-rubéole) ou RR (rougeole-rubéole) dans les calendriers modernisés, mais la nomenclature algérienne ne référence que la forme monovalente lyophilisée.</w:t>
      </w:r>
    </w:p>
    <w:p>
      <w:r/>
      <w:r>
        <w:rPr>
          <w:b/>
        </w:rPr>
        <w:t>Médicaments disponibles en Algérie (Format Tableau — Nomenclature Avril 2026)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VACCIN ANTI-ROUGEOLE</w:t>
            </w:r>
          </w:p>
        </w:tc>
        <w:tc>
          <w:tcPr>
            <w:tcW w:type="dxa" w:w="1559"/>
          </w:tcPr>
          <w:p>
            <w:r>
              <w:rPr>
                <w:sz w:val="20"/>
              </w:rPr>
              <w:t>Serum Institute of India</w:t>
            </w:r>
          </w:p>
        </w:tc>
        <w:tc>
          <w:tcPr>
            <w:tcW w:type="dxa" w:w="1559"/>
          </w:tcPr>
          <w:p>
            <w:r>
              <w:rPr>
                <w:sz w:val="20"/>
              </w:rPr>
              <w:t>Solution injectable (lyophilisat + solvant), 0,5 mL/dose (≥ 1000 DICC₅₀ souche Edmonston-Zagreb)</w:t>
            </w:r>
          </w:p>
        </w:tc>
        <w:tc>
          <w:tcPr>
            <w:tcW w:type="dxa" w:w="1559"/>
          </w:tcPr>
          <w:p>
            <w:r>
              <w:rPr>
                <w:sz w:val="20"/>
              </w:rPr>
              <w:t>Boîte de 50 flacons de 10 doses (5 mL) + 50 flacons de solvant de 5 mL</w:t>
            </w:r>
          </w:p>
        </w:tc>
        <w:tc>
          <w:tcPr>
            <w:tcW w:type="dxa" w:w="1559"/>
          </w:tcPr>
          <w:p>
            <w:r>
              <w:rPr>
                <w:sz w:val="20"/>
              </w:rPr>
              <w:t>—</w:t>
            </w:r>
          </w:p>
        </w:tc>
        <w:tc>
          <w:tcPr>
            <w:tcW w:type="dxa" w:w="1559"/>
          </w:tcPr>
          <w:p>
            <w:r>
              <w:rPr>
                <w:sz w:val="20"/>
              </w:rPr>
              <w:t>NON_RENOUVELABLE</w:t>
            </w:r>
          </w:p>
        </w:tc>
      </w:tr>
    </w:tbl>
    <w:p/>
    <w:p>
      <w:r/>
      <w:r>
        <w:rPr>
          <w:b/>
        </w:rPr>
        <w:t>Sous-classe et Mécanisme d'action :</w:t>
      </w:r>
      <w:r/>
    </w:p>
    <w:p>
      <w:pPr>
        <w:pStyle w:val="ListBullet"/>
      </w:pPr>
      <w:r>
        <w:t>Sous-classe : Vaccins vivants atténués antiviraux (rougeole — souche Edmonston-Zagreb cultivée sur cellules diploïdes humaines MRC-5 ou sur fibroblastes de poulet selon fabricant).</w:t>
      </w:r>
    </w:p>
    <w:p>
      <w:pPr>
        <w:pStyle w:val="ListBullet"/>
      </w:pPr>
      <w:r>
        <w:t>Mécanisme d'action : Le vaccin antirougeoleux contient le virus rougeoleux vivant dont la virulence a été atténuée par de multiples passages en culture cellulaire (souche Edmonston originale isolée en 1954 par Enders et Peebles, puis sous-souches Edmonston-Zagreb, Moraten, Schwarz). Administré par voie sous-cutanée profonde (face externe du bras, région deltoïdienne ou sous-scapulaire), le virus vaccinal se réplique de manière limitée au point d'injection et dans les ganglions drainants, mimant une infection rougeoleuse subclinique. Les cellules dendritiques présentent les antigènes viraux (protéines H — hémagglutinine, N — nucléoprotéine, F — protéine de fusion, M — matrice) dans le contexte des molécules du complexe majeur d'histocompatibilité (CMH) de classe II aux lymphocytes T CD4+ naïfs. Différenciation en lymphocytes T helper de type Th1 (production d'IL-2 et d'IFN-γ) pendant la phase primaire, puis orientée Th2 (IL-4, IL-5) pour le soutien à la différenciation des lymphocytes B en plasmocytes sécréteurs d'anticorps neutralisants anti-protéine H. Génération parallèle de lymphocytes T CD8+ cytotoxiques (CTL) reconnaissant les antigènes viraux présentés en CMH de classe I. La réponse humorale se développe en deux phases : IgM détectables dès 10 à 14 jours (pic à J21, disparaissant en 6 à 8 semaines), puis IgG détectables à partir de J21 et persistant à des taux protecteurs (&gt; 200 mUI/mL selon le seuil OMS) pendant des décennies, voire toute la vie. La mémoire immune repose sur les lymphocytes B mémoires (CD27+IgG+) et les lymphocytes T mémoires centraux (CCR7+) et effecteurs (CCR7−) à longue durée de vie. L'efficacité vaccinale après une première dose administrée à 9 mois est d'environ 85 % (immunité maternelle résiduelle interférant), atteignant 95 % après une seconde dose à 18 mois ; la protection conferée est considérée comme durable à vie chez plus de 97 % des répondeurs.</w:t>
      </w:r>
    </w:p>
    <w:p>
      <w:r/>
      <w:r>
        <w:rPr>
          <w:b/>
        </w:rPr>
        <w:t>Profil Pharmacologique :</w:t>
      </w:r>
      <w:r/>
    </w:p>
    <w:p>
      <w:pPr>
        <w:pStyle w:val="ListBullet"/>
      </w:pPr>
      <w:r>
        <w:t>Indications : (1) Vaccination systématique des nourrissons à 9 mois (1re dose) et 18 mois (2e dose) selon le calendrier algérien PEV ; (2) Rattrapage vaccinal chez les enfants, adolescents et adultes non immunisés (notamment femmes en âge de procréer séronégatives) ; (3) Prophylaxie post-exposition dans les 72 heures suivant un contact avec un cas de rougeole (efficacité préventive si administration précoce) ; (4) Vaccination du personnel de santé non immunisé ; (5) Vaccination des voyageurs vers les zones d'endémie ; (6) Contrôle des épidémies en collectivité (écoles, casernes, milieux fermés).</w:t>
      </w:r>
    </w:p>
    <w:p>
      <w:pPr>
        <w:pStyle w:val="ListBullet"/>
      </w:pPr>
      <w:r>
        <w:t xml:space="preserve">Contre-indications : (1) </w:t>
      </w:r>
      <w:r>
        <w:rPr>
          <w:b/>
        </w:rPr>
        <w:t>Immunodépression</w:t>
      </w:r>
      <w:r>
        <w:t xml:space="preserve"> congénitale (déficit immunitaire combiné sévère DICS, syndrome de Wiskott-Aldrich, syndrome d'hyper-IgM), acquise (VIH au stade sida avec CD4 &lt; 200/mm³, leucémies, lymphomes, cancers évolutifs), iatrogène (corticothérapie au long cours &gt; 15 mg/j de prednisone équivalent pendant &gt; 2 semaines, chimiothérapie anticancéreuse en cours ou arrêtée depuis &lt; 3 mois, radiothérapie étendue, traitement anti-rejet post-transplantation, biothérapies anti-TNF α, anti-IL-6, anti-CD20, anti-IL-17) ; (2) </w:t>
      </w:r>
      <w:r>
        <w:rPr>
          <w:b/>
        </w:rPr>
        <w:t>Grossesse</w:t>
      </w:r>
      <w:r>
        <w:t xml:space="preserve"> (par principe de précaution — aucun cas de malformation attribué mais réplication virale théorique possible) ; (3) </w:t>
      </w:r>
      <w:r>
        <w:rPr>
          <w:b/>
        </w:rPr>
        <w:t>Allaitement</w:t>
      </w:r>
      <w:r>
        <w:t xml:space="preserve"> : non contre-indiqué en soi (le virus vaccinal n'est pas excrété dans le lait), mais à discuter selon le statut immunitaire maternel ; (4) Allergie sévère (anaphylaxie documentée) à un composant du vaccin : néomycine, gélatine porcine, protéines de l'œuf (selon le substrat de production — le vaccin Serum Institute of India utilise des cellules diploïdes humaines et ne contient pas d'ovalbumine) ; (5) Antécédent de réaction grave à une précédente dose ; (6) Tuberculose évolutive non traitée (risque théorique d'aggravation) ; (7) Maladie fébrile aiguë sévère (reporter la vaccination).</w:t>
      </w:r>
    </w:p>
    <w:p>
      <w:pPr>
        <w:pStyle w:val="ListBullet"/>
      </w:pPr>
      <w:r>
        <w:t xml:space="preserve">Effets Indésirables : (1) </w:t>
      </w:r>
      <w:r>
        <w:rPr>
          <w:b/>
        </w:rPr>
        <w:t>Réactions locales</w:t>
      </w:r>
      <w:r>
        <w:t xml:space="preserve"> (5–10 %) : érythème, induration, douleur au point d'injection pendant 24–48 h ; (2) </w:t>
      </w:r>
      <w:r>
        <w:rPr>
          <w:b/>
        </w:rPr>
        <w:t>Fièvre modérée</w:t>
      </w:r>
      <w:r>
        <w:t xml:space="preserve"> (5–15 %) : 38,5–39,5 °C entre J5 et J12, résolutive en 24–48 h, à distinguer d'une infection intercurrente ; (3) </w:t>
      </w:r>
      <w:r>
        <w:rPr>
          <w:b/>
        </w:rPr>
        <w:t>Éruption morbilliforme transitoire</w:t>
      </w:r>
      <w:r>
        <w:t xml:space="preserve"> (2–5 %) : entre J7 et J14, attestant d'une réplication virale vaccinale, non contagieuse ; (4) </w:t>
      </w:r>
      <w:r>
        <w:rPr>
          <w:b/>
        </w:rPr>
        <w:t>Convulsions fébriles</w:t>
      </w:r>
      <w:r>
        <w:t xml:space="preserve"> (1/3000 doses) : chez le nourrisson de 9–24 mois avec antécédents familiaux, bénignes, sans séquelle ; (5) </w:t>
      </w:r>
      <w:r>
        <w:rPr>
          <w:b/>
        </w:rPr>
        <w:t>Thrombopénie transitoire</w:t>
      </w:r>
      <w:r>
        <w:t xml:space="preserve"> (1/30 000 doses) : récupération spontanée en quelques semaines ; (6) </w:t>
      </w:r>
      <w:r>
        <w:rPr>
          <w:b/>
        </w:rPr>
        <w:t>Encéphalopathie post-vaccinale</w:t>
      </w:r>
      <w:r>
        <w:t xml:space="preserve"> (1 cas par million de doses) : causalité débattue, vraisemblablement inférieure au risque d'encéphalite rougeoleuse (1/1000 cas de rougeole) ; (7) </w:t>
      </w:r>
      <w:r>
        <w:rPr>
          <w:b/>
        </w:rPr>
        <w:t>Encéphalite</w:t>
      </w:r>
      <w:r>
        <w:t xml:space="preserve"> (1/1 000 000) : rare mais grave, à déclarer ; (8) </w:t>
      </w:r>
      <w:r>
        <w:rPr>
          <w:b/>
        </w:rPr>
        <w:t>Anaphylaxie</w:t>
      </w:r>
      <w:r>
        <w:t xml:space="preserve"> (1/100 000 à 1/1 000 000) : immédiate (≤ 30 minutes), nécessite équipement de réanimation ; (9) </w:t>
      </w:r>
      <w:r>
        <w:rPr>
          <w:b/>
        </w:rPr>
        <w:t>Syndrome de rougeole atypique</w:t>
      </w:r>
      <w:r>
        <w:t xml:space="preserve"> : non documenté avec les souches modernes ; (10) Adénopathies locales (10 %) ; (11) Parotidite (rare, &lt; 1 %) — faux diagnostic d'oreillons si vaccin combiné ; (12) Syndrome de Raynaud transitoire (très rare).</w:t>
      </w:r>
    </w:p>
    <w:p>
      <w:r/>
      <w:r>
        <w:rPr>
          <w:b/>
        </w:rPr>
        <w:t>Prévention et Gestion des Effets Indésirables :</w:t>
      </w:r>
      <w:r/>
    </w:p>
    <w:p>
      <w:pPr>
        <w:pStyle w:val="ListBullet"/>
      </w:pPr>
      <w:r>
        <w:t xml:space="preserve">Mesures Préventives : (a) </w:t>
      </w:r>
      <w:r>
        <w:rPr>
          <w:b/>
        </w:rPr>
        <w:t>Examen clinique pré-vaccinal</w:t>
      </w:r>
      <w:r>
        <w:t xml:space="preserve"> systématique : recherche de fièvre (reporter si T° ≥ 38,5 °C), d'infection évolutive, de signes d'immunodépression, d'antécédents allergiques ; (b) </w:t>
      </w:r>
      <w:r>
        <w:rPr>
          <w:b/>
        </w:rPr>
        <w:t>Vérification du statut immunitaire</w:t>
      </w:r>
      <w:r>
        <w:t xml:space="preserve"> chez la femme en âge de procréer (sérologie rougeole ; si négative, vacciner en dehors d'une grossesse et conseiller une contraception pendant 1 mois) ; (c) </w:t>
      </w:r>
      <w:r>
        <w:rPr>
          <w:b/>
        </w:rPr>
        <w:t>Vérification du statut VIH</w:t>
      </w:r>
      <w:r>
        <w:t xml:space="preserve"> chez les patients à risque : CD4 &gt; 200/mm³ autorisent la vaccination (bénéfice &gt; risque), CD4 &lt; 200/mm³ la contre-indiquent ; (d) </w:t>
      </w:r>
      <w:r>
        <w:rPr>
          <w:b/>
        </w:rPr>
        <w:t>Interrogatoire allergologique</w:t>
      </w:r>
      <w:r>
        <w:t xml:space="preserve"> : néomycine, gélatine, streptomycine, protéines de l'œuf (selon substrat) ; (e) </w:t>
      </w:r>
      <w:r>
        <w:rPr>
          <w:b/>
        </w:rPr>
        <w:t>Surveillance post-vaccinale</w:t>
      </w:r>
      <w:r>
        <w:t xml:space="preserve"> de 15 à 30 minutes au cabinet médical ou à l'officine (risque anaphylactique immédiat) ; (f) Information parentale sur les réactions attendues (fièvre J5–J12, éruption J7–J14) et leurs conduites à tenir (antipyrétique, consultation si fièvre &gt; 3 jours, convulsion, difficultés respiratoires).</w:t>
      </w:r>
    </w:p>
    <w:p>
      <w:pPr>
        <w:pStyle w:val="ListBullet"/>
      </w:pPr>
      <w:r>
        <w:t xml:space="preserve">Conduite à Tenir : (a) En cas de fièvre ≥ 39 °C : paracétamol 10–15 mg/kg toutes les 6 h, hydratation, surveillance ; consulter si fièvre &gt; 3 jours ou signes de détresse respiratoire ; (b) En cas de convulsion fébrile : mise en position latérale de sécurité, appel SAMU (14 en Algérie), bilan neurologique après l'épisode ; ne pas attribuer par défaut à une épilepsie sous-jacente ; (c) En cas d'éruption morbilliforme : pas de traitement, disparaît en 2–3 jours ; pas de contagiosité ; (d) En cas de réaction anaphylactique immédiate (≤ 30 min) : arrêt, mise en position couchée jambes surélevées, </w:t>
      </w:r>
      <w:r>
        <w:rPr>
          <w:b/>
        </w:rPr>
        <w:t>adrénaline IM 0,01 mg/kg</w:t>
      </w:r>
      <w:r>
        <w:t xml:space="preserve"> (adulte : 0,5 mg = 0,5 mL de la solution à 1 mg/mL) dans la face antéro-latérale de la cuisse, appel SAMU, oxygène, antihistaminiques, corticoïdes IV, surveillance hospitalière 24 h ; (e) En cas de thrombopénie post-vaccinale (&lt; 50 G/L) : surveillance NFS plaquettes, parfois corticothérapie, pas de plaquettes sauf hémorragie ; (f) En cas d'encéphalopathie (fièvre, irritabilité, troubles de conscience, convulsions J5–J15) : hospitalisation urgente, IRM cérébrale, ponction lombaire, EEG, déclaration de pharmacovigilance.</w:t>
      </w:r>
    </w:p>
    <w:p>
      <w:r/>
      <w:r>
        <w:rPr>
          <w:b/>
        </w:rPr>
        <w:t>Interactions Importantes :</w:t>
      </w:r>
      <w:r/>
    </w:p>
    <w:p>
      <w:pPr>
        <w:pStyle w:val="ListBullet"/>
      </w:pPr>
      <w:r/>
      <w:r>
        <w:rPr>
          <w:b/>
        </w:rPr>
        <w:t>Immunoglobulines humaines</w:t>
      </w:r>
      <w:r>
        <w:t xml:space="preserve"> (IgIV, Ig anti-D, Ig antitétaniques) : neutralisation du virus vaccinal par les anticorps passifs — espacer de 3 mois (IgIV standard) à 11 mois (IgIV haute dose) avant de vacciner ; ne pas administrer d'Ig dans les 2 semaines suivant la vaccination (sauf urgence).</w:t>
      </w:r>
    </w:p>
    <w:p>
      <w:pPr>
        <w:pStyle w:val="ListBullet"/>
      </w:pPr>
      <w:r/>
      <w:r>
        <w:rPr>
          <w:b/>
        </w:rPr>
        <w:t>Transfusion sanguine</w:t>
      </w:r>
      <w:r>
        <w:t xml:space="preserve"> : reporter la vaccination de 3–6 mois après une transfusion massique (anticorps passifs).</w:t>
      </w:r>
    </w:p>
    <w:p>
      <w:pPr>
        <w:pStyle w:val="ListBullet"/>
      </w:pPr>
      <w:r/>
      <w:r>
        <w:rPr>
          <w:b/>
        </w:rPr>
        <w:t>Autres vaccins vivants atténués</w:t>
      </w:r>
      <w:r>
        <w:t xml:space="preserve"> (BCG, polio oral, fièvre jaune, varicelle, ROR) : administration simultanée possible le même jour à des sites d'injection différents ; sinon espacer de 4 semaines minimum (interférence immune).</w:t>
      </w:r>
    </w:p>
    <w:p>
      <w:pPr>
        <w:pStyle w:val="ListBullet"/>
      </w:pPr>
      <w:r/>
      <w:r>
        <w:rPr>
          <w:b/>
        </w:rPr>
        <w:t>Vaccins inactivés</w:t>
      </w:r>
      <w:r>
        <w:t xml:space="preserve"> (grippe, hépatite B, HPV, pneumocoque, méningocoque) : administration simultanée sans interférence.</w:t>
      </w:r>
    </w:p>
    <w:p>
      <w:pPr>
        <w:pStyle w:val="ListBullet"/>
      </w:pPr>
      <w:r/>
      <w:r>
        <w:rPr>
          <w:b/>
        </w:rPr>
        <w:t>Corticothérapie au long cours</w:t>
      </w:r>
      <w:r>
        <w:t xml:space="preserve"> : contre-indication si prednisone &gt; 15 mg/j pendant &gt; 2 semaines ; reporter 1 mois après arrêt (3 mois après chimiothérapie).</w:t>
      </w:r>
    </w:p>
    <w:p>
      <w:pPr>
        <w:pStyle w:val="ListBullet"/>
      </w:pPr>
      <w:r/>
      <w:r>
        <w:rPr>
          <w:b/>
        </w:rPr>
        <w:t>Tuberculine (test IDR)</w:t>
      </w:r>
      <w:r>
        <w:t xml:space="preserve"> : la vaccination antirougeoleuse peut faire chuter transitoirement la réaction à la tuberculine, réalisant un faux négatif ; réaliser le test IDR avant la vaccination ou 4–6 semaines après.</w:t>
      </w:r>
    </w:p>
    <w:p>
      <w:pPr>
        <w:pStyle w:val="ListBullet"/>
      </w:pPr>
      <w:r/>
      <w:r>
        <w:rPr>
          <w:b/>
        </w:rPr>
        <w:t>Antiviraux anti-herpétiques</w:t>
      </w:r>
      <w:r>
        <w:t xml:space="preserve"> (aciclovir, valaciclovir) : pas d'interaction significative (n'agissent pas sur les paramyxovirus).</w:t>
      </w:r>
    </w:p>
    <w:p>
      <w:pPr>
        <w:pStyle w:val="ListBullet"/>
      </w:pPr>
      <w:r/>
      <w:r>
        <w:rPr>
          <w:b/>
        </w:rPr>
        <w:t>Antirétroviraux (VIH)</w:t>
      </w:r>
      <w:r>
        <w:t xml:space="preserve"> : aucune interférence ; le vaccin peut être administré aux patients VIH sous ARV avec CD4 &gt; 200/mm³.</w:t>
      </w:r>
    </w:p>
    <w:p>
      <w:r/>
      <w:r>
        <w:rPr>
          <w:b/>
        </w:rPr>
        <w:t>Grossesse et Allaitement :</w:t>
      </w:r>
      <w:r/>
    </w:p>
    <w:p>
      <w:pPr>
        <w:pStyle w:val="ListBullet"/>
      </w:pPr>
      <w:r>
        <w:t xml:space="preserve">Grossesse : Le CRAT et l'OMS classent le vaccin antirougeoleux en </w:t>
      </w:r>
      <w:r>
        <w:rPr>
          <w:b/>
        </w:rPr>
        <w:t>contre-indication relative chez la femme enceinte</w:t>
      </w:r>
      <w:r>
        <w:t>, par mesure de précaution théorique. En effet, aucun cas de malformation, d'avortement spontané ou d'atteinte fœtale n'a été documenté chez les femmes enceintes inadvertanmment vaccinées (séries de cas publiées, notamment aux États-Unis : programme de surveillance Vaccine in Pregnancy Registry, 1971–1989, n'ayant pas montré d'excès de malformations). Cependant, le principe de précaution conduit à éviter la vaccination pendant la grossesse. Toute femme en âge de procréer séronégative doit être vaccinée en période pré-conceptionnelle, avec une contraception efficace pendant 1 mois après la vaccination. En cas de vaccination inadvertently administrée pendant la grossesse, aucune interruption médicale de grossesse n'est justifiée (le risque théorique n'est pas documenté) ; la patiente doit être informée et une surveillance échographique standard est suffisante.</w:t>
      </w:r>
    </w:p>
    <w:p>
      <w:pPr>
        <w:pStyle w:val="ListBullet"/>
      </w:pPr>
      <w:r>
        <w:t xml:space="preserve">Allaitement : Le vaccin antirougeoleux vivant atténué est </w:t>
      </w:r>
      <w:r>
        <w:rPr>
          <w:b/>
        </w:rPr>
        <w:t>compatible avec l'allaitement</w:t>
      </w:r>
      <w:r>
        <w:t xml:space="preserve"> selon le CRAT et l'OMS. Le virus vaccinal n'est pas excrété dans le lait maternel en quantité significative (ou alors sous forme inactivée par l'acidité gastrique du nourrisson). L'allaitement ne constitue pas une contre-indication à la vaccination maternelle. Cependant, le nourrisson allaité par une mère non immune reste susceptible à la rougeole (les IgA du lait ne protègent pas de façon fiable) et doit être vacciné selon le calendrier (9 mois).</w:t>
      </w:r>
    </w:p>
    <w:p>
      <w:pPr>
        <w:pStyle w:val="ListBullet"/>
      </w:pPr>
      <w:r>
        <w:t>Précisions : Chez la femme immunodéprimée en âge de procréer, la vaccination avant une grossesse planifiée est essentielle (le vaccin vivant ne pourra pas être administré pendant la grossesse). Pour les voyageuses en zone d'endémie, vacciner au moins 1 mois avant le départ.</w:t>
      </w:r>
    </w:p>
    <w:p>
      <w:r/>
      <w:r>
        <w:rPr>
          <w:b/>
        </w:rPr>
        <w:t>Posologie et Mode d'administration (Standard) :</w:t>
      </w:r>
      <w:r/>
    </w:p>
    <w:p>
      <w:pPr>
        <w:pStyle w:val="ListBullet"/>
      </w:pPr>
      <w:r>
        <w:t xml:space="preserve">Adulte et enfant (calendrier algérien PEV) : </w:t>
      </w:r>
      <w:r>
        <w:rPr>
          <w:b/>
        </w:rPr>
        <w:t>0,5 mL par dose</w:t>
      </w:r>
      <w:r>
        <w:t xml:space="preserve"> en injection sous-cutanée profonde (face externe du bras, région deltoïdienne, ou sous-scapulaire) ou intramusculaire (muscle deltoïde chez l'adulte, muscle antéro-latébral de la cuisse chez le nourrisson). (1) </w:t>
      </w:r>
      <w:r>
        <w:rPr>
          <w:b/>
        </w:rPr>
        <w:t>1re dose à 9 mois</w:t>
      </w:r>
      <w:r>
        <w:t xml:space="preserve"> (calendrier algérien) — plus tôt en cas d'épidémie (6 mois possible, mais dose répétée à 9 mois compte tenu de la moindre immunogénicité et de l'interférence avec les anticorps maternels) ; (2) </w:t>
      </w:r>
      <w:r>
        <w:rPr>
          <w:b/>
        </w:rPr>
        <w:t>2e dose à 18 mois</w:t>
      </w:r>
      <w:r>
        <w:t xml:space="preserve"> (calendrier algérien) ou selon calendrier scolaire (4–6 ans dans certains pays) — l'objectif des 2 doses est de vacciner les 5–10 % de non-répondeurs à la première dose et de renforcer la couverture immunitaire globale. Rattrapage : toute dose manquée doit être administrée dès que possible, avec un intervalle minimal de 4 semaines entre les deux doses. Prophylaxie post-exposition : administrer dans les 72 h suivant le contact avec un cas confirmé (efficacité préventive ~ 90 % si précoce). Chez l'adulte non vacciné ou au statut inconnu : administrer 2 doses à 4 semaines d'intervalle minimum.</w:t>
      </w:r>
    </w:p>
    <w:p>
      <w:pPr>
        <w:pStyle w:val="ListBullet"/>
      </w:pPr>
      <w:r>
        <w:t>Mode de reconstitution : Le vaccin lyophilisé doit être reconstitué avec le solvant fourni (eau pour préparations injectables ou solvant salé isotonique) : introduire le solvant dans le flacon de vaccin lyophilisé à l'aide de l'aiguille fournie, agiter doucement jusqu'à dissolution complète (30 secondes à 1 minute), éviter la formation de mousse, utiliser dans les 6 heures suivant la reconstitution (conservation à +2 °C à +8 °C entre deux utilisations, à l'abri de la lumière).</w:t>
      </w:r>
    </w:p>
    <w:p>
      <w:pPr>
        <w:pStyle w:val="ListBullet"/>
      </w:pPr>
      <w:r>
        <w:t>Moment d'administration : Préférablement le matin chez le nourrisson (pour surveillance vespérale de la fièvre), à distance d'une intervention chirurgicale programmée (1 mois), à distance d'une infection aiguë sévère (2 semaines après guérison). Ne pas administrer pendant une poussée fébrile (&gt; 38,5 °C).</w:t>
      </w:r>
    </w:p>
    <w:p>
      <w:pPr>
        <w:pStyle w:val="ListBullet"/>
      </w:pPr>
      <w:r>
        <w:t xml:space="preserve">Conservation : </w:t>
      </w:r>
      <w:r>
        <w:rPr>
          <w:b/>
        </w:rPr>
        <w:t>Chaîne du froid stricte</w:t>
      </w:r>
      <w:r>
        <w:t xml:space="preserve"> : +2 °C à +8 °C (réfrigérateur, ne jamais congeler la forme reconstituée, ne jamais placer dans le compartiment congélation). La forme lyophilisée non reconstituée peut être conservée à −20 °C selon le fabricant (vérifier AMM). Ne pas utiliser si le flacon présente des particules, une coloration anormale, ou si la chaîne du froid a été rompue.</w:t>
      </w:r>
    </w:p>
    <w:p>
      <w:r/>
      <w:r>
        <w:rPr>
          <w:b/>
        </w:rPr>
        <w:t>Arbitrage et Bénéfices des Formes Galéniques :</w:t>
      </w:r>
      <w:r/>
    </w:p>
    <w:p>
      <w:r>
        <w:t xml:space="preserve">Le vaccin antirougeoleux est commercialisé en Algérie uniquement sous la forme lyophilisée + solvant en flacon multidose (50 flacons × 10 doses). Cette forme est adaptée aux campagnes de vaccination de masse du PEV (Programme élargi de vaccination) en dispensaire et centre de santé, permettant une répartition économique des doses et une utilisation collective. Pour la pratique privée (cliniques, pédiatres de ville), une forme en seringue préremplie monodose serait plus pratique mais n'est pas référencée dans la nomenclature algérienne. Le pharmacien d'officine ne délivre généralement pas le vaccin antirougeoleux en routine (réservé aux centres PEV), mais il peut être sollicité pour des rattrapages vaccinaux privés. Dans ce cas, il doit s'assurer de la </w:t>
      </w:r>
      <w:r>
        <w:rPr>
          <w:b/>
        </w:rPr>
        <w:t>disponibilité d'une chaîne du froid fiable</w:t>
      </w:r>
      <w:r>
        <w:t xml:space="preserve"> entre l'achat et l'administration, fournir une sacoche isotherme avec accumulateurs de froid pour le transport, et informer le patient de la nécessité d'administrer le vaccin dans les 6 heures suivant la reconstitution. Le vaccin antirougeoleux étant NON_RENOUVELABLE dans la nomenclature algérienne Avril 2026, son approvisionnement officinal privé est aléatoire ; le pharmacien doit orienter les patients vers les centres PEV publics ou vers les vaccins combinés ROR (rougeole-oreillons-rubéole) lorsqu'ils sont disponibles à l'importation privée.</w:t>
      </w:r>
    </w:p>
    <w:p>
      <w:r/>
      <w:r>
        <w:rPr>
          <w:b/>
        </w:rPr>
        <w:t>Instructions et Conseils au Patient :</w:t>
      </w:r>
      <w:r/>
    </w:p>
    <w:p>
      <w:pPr>
        <w:pStyle w:val="ListBullet"/>
      </w:pPr>
      <w:r>
        <w:t>Communication au comptoir (officine) : "Ce vaccin protège contre la rougeole, une maladie très contagieuse et potentiellement grave (pneumonie, encéphalite). Il s'administre en deux doses à 9 et 18 mois. Le vaccin est très efficace (95 % après deux doses) et protège à vie. Après la vaccination, votre enfant peut faire un peu de fièvre entre le 5e et le 12e jour, parfois une petite éruption sur le corps : c'est normal, c'est le signe que le vaccin fait son effet. Donnez-lui du paracétamol si la fièvre dépasse 38,5 °C. En revanche, amenez-le consulter en urgence s'il fait des convulsions, s'il a du mal à respirer ou s'il est très abattu."</w:t>
      </w:r>
    </w:p>
    <w:p>
      <w:pPr>
        <w:pStyle w:val="ListBullet"/>
      </w:pPr>
      <w:r>
        <w:t>Mode d'utilisation pratique : (1) Conserver au réfrigérateur à +2 °C à +8 °C, jamais au congélateur ; vérifier la température du réfrigérateur chaque jour avec un thermomètre dédié. (2) Transporter dans une sacoche isotherme avec accumulateurs de froid (pas en contact direct avec la glace). (3) Le médecin reconstituera le vaccin avec le solvant fourni juste avant l'injection. (4) Surveiller l'enfant 15–30 minutes après l'injection au cabinet (risque de réaction allergique). (5) Tenir le carnet de vaccination à jour. (6) En cas de fièvre élevée dans les 2 semaines suivant la vaccination, consulter un médecin en mentionnant la vaccination récente. (7) Le vaccin antirougeoleux ne protège pas contre la rubéole ni les oreillons (sauf s'il s'agit du vaccin combiné ROR, non référencé en Algérie sous forme monovalente commerciale privée).</w:t>
      </w:r>
    </w:p>
    <w:p>
      <w:pPr>
        <w:pStyle w:val="ListBullet"/>
      </w:pPr>
      <w:r>
        <w:t>Conseils spécifiques : (a) Prévenir la fièvre par paracétamol en première intention (éviter l'ibuprofène chez le nourrisson de moins de 3 mois, surveiller l'hydratation). (b) Ne pas administrer d'aspirine à l'enfant (risque de syndrome de Reye en cas de virose). (c) Éviter les bains froids pour faire baisser la fièvre (frissons, inconfort). (d) Surveiller le point d'injection (rougeur, induration normales pendant 24–48 h).</w:t>
      </w:r>
    </w:p>
    <w:p>
      <w:r/>
      <w:r>
        <w:rPr>
          <w:b/>
        </w:rPr>
        <w:t>Notes, Règles d'Or &amp; Pièges au Comptoir :</w:t>
      </w:r>
      <w:r/>
    </w:p>
    <w:p>
      <w:pPr>
        <w:pStyle w:val="ListBullet"/>
      </w:pPr>
      <w:r>
        <w:t xml:space="preserve">Piège classique n°1 : </w:t>
      </w:r>
      <w:r>
        <w:rPr>
          <w:b/>
        </w:rPr>
        <w:t>Le vaccin antirougeoleux est NON_RENOUVELABLE en Algérie</w:t>
      </w:r>
      <w:r>
        <w:t xml:space="preserve"> — ne pas le promettre au patient sans vérifier la disponibilité auprès des fournisseurs agréés ou des centres PEV. Orienter vers les centres de vaccination publics en cas d'indisponibilité.</w:t>
      </w:r>
    </w:p>
    <w:p>
      <w:pPr>
        <w:pStyle w:val="ListBullet"/>
      </w:pPr>
      <w:r>
        <w:t xml:space="preserve">Piège classique n°2 : </w:t>
      </w:r>
      <w:r>
        <w:rPr>
          <w:b/>
        </w:rPr>
        <w:t>CI absolue : immunodépression</w:t>
      </w:r>
      <w:r>
        <w:t xml:space="preserve"> — ne jamais vacciner un enfant dont un parent signale une leucémie, un traitement anticancéreux, une corticothérapie prolongée, un traitement anti-TNF (anticorps monoclonaux type adalimumab, infliximab), une transplantation d'organe récente, un VIH évolué. Demander systématiquement "votre enfant suit-il un traitement particulier ?" avant la vaccination.</w:t>
      </w:r>
    </w:p>
    <w:p>
      <w:pPr>
        <w:pStyle w:val="ListBullet"/>
      </w:pPr>
      <w:r>
        <w:t xml:space="preserve">Piège classique n°3 : </w:t>
      </w:r>
      <w:r>
        <w:rPr>
          <w:b/>
        </w:rPr>
        <w:t>Grossesse = CI relative</w:t>
      </w:r>
      <w:r>
        <w:t xml:space="preserve"> — chez la femme enceinte séronégative, reporter la vaccination après l'accouchement. Toute vaccination inadvertently administrée en cours de grossesse ne justifie pas une interruption médicale de grossesse (information et surveillance échographique standard suffisent).</w:t>
      </w:r>
    </w:p>
    <w:p>
      <w:pPr>
        <w:pStyle w:val="ListBullet"/>
      </w:pPr>
      <w:r>
        <w:t xml:space="preserve">Piège classique n°4 : </w:t>
      </w:r>
      <w:r>
        <w:rPr>
          <w:b/>
        </w:rPr>
        <w:t>Prophylaxie post-exposition efficace dans les 72 heures</w:t>
      </w:r>
      <w:r>
        <w:t xml:space="preserve"> — chez un sujet non vacciné exposé à un cas de rougeole, le vaccin peut encore prévenir la maladie s'il est administré rapidement. Au-delà de 72 h, l'efficacité diminue mais reste intéressante pour les contacts.</w:t>
      </w:r>
    </w:p>
    <w:p>
      <w:pPr>
        <w:pStyle w:val="ListBullet"/>
      </w:pPr>
      <w:r>
        <w:t xml:space="preserve">Piège classique n°5 : </w:t>
      </w:r>
      <w:r>
        <w:rPr>
          <w:b/>
        </w:rPr>
        <w:t>Interférence avec les immunoglobulines</w:t>
      </w:r>
      <w:r>
        <w:t xml:space="preserve"> — un enfant ayant reçu des IgIV récemment (saturation en anticorps passifs) peut ne pas répondre correctement à la vaccination ; reporter de 3 mois (IgIV standard) à 11 mois (IgIV haute dose).</w:t>
      </w:r>
    </w:p>
    <w:p>
      <w:pPr>
        <w:pStyle w:val="ListBullet"/>
      </w:pPr>
      <w:r>
        <w:t xml:space="preserve">Piège classique n°6 : </w:t>
      </w:r>
      <w:r>
        <w:rPr>
          <w:b/>
        </w:rPr>
        <w:t>Fièvre à J5–J12 ≠ infection intercurrente</w:t>
      </w:r>
      <w:r>
        <w:t xml:space="preserve"> — c'est la fièvre attendue de la réplication virale vaccinale ; les parents peuvent la confondre avec une otite ou une rhinopharyngite. Antipyrétique + surveillance 24–48 h suffisent en général.</w:t>
      </w:r>
    </w:p>
    <w:p>
      <w:pPr>
        <w:pStyle w:val="ListBullet"/>
      </w:pPr>
      <w:r>
        <w:t xml:space="preserve">Piège classique n°7 : </w:t>
      </w:r>
      <w:r>
        <w:rPr>
          <w:b/>
        </w:rPr>
        <w:t>Éruption morbilliforme post-vaccinale ≠ rougeole</w:t>
      </w:r>
      <w:r>
        <w:t xml:space="preserve"> — l'enfant n'est pas contagieux, peut aller en collectivité, l'éruption disparaît en 2–3 jours sans traitement.</w:t>
      </w:r>
    </w:p>
    <w:p>
      <w:pPr>
        <w:pStyle w:val="ListBullet"/>
      </w:pPr>
      <w:r>
        <w:t>Règle de prise : 2 doses à 9 et 18 mois ; rattrapage à tout âge avec 2 doses à au moins 4 semaines d'intervalle ; sous-cutanée profonde 0,5 mL ; chaîne du froid +2 °C à +8 °C.</w:t>
      </w:r>
    </w:p>
    <w:p>
      <w:pPr>
        <w:pStyle w:val="ListBullet"/>
      </w:pPr>
      <w:r>
        <w:t>Préparation et Conservation : lyophilisat +2 °C à +8 °C (jusqu'à péremption) ; solvant +2 °C à +8 °C ou température ambiante selon fabricant ; solution reconstituée stable 6 h à +2 °C à +8 °C à l'abri de la lumière, à utiliser immédiatement si possible. Jeter la solution reconstituée non utilisée après 6 h.</w:t>
      </w:r>
    </w:p>
    <w:p>
      <w:pPr>
        <w:pStyle w:val="ListBullet"/>
      </w:pPr>
      <w:r>
        <w:t>Piège du surdosage / Substitution : (a) Surdosage (dose double) : pas de toxicité significative mais surveillance de la fièvre 7 à 14 jours. (b) Substitution avec vaccin combiné ROR : possible et même préférable (couverture triple), mais non référencé en Algérie. (c) Ne pas confondre vaccin antirougeoleux monovalent et vaccin ROR : la nomenclature algérienne ne référence que le monovalent.</w:t>
      </w:r>
    </w:p>
    <w:p>
      <w:pPr>
        <w:pStyle w:val="Heading2"/>
      </w:pPr>
      <w:r>
        <w:t>174.2 Sous-classe : Vaccins recombinants (Hépatite B)</w:t>
      </w:r>
    </w:p>
    <w:p>
      <w:pPr>
        <w:pStyle w:val="Heading3"/>
      </w:pPr>
      <w:r>
        <w:t>Introduction à la sous-classe</w:t>
      </w:r>
    </w:p>
    <w:p>
      <w:r>
        <w:t xml:space="preserve">Les vaccins recombinants représentent l'une des avancées majeures de la biotechnologie moderne appliquée à la vaccinologie. Leur principe consiste à produire un antigène vaccinal par </w:t>
      </w:r>
      <w:r>
        <w:rPr>
          <w:b/>
        </w:rPr>
        <w:t>technologie de l'ADN recombinant</w:t>
      </w:r>
      <w:r>
        <w:t xml:space="preserve">, en insérant le gène codant l'antigène d'intérêt dans un organisme hôte (bactérie </w:t>
      </w:r>
      <w:r>
        <w:rPr>
          <w:i/>
        </w:rPr>
        <w:t>Escherichia coli</w:t>
      </w:r>
      <w:r>
        <w:t xml:space="preserve">, levure </w:t>
      </w:r>
      <w:r>
        <w:rPr>
          <w:i/>
        </w:rPr>
        <w:t>Saccharomyces cerevisiae</w:t>
      </w:r>
      <w:r>
        <w:t xml:space="preserve"> ou cellules mammifères) qui se charge alors de synthétiser et de sécréter la protéine recombinante en grande quantité. Cette technologie a révolutionné la production vaccinale en s'affranchissant de la culture du pathogène lui-même (notamment des virus non cultivables en laboratoire ou dangereux à manipuler comme les hépadnavirus). Le premier vaccin recombinant jamais commercialisé est le vaccin anti-hépatite B (1986, Engerix-B®, SmithKline Beecham), obtenu par expression du gène S de l'antigène de surface du virus de l'hépatite B (HBsAg) dans la levure </w:t>
      </w:r>
      <w:r>
        <w:rPr>
          <w:i/>
        </w:rPr>
        <w:t>Saccharomyces cerevisiae</w:t>
      </w:r>
      <w:r>
        <w:t>. Cette technologie a ensuite été appliquée à la production du vaccin anti-HPV (Gardasil®, Cervarix®) et plus récemment du vaccin anti-COVID-19 (NVX-CoV2373, Novavax).</w:t>
      </w:r>
    </w:p>
    <w:p>
      <w:r>
        <w:t xml:space="preserve">La caractéristique immunologique fondamentale des vaccins recombinants est leur capacité à induire une </w:t>
      </w:r>
      <w:r>
        <w:rPr>
          <w:b/>
        </w:rPr>
        <w:t>réponse immunitaire humorale T-dépendante</w:t>
      </w:r>
      <w:r>
        <w:t xml:space="preserve"> forte et durable. L'antigène recombinant purifié, adsorbé sur un sel d'aluminium (hydroxyde ou phosphate d'aluminium) utilisé comme adjuvant, est capté par les cellules présentatrices d'antigène (cellules dendritiques, macrophages) qui le présentent en association avec les molécules du CMH de classe II aux lymphocytes T CD4+ helper. La coopération T-B permet la maturation des lymphocytes B en plasmocytes sécréteurs d'IgG spécifiques. La réponse cellulaire cytotoxique CD8+ est en revanche peu stimulée (absence de réplication virale et de présentation en CMH de classe I), ce qui explique que ces vaccins soient essentiellement </w:t>
      </w:r>
      <w:r>
        <w:rPr>
          <w:b/>
        </w:rPr>
        <w:t>protecteurs contre l'infection et la maladie</w:t>
      </w:r>
      <w:r>
        <w:t xml:space="preserve"> mais ne permettent généralement pas d'éliminer un pathogène déjà installé. C'est pourquoi ils sont utilisés en </w:t>
      </w:r>
      <w:r>
        <w:rPr>
          <w:b/>
        </w:rPr>
        <w:t>prophylaxie pré-exposition</w:t>
      </w:r>
      <w:r>
        <w:t xml:space="preserve"> (vaccination systématique, rattrapage) ou en prophylaxie post-exposition précoce (hépatite B dans les 24 h après exposition).</w:t>
      </w:r>
    </w:p>
    <w:p>
      <w:r>
        <w:t xml:space="preserve">L'intérêt majeur des vaccins recombinants réside dans leur </w:t>
      </w:r>
      <w:r>
        <w:rPr>
          <w:b/>
        </w:rPr>
        <w:t>sécurité d'emploi</w:t>
      </w:r>
      <w:r>
        <w:t xml:space="preserve"> : pas de pathogène vivant (pas de réplication, pas de risque d'infection vaccinale), pas de matériel génétique viral complet (pas de risque d'intégration, de mutation, de recombinaison), production standardisée et hautement purifiée, stabilité thermique supérieure aux vaccins vivants. Les contre-indications se limitent à l'hypersensibilité à un composant (notamment levure pour les vaccins produits sur </w:t>
      </w:r>
      <w:r>
        <w:rPr>
          <w:i/>
        </w:rPr>
        <w:t>S. cerevisiae</w:t>
      </w:r>
      <w:r>
        <w:t>), à la grossesse (par principe de précaution, bien que le risque soit théorique), à la maladie fébrile aiguë sévère (report) et aux antécédents de réaction grave à une précédente dose. En Algérie, le vaccin anti-hépatite B est inclus dans le calendrier vaccinal national à la naissance (dose de "naissance"), puis à 2, 4 et 6 mois selon le calendrier PEV. La couverture vaccinale nationale contre l'hépatite B dépasse 95 % chez les enfants, mais le rattrapage chez les adultes non vaccinés reste un défi de santé publique. Le vaccin anti-hépatite B pédiatrique (HEBERBIOVAC HB) est actuellement NON_RENOUVELABLE dans la nomenclature algérienne.</w:t>
      </w:r>
    </w:p>
    <w:p>
      <w:pPr>
        <w:pStyle w:val="Heading3"/>
      </w:pPr>
      <w:r>
        <w:t>174.2.1 DCI : Vaccin anti-hépatite B (recombinant HBsAg)</w:t>
      </w:r>
    </w:p>
    <w:p>
      <w:r/>
      <w:r>
        <w:rPr>
          <w:b/>
        </w:rPr>
        <w:t>Liste des Catégories :</w:t>
      </w:r>
      <w:r>
        <w:t xml:space="preserve"> Vaccin recombinant anti-hépatite B ; Antigène HBs recombinant adsorbé sur hydroxyde d'aluminium ; Conservation +2 °C à +8 °C ; Liste I ; NON_RENOUVELABLE en Algérie (forme pédiatrique).</w:t>
      </w:r>
    </w:p>
    <w:p>
      <w:r>
        <w:t xml:space="preserve">L'hépatite B, causée par le virus de l'hépatite B (VHB, </w:t>
      </w:r>
      <w:r>
        <w:rPr>
          <w:i/>
        </w:rPr>
        <w:t>Hepadnaviridae</w:t>
      </w:r>
      <w:r>
        <w:t>), affecte environ 296 millions de personnes dans le monde (OMS, 2022) et cause près de 820 000 décès annuels par cirrhose et carcinome hépatocellulaire (CHC). L'Algérie est classée par l'OMS en zone de prévalence intermédiaire (2 à 8 % d'AgHBs positif chez les donneurs de sang), avec une transmission principalement périnatale (vertical), horizontale intra-familiale (enfant-enfant) et iatrogène (matériel médical non stérilisé, accupuncture, tatouage, piercing). La vaccination universelle contre le VHB, recommandée par l'OMS depuis 1991 et intégrée au PEV algérien depuis 2000, vise à réduire la transmission périnatale (par la dose de naissance) et à long terme l'incidence du carcinome hépatocellulaire (premier cancer évitable par vaccination). Le vaccin anti-hépatite B recombinant est l'un des vaccins les plus sûrs et les plus efficaces jamais développés (efficacité &gt; 95 % après schéma complet ; protection à vie chez &gt; 90 % des répondeurs avec titre d'anticorps anti-HBs ≥ 10 mUI/mL).</w:t>
      </w:r>
    </w:p>
    <w:p>
      <w:r/>
      <w:r>
        <w:rPr>
          <w:b/>
        </w:rPr>
        <w:t>Médicaments disponibles en Algérie (Format Tableau — Nomenclature Avril 2026)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HEBERBIOVAC HB PEDIATRIQUE</w:t>
            </w:r>
          </w:p>
        </w:tc>
        <w:tc>
          <w:tcPr>
            <w:tcW w:type="dxa" w:w="1559"/>
          </w:tcPr>
          <w:p>
            <w:r>
              <w:rPr>
                <w:sz w:val="20"/>
              </w:rPr>
              <w:t>Heber Biotec (Cuba)</w:t>
            </w:r>
          </w:p>
        </w:tc>
        <w:tc>
          <w:tcPr>
            <w:tcW w:type="dxa" w:w="1559"/>
          </w:tcPr>
          <w:p>
            <w:r>
              <w:rPr>
                <w:sz w:val="20"/>
              </w:rPr>
              <w:t>Solution injectable IM, 10 µg d'antigène HBs (Ag HBs) recombinant adsorbé / 0,5 mL</w:t>
            </w:r>
          </w:p>
        </w:tc>
        <w:tc>
          <w:tcPr>
            <w:tcW w:type="dxa" w:w="1559"/>
          </w:tcPr>
          <w:p>
            <w:r>
              <w:rPr>
                <w:sz w:val="20"/>
              </w:rPr>
              <w:t>Boîte de 25 flacons de 1 dose (0,5 mL)</w:t>
            </w:r>
          </w:p>
        </w:tc>
        <w:tc>
          <w:tcPr>
            <w:tcW w:type="dxa" w:w="1559"/>
          </w:tcPr>
          <w:p>
            <w:r>
              <w:rPr>
                <w:sz w:val="20"/>
              </w:rPr>
              <w:t>—</w:t>
            </w:r>
          </w:p>
        </w:tc>
        <w:tc>
          <w:tcPr>
            <w:tcW w:type="dxa" w:w="1559"/>
          </w:tcPr>
          <w:p>
            <w:r>
              <w:rPr>
                <w:sz w:val="20"/>
              </w:rPr>
              <w:t>NON_RENOUVELABLE</w:t>
            </w:r>
          </w:p>
        </w:tc>
      </w:tr>
    </w:tbl>
    <w:p/>
    <w:p>
      <w:r/>
      <w:r>
        <w:rPr>
          <w:b/>
        </w:rPr>
        <w:t>Sous-classe et Mécanisme d'action :</w:t>
      </w:r>
      <w:r/>
    </w:p>
    <w:p>
      <w:pPr>
        <w:pStyle w:val="ListBullet"/>
      </w:pPr>
      <w:r>
        <w:t>Sous-classe : Vaccin recombinant sous-unité antigénique (protéine HBs recombinante produite dans la levure *Saccharomyces cerevisiae*), adsorbé sur hydroxyde d'aluminium (adjuvant) ; thimerosal-free selon les formulations modernes.</w:t>
      </w:r>
    </w:p>
    <w:p>
      <w:pPr>
        <w:pStyle w:val="ListBullet"/>
      </w:pPr>
      <w:r>
        <w:t>Mécanisme d'action : Le gène S du VHB, codant l'antigène de surface (HBsAg), est inséré dans un plasmide d'expression sous le contrôle d'un promoteur inductible (par exemple GAL1 ou ADH1 de la levure). La levure *Saccharomyces cerevisiae* transformée produit la protéine HBsAg qui s'assemble spontanément en particules virales non infectieuses (VPs — *virus-like particles*), identiques morphologiquement et antigéniquement aux particules HBs du VHB naturel mais dépourvues d'ADN viral et de pouvoir infectieux. Après purification par chromatographie d'affinité et ultrafiltration, l'antigène HBs est adsorbé sur hydroxyde d'aluminium (0,25–0,5 mg Al³⁺/dose) qui joue le rôle d'adjuvant en créant un dépôt antigénique au point d'injection, favorisant un relargage progressif et une activation prolongée des cellules présentatrices d'antigène. Administré par voie intramusculaire (muscle deltoïde chez l'adulte et l'enfant &gt; 2 ans, muscle antéro-latéral de la cuisse chez le nourrisson), le vaccin déclenche une réponse immunitaire humorale T-dépendante : les cellules dendritiques capturent l'antigène, le présentent en CMH II aux lymphocytes T CD4+ helper (orientés Th2 principalement, avec production d'IL-4, IL-5, IL-13), qui à leur tour activent les lymphocytes B spécifiques → différenciation en plasmocytes sécréteurs d'IgG anti-HBs. La cinétique de la réponse humorale est : IgM détectables à J14–J21 (pic à J30), puis IgG apparaissant à J21, atteignant un pic à J60 et se stabilisant à des taux protecteurs (≥ 10 mUI/mL selon le seuil OMS) pendant plusieurs années. La vaccination induit également une mémoire immune B (lymphocytes B mémoires CD27+) qui permet une réponse secondaire rapide et amplifiée en cas d'exposition ultérieure au VHB. L'efficacité vaccinale après un schéma complet (3 doses) est de 95 % chez le nourrisson, 90 % chez l'adulte jeune, 75 % chez l'adulte de 60 ans, et chute à 50–70 % chez l'immunodéprimé (insuffisance rénale chronique, VIH, transplantation). La protection conférée est considérée comme prolongée (≥ 30 ans selon les suivis disponibles), et les rappels systématiques ne sont pas recommandés chez le sujet immunocompétent ayant répondu au schéma primaire. En revanche, les patients dialysés et immunodéprimés nécessitent un contrôle annuel du titre d'anticorps anti-HBs et des rappels si le titre chute sous 10 mUI/mL.</w:t>
      </w:r>
    </w:p>
    <w:p>
      <w:r/>
      <w:r>
        <w:rPr>
          <w:b/>
        </w:rPr>
        <w:t>Profil Pharmacologique :</w:t>
      </w:r>
      <w:r/>
    </w:p>
    <w:p>
      <w:pPr>
        <w:pStyle w:val="ListBullet"/>
      </w:pPr>
      <w:r>
        <w:t xml:space="preserve">Indications : (1) </w:t>
      </w:r>
      <w:r>
        <w:rPr>
          <w:b/>
        </w:rPr>
        <w:t>Vaccination systématique des nourrissons</w:t>
      </w:r>
      <w:r>
        <w:t xml:space="preserve"> selon le calendrier PEV algérien : dose à la naissance (≤ 24 h, idéalement dans les 12 h, dite "dose de naissance"), puis à 2 mois, 4 mois et 6 mois (schéma 0-2-4-6 ou 0-2-4 selon le calendrier retenu) ; (2) </w:t>
      </w:r>
      <w:r>
        <w:rPr>
          <w:b/>
        </w:rPr>
        <w:t>Rattrapage vaccinal</w:t>
      </w:r>
      <w:r>
        <w:t xml:space="preserve"> des enfants, adolescents et adultes non vaccinés ; (3) </w:t>
      </w:r>
      <w:r>
        <w:rPr>
          <w:b/>
        </w:rPr>
        <w:t>Vaccination des sujets à risque élevé</w:t>
      </w:r>
      <w:r>
        <w:t xml:space="preserve"> : personnel de santé (médecins, infirmiers, dentistes, sages-femmes, laborantins), patients dialysés, insuffisants rénaux chroniques, polytransfusés, hémophiles, toxicomanes IV, personnes ayant des partenaires multiples, homosexuels masculins, voyageurs en zone d'endémie, entourage familial d'un sujet AgHBs positif, patients VIH, patients candidats à une transplantation ou à une chimiothérapie ; (4) </w:t>
      </w:r>
      <w:r>
        <w:rPr>
          <w:b/>
        </w:rPr>
        <w:t>Prophylaxie post-exposition</w:t>
      </w:r>
      <w:r>
        <w:t xml:space="preserve"> : accident d'exposition au sang (AES) chez un sujet non vacciné (vaccination + immunoglobulines spécifiques anti-HBs dans les 24 h) ; nouveau-né de mère AgHBs positive (vaccination + Ig dans les 12 h following la naissance) ; contact sexuel récent (&lt; 72 h) avec un sujet AgHBs positif.</w:t>
      </w:r>
    </w:p>
    <w:p>
      <w:pPr>
        <w:pStyle w:val="ListBullet"/>
      </w:pPr>
      <w:r>
        <w:t xml:space="preserve">Contre-indications : (1) </w:t>
      </w:r>
      <w:r>
        <w:rPr>
          <w:b/>
        </w:rPr>
        <w:t>Hypersensibilité sévère (anaphylaxie)</w:t>
      </w:r>
      <w:r>
        <w:t xml:space="preserve"> à un composant du vaccin : protéine de levure (*Saccharomyces cerevisiae*), hydroxyde d'aluminium, phenoxyéthanol (conservateur), formaldéhyde résiduel (utilisé pour inactivation) ; (2) Antécédent de réaction grave à une précédente dose du vaccin ; (3) Maladie fébrile aiguë sévère (reporter la vaccination) ; (4) Précautions : sclérose en plaques (SEP) — débat historique non confirmé par les études épidémiologiques, mais à discuter en cas de poussée évolutive ; grossesse (par principe de précaution, à évaluer selon le risque — la vaccination d'une femme enceinte à risque est possible).</w:t>
      </w:r>
    </w:p>
    <w:p>
      <w:pPr>
        <w:pStyle w:val="ListBullet"/>
      </w:pPr>
      <w:r>
        <w:t xml:space="preserve">Effets Indésirables : (1) </w:t>
      </w:r>
      <w:r>
        <w:rPr>
          <w:b/>
        </w:rPr>
        <w:t>Réactions locales</w:t>
      </w:r>
      <w:r>
        <w:t xml:space="preserve"> (10–20 %) : douleur, érythème, induration au point d'injection, résolutives en 24–48 h ; plus fréquentes avec la voie IM (vs SC) ; nodule sous-cutané possible (réaction adjuvant) ; (2) </w:t>
      </w:r>
      <w:r>
        <w:rPr>
          <w:b/>
        </w:rPr>
        <w:t>Fièvre modérée</w:t>
      </w:r>
      <w:r>
        <w:t xml:space="preserve"> (1–6 %) : ≤ 38,5 °C, en 24–48 h, résolutive spontanément ; (3) Céphalées, fatigue, malaise (5–10 %) ; (4) Arthralgies, myalgies transitoires (1–5 %) ; (5) Troubles digestifs (nausées, diarrhée) &lt; 1 % ; (6) </w:t>
      </w:r>
      <w:r>
        <w:rPr>
          <w:b/>
        </w:rPr>
        <w:t>Réactions allergiques</w:t>
      </w:r>
      <w:r>
        <w:t xml:space="preserve"> : urticaire (rare), anaphylaxie (1/1 000 000 doses) — surveillance 30 minutes post-vaccination ; (7) Lymphadénopathies locales (5 %) ; (8) Augmentation transitoire des transaminases (exceptionnel, &lt; 0,1 %, asymptomatique) ; (9) </w:t>
      </w:r>
      <w:r>
        <w:rPr>
          <w:b/>
        </w:rPr>
        <w:t>Thrombopénie transitoire</w:t>
      </w:r>
      <w:r>
        <w:t xml:space="preserve"> (très rare) ; (10) </w:t>
      </w:r>
      <w:r>
        <w:rPr>
          <w:b/>
        </w:rPr>
        <w:t>Syndrome de Guillian-Barré</w:t>
      </w:r>
      <w:r>
        <w:t xml:space="preserve"> (SGB) : une seule étude ancienne a suggéré un lien avec la vaccination HB (plasma-derived, années 1990) ; les études ultérieures avec le vaccin recombinant n'ont pas confirmé cette association (risque attribuable non significatif, &lt; 1 cas / 1 000 000 doses) ; (11) </w:t>
      </w:r>
      <w:r>
        <w:rPr>
          <w:b/>
        </w:rPr>
        <w:t>Démyérisation du SNC / SEP</w:t>
      </w:r>
      <w:r>
        <w:t xml:space="preserve"> : débat historique (1990s, France) ; les vastes études épidémiologiques (CDC, OMS, ANSM) n'ont pas confirmé de lien causal ; la vaccination reste recommandée même chez les patients ayant une SEP, en dehors des poussées ; (12) Nodules persistants au point d'injection (rare, lié à l'adjuvant aluminium — "macrophagic myofasciitis" controversé, sans manifestation clinique significative à ce jour selon les avis OMS et EMA).</w:t>
      </w:r>
    </w:p>
    <w:p>
      <w:r/>
      <w:r>
        <w:rPr>
          <w:b/>
        </w:rPr>
        <w:t>Prévention et Gestion des Effets Indésirables :</w:t>
      </w:r>
      <w:r/>
    </w:p>
    <w:p>
      <w:pPr>
        <w:pStyle w:val="ListBullet"/>
      </w:pPr>
      <w:r>
        <w:t xml:space="preserve">Mesures Préventives : (a) </w:t>
      </w:r>
      <w:r>
        <w:rPr>
          <w:b/>
        </w:rPr>
        <w:t>Interrogatoire pré-vaccinal</w:t>
      </w:r>
      <w:r>
        <w:t xml:space="preserve"> : antécédents allergiques (levure, alcool, formol, antibiotiques), allergies alimentaires (levure de bière, fromages fermentés, vin — mais l'allergie vraie à *S. cerevisiae* est rare et l'allergie aux levures alimentaires n'est pas une CI à la vaccination), statut immunitaire, maladie aiguë, grossesse ; (b) </w:t>
      </w:r>
      <w:r>
        <w:rPr>
          <w:b/>
        </w:rPr>
        <w:t>Examen clinique pré-vaccinal</w:t>
      </w:r>
      <w:r>
        <w:t xml:space="preserve"> : température, recherche d'infection, de poussée de maladie chronique (SEP, maladie auto-immune) ; (c) </w:t>
      </w:r>
      <w:r>
        <w:rPr>
          <w:b/>
        </w:rPr>
        <w:t>Choix du site d'injection</w:t>
      </w:r>
      <w:r>
        <w:t xml:space="preserve"> : muscle deltoïde chez l'adulte et l'enfant &gt; 2 ans (meilleure immunogénicité et moindre taux d'effets locaux par rapport à la fesse — cette dernière est à éviter en raison du risque d'atteinte du nerf sciatique et d'immunogénicité réduite par la graisse sous-cutanée) ; muscle antéro-latéral de la cuisse chez le nourrisson &lt; 2 ans ; (d) </w:t>
      </w:r>
      <w:r>
        <w:rPr>
          <w:b/>
        </w:rPr>
        <w:t>Surveillance post-vaccinale</w:t>
      </w:r>
      <w:r>
        <w:t xml:space="preserve"> de 15–30 minutes (risque anaphylactique) ; (e) Information sur les réactions attendues (douleur locale, fièvre modérée 24–48 h).</w:t>
      </w:r>
    </w:p>
    <w:p>
      <w:pPr>
        <w:pStyle w:val="ListBullet"/>
      </w:pPr>
      <w:r>
        <w:t>Conduite à Tenir : (a) En cas de douleur locale : paracétamol, application de froid ; disparaît en 48 h ; (b) En cas de fièvre ≥ 38,5 °C : paracétamol, hydratation, surveillance ; consulter si fièvre &gt; 3 jours ou signes associés ; (c) En cas d'anaphylaxie (≤ 30 min) : adrénaline IM 0,5 mg chez l'adulte (0,01 mg/kg chez l'enfant), appel SAMU, position allongée, oxygène, antihistaminiques, corticoïdes IV, surveillance 24 h ; (d) En cas de réaction allergique retardée (urticaire, éruption) : antihistaminiques PO, avis médical ; (e) En cas de SGB ou de symptômes neurologiques dans les 4 semaines suivant la vaccination : hospitalisation, bilan neurologique, déclaration de pharmacovigilance ; (f) En cas de thrombopénie &lt; 50 G/L : surveillance NFS, parfois corticothérapie.</w:t>
      </w:r>
    </w:p>
    <w:p>
      <w:r/>
      <w:r>
        <w:rPr>
          <w:b/>
        </w:rPr>
        <w:t>Interactions Importantes :</w:t>
      </w:r>
      <w:r/>
    </w:p>
    <w:p>
      <w:pPr>
        <w:pStyle w:val="ListBullet"/>
      </w:pPr>
      <w:r/>
      <w:r>
        <w:rPr>
          <w:b/>
        </w:rPr>
        <w:t>Autres vaccins</w:t>
      </w:r>
      <w:r>
        <w:t xml:space="preserve"> (grippe, pneumocoque, méningocoque, HPV, polio inactivé, tétanos, etc.) : administration simultanée possible à des sites d'injection différents, sans interférence immunitaire significative.</w:t>
      </w:r>
    </w:p>
    <w:p>
      <w:pPr>
        <w:pStyle w:val="ListBullet"/>
      </w:pPr>
      <w:r/>
      <w:r>
        <w:rPr>
          <w:b/>
        </w:rPr>
        <w:t>Immunoglobulines anti-hépatite B (IgHB)</w:t>
      </w:r>
      <w:r>
        <w:t xml:space="preserve"> : la vaccination simultanée avec IgHB (en prophylaxie post-exposition, par exemple nouveau-né de mère AgHBs+) doit se faire à des sites d'injection différents (le vaccin dans le deltoïde ou la cuisse, les IgHB dans un autre muscle) — les IgHB ne neutralisent pas significativement la réponse vaccinale active.</w:t>
      </w:r>
    </w:p>
    <w:p>
      <w:pPr>
        <w:pStyle w:val="ListBullet"/>
      </w:pPr>
      <w:r/>
      <w:r>
        <w:rPr>
          <w:b/>
        </w:rPr>
        <w:t>Immunosuppresseurs</w:t>
      </w:r>
      <w:r>
        <w:t xml:space="preserve"> (corticoïdes, antimétabolites, biothérapies anti-CD20 like rituximab) : diminution de la réponse immunitaire ; vérifier le titre d'anti-HBs 1–2 mois après le schéma complet, envisager des doses supplémentaires si non-réponse (titre &lt; 10 mUI/mL).</w:t>
      </w:r>
    </w:p>
    <w:p>
      <w:pPr>
        <w:pStyle w:val="ListBullet"/>
      </w:pPr>
      <w:r/>
      <w:r>
        <w:rPr>
          <w:b/>
        </w:rPr>
        <w:t>Chimiothérapie anticancéreuse</w:t>
      </w:r>
      <w:r>
        <w:t xml:space="preserve"> : reporter la vaccination 3 mois après la fin du traitement pour permettre une réponse immune optimale (sauf si risque d'exposition au VHB — vaccination pendant la chimio avec contrôle sérologique post-chimio).</w:t>
      </w:r>
    </w:p>
    <w:p>
      <w:pPr>
        <w:pStyle w:val="ListBullet"/>
      </w:pPr>
      <w:r/>
      <w:r>
        <w:rPr>
          <w:b/>
        </w:rPr>
        <w:t>Anticoagulants oraux</w:t>
      </w:r>
      <w:r>
        <w:t xml:space="preserve"> (AVK, AOD) : ne pas contre-indiquer la vaccination IM, mais utiliser une aiguille fine (25 G), compresser le point d'injection pendant 5 minutes, surveiller l'hématome.</w:t>
      </w:r>
    </w:p>
    <w:p>
      <w:pPr>
        <w:pStyle w:val="ListBullet"/>
      </w:pPr>
      <w:r/>
      <w:r>
        <w:rPr>
          <w:b/>
        </w:rPr>
        <w:t>Alcool</w:t>
      </w:r>
      <w:r>
        <w:t xml:space="preserve"> : aucune interaction pharmacologique ; ne pas contre-indiquer la consommation d'alcool (mais le patient doit être sobre lors de la vaccination).</w:t>
      </w:r>
    </w:p>
    <w:p>
      <w:pPr>
        <w:pStyle w:val="ListBullet"/>
      </w:pPr>
      <w:r/>
      <w:r>
        <w:rPr>
          <w:b/>
        </w:rPr>
        <w:t>Vaccin antituberculeux BCG</w:t>
      </w:r>
      <w:r>
        <w:t xml:space="preserve"> : pas d'interférence ; peut être administré le même jour.</w:t>
      </w:r>
    </w:p>
    <w:p>
      <w:r/>
      <w:r>
        <w:rPr>
          <w:b/>
        </w:rPr>
        <w:t>Grossesse et Allaitement :</w:t>
      </w:r>
      <w:r/>
    </w:p>
    <w:p>
      <w:pPr>
        <w:pStyle w:val="ListBullet"/>
      </w:pPr>
      <w:r>
        <w:t xml:space="preserve">Grossesse : Le CRAT et l'OMS classent le vaccin anti-hépatite B recombinant en </w:t>
      </w:r>
      <w:r>
        <w:rPr>
          <w:b/>
        </w:rPr>
        <w:t>compatible et recommandé pendant la grossesse</w:t>
      </w:r>
      <w:r>
        <w:t xml:space="preserve"> chez les femmes à risque (AgHBs négatif mais exposées : personnel de santé, partenaires multiples, entourage d'un sujet infecté, voyage en zone d'endémie, toxicomanie). Le vaccin étant une protéine recombinante purifiée sans ADN viral, sans réplication, sans atteinte fœtale théorique, il n'y a pas de risque malformatif documenté (études observationnelles incluant plusieurs milliers de femmes enceintes, sans augmentation des malformations, morts fœtales ou prématurité). La vaccination systématique des femmes enceintes non immunisées est recommandée par le CDC ACIP et l'OMS. Particularité : chez la femme enceinte AgHBs positive, la vaccination du nouveau-né à la naissance (≤ 12 h) avec vaccin + IgHB réduit le risque de transmission verticale de 90 % à 5–10 %.</w:t>
      </w:r>
    </w:p>
    <w:p>
      <w:pPr>
        <w:pStyle w:val="ListBullet"/>
      </w:pPr>
      <w:r>
        <w:t xml:space="preserve">Allaitement : Le vaccin anti-hépatite B est </w:t>
      </w:r>
      <w:r>
        <w:rPr>
          <w:b/>
        </w:rPr>
        <w:t>compatible avec l'allaitement</w:t>
      </w:r>
      <w:r>
        <w:t xml:space="preserve"> selon le CRAT et l'OMS. Aucun composant vaccinal ne passe significativement dans le lait maternel (protéine recombinante de haut poids moléculaire, adsorbée sur aluminium), et même si une trace passait, elle serait dégradée par les sucs gastriques du nourrisson. L'allaitement ne constitue pas une contre-indication à la vaccination maternelle, et la vaccination du nourrisson peut avoir lieu normalement pendant l'allaitement.</w:t>
      </w:r>
    </w:p>
    <w:p>
      <w:pPr>
        <w:pStyle w:val="ListBullet"/>
      </w:pPr>
      <w:r>
        <w:t>Précisions : La vaccination de la femme enceinte séronégative exposée (conjoint AgHBs+, accident d'exposition au sang) est une urgence médicale qui ne doit pas être différée par la grossesse. Le schéma accéléré (0-1-6 ou 0-1-2-12) peut être utilisé.</w:t>
      </w:r>
    </w:p>
    <w:p>
      <w:r/>
      <w:r>
        <w:rPr>
          <w:b/>
        </w:rPr>
        <w:t>Posologie et Mode d'administration (Standard) :</w:t>
      </w:r>
      <w:r/>
    </w:p>
    <w:p>
      <w:pPr>
        <w:pStyle w:val="ListBullet"/>
      </w:pPr>
      <w:r>
        <w:t xml:space="preserve">Adulte et enfant &gt; 15 ans : </w:t>
      </w:r>
      <w:r>
        <w:rPr>
          <w:b/>
        </w:rPr>
        <w:t>20 µg/dose en IM</w:t>
      </w:r>
      <w:r>
        <w:t xml:space="preserve"> (deltoïde), 0,5 mL (selon spécialité — HEBERBIOVAC HB Pediatrique contient 10 µg ; la forme adulte à 20 µg est référencée dans d'autres pays) ; schéma standard </w:t>
      </w:r>
      <w:r>
        <w:rPr>
          <w:b/>
        </w:rPr>
        <w:t>0-1-6 mois</w:t>
      </w:r>
      <w:r>
        <w:t xml:space="preserve"> (J0, J30, J180) ou schéma rapide </w:t>
      </w:r>
      <w:r>
        <w:rPr>
          <w:b/>
        </w:rPr>
        <w:t>0-1-2-12 mois</w:t>
      </w:r>
      <w:r>
        <w:t xml:space="preserve"> (J0, J30, J60, J360) ; alternative schéma accéléré </w:t>
      </w:r>
      <w:r>
        <w:rPr>
          <w:b/>
        </w:rPr>
        <w:t>0-7-21 jours + rappel à 12 mois</w:t>
      </w:r>
      <w:r>
        <w:t xml:space="preserve"> (prophylaxie post-exposition, voyage imminent).</w:t>
      </w:r>
    </w:p>
    <w:p>
      <w:pPr>
        <w:pStyle w:val="ListBullet"/>
      </w:pPr>
      <w:r>
        <w:t xml:space="preserve">Nourrisson et enfant ≤ 15 ans : </w:t>
      </w:r>
      <w:r>
        <w:rPr>
          <w:b/>
        </w:rPr>
        <w:t>10 µg/dose en IM</w:t>
      </w:r>
      <w:r>
        <w:t xml:space="preserve"> (cuisse antéro-latérale &lt; 2 ans, deltoïde &gt; 2 ans), 0,5 mL ; schéma 0-1-6 ou selon le calendrier PEV algérien (naissance, 2-4-6 mois) ; dose de naissance ≤ 24 h après l'accouchement, idéalement dans les 12 h (prévention de la transmission verticale).</w:t>
      </w:r>
    </w:p>
    <w:p>
      <w:pPr>
        <w:pStyle w:val="ListBullet"/>
      </w:pPr>
      <w:r>
        <w:t>Nouveau-né de mère AgHBs positive : vaccin + IgHB (0,5 mL IM) à des sites différents dans les 12 h suivant la naissance, puis schéma vaccinal classique à 0-1-6 mois.</w:t>
      </w:r>
    </w:p>
    <w:p>
      <w:pPr>
        <w:pStyle w:val="ListBullet"/>
      </w:pPr>
      <w:r>
        <w:t>Prophylaxie post-exposition (AES, contact sexuel) : chez un sujet non vacciné, vaccin + IgHB (0,06 mL/kg IM, max 5 mL) dans les 24 h (au plus tard 72 h) ; schéma 0-1-6 mois.</w:t>
      </w:r>
    </w:p>
    <w:p>
      <w:pPr>
        <w:pStyle w:val="ListBullet"/>
      </w:pPr>
      <w:r>
        <w:t>Adaptation à l'immunodéprimé (dialysé, VIH, transplanté) : doubler la dose (40 µg/dose), contrôler le titre d'anti-HBs 1–2 mois après le schéma complet, administrer des doses supplémentaires si titre &lt; 10 mUI/mL (jusqu'à 6 doses au total).</w:t>
      </w:r>
    </w:p>
    <w:p>
      <w:pPr>
        <w:pStyle w:val="ListBullet"/>
      </w:pPr>
      <w:r>
        <w:t xml:space="preserve">Conservation : </w:t>
      </w:r>
      <w:r>
        <w:rPr>
          <w:b/>
        </w:rPr>
        <w:t>+2 °C à +8 °C</w:t>
      </w:r>
      <w:r>
        <w:t xml:space="preserve"> (réfrigérateur, ne pas congeler — la congélation dénature l'antigène adsorbé sur aluminium), à l'abri de la lumière, ne pas utiliser si le flacon présente des particules, une coloration anormale ou si la chaîne du froid a été rompue. Agiter avant emploi pour remettre en suspension l'antigène adsorbé.</w:t>
      </w:r>
    </w:p>
    <w:p>
      <w:r/>
      <w:r>
        <w:rPr>
          <w:b/>
        </w:rPr>
        <w:t>Arbitrage et Bénéfices des Formes Galéniques :</w:t>
      </w:r>
      <w:r/>
    </w:p>
    <w:p>
      <w:r>
        <w:t xml:space="preserve">Le vaccin HEBERBIOVAC HB PEDIATRIQUE est produit à Cuba par Heber Biotec (Centre for Genetic Engineering and Biotechnology de La Havane), à partir de la souche recombinante </w:t>
      </w:r>
      <w:r>
        <w:rPr>
          <w:i/>
        </w:rPr>
        <w:t>S. cerevisiae</w:t>
      </w:r>
      <w:r>
        <w:t xml:space="preserve"> pYHBs. C'est un vaccin sous-unité purifiée de haute qualité, ne contenant ni thimerosal, ni formaldéhyde, ni protéines de lait ou d'œuf. La forme pédiatrique (10 µg/0,5 mL) est adaptée aux nourrissons et enfants jusqu'à 15 ans ; la forme adulte (20 µg/0,5 mL ou 40 µg/1 mL pour dialysés) n'est pas référencée dans la nomenclature algérienne (NON_RENOUVELABLE pour la forme pédiatrique également en Avril 2026). Cette situation impose au pharmacien d'officine d'orienter les patients vers les centres PEV publics pour la vaccination systématique des nourrissons (vaccin gratuit), ou vers les vaccins combinés (par exemple DTC-HepB-Hib, Engerix-B adult, HBVAXPRO si disponibles à l'importation privée). La forme en flacon multidose de 25 unités est adaptée aux centres de vaccination collective (cliniques, PMI), tandis que les seringues préremplies monodose (référencées dans d'autres pays) sont préférées pour la pratique privée. Le pharmacien d'officine ne délivre généralement pas ce vaccin directement (réservé aux centres de vaccination), mais doit connaître ses particularités pour informer les patients et orienter vers les structures appropriées.</w:t>
      </w:r>
    </w:p>
    <w:p>
      <w:r/>
      <w:r>
        <w:rPr>
          <w:b/>
        </w:rPr>
        <w:t>Instructions et Conseils au Patient :</w:t>
      </w:r>
      <w:r/>
    </w:p>
    <w:p>
      <w:pPr>
        <w:pStyle w:val="ListBullet"/>
      </w:pPr>
      <w:r>
        <w:t>Communication au comptoir (officine) : "Ce vaccin protège contre le virus de l'hépatite B, qui peut causer une inflammation du foie, une cirrhose et un cancer du foie. C'est un vaccin très sûr (protéine recombinante, sans virus vivant). Le schéma comprend 3 injections à 0, 1 et 6 mois. La vaccination est particulièrement importante pour les nourrissons (dose de naissance), les professionnels de santé, les voyageurs en zone d'endémie et les personnes exposées. Après la vaccination, vous pouvez avoir un peu de fièvre et une douleur au point d'injection pendant 24 à 48 heures : c'est normal. Évitez les efforts physiques intenses pendant 24 heures."</w:t>
      </w:r>
    </w:p>
    <w:p>
      <w:pPr>
        <w:pStyle w:val="ListBullet"/>
      </w:pPr>
      <w:r>
        <w:t>Mode d'utilisation pratique : (1) Conserver au réfrigérateur à +2 °C à +8 °C ; vérifier la température du réfrigérateur chaque jour. (2) Transporter dans une sacoche isotherme avec accumulateur de froid. (3) Le médecin ou l'infirmière agitera le flacon avant emploi et injectera dans le muscle deltoïde (ou la cuisse chez le nourrisson). (4) Surveiller 15–30 minutes après l'injection (risque d'allergie immédiate très rare). (5) Tenir le carnet de vaccination à jour, noter la date et le lot. (6) Le contrôle sérologique (titre d'anti-HBs) n'est pas nécessaire chez le sujet immunocompétent après schéma complet, sauf exposition particulière ; il est en revanche recommandé chez les professionnels de santé, les dialysés, les immunodéprimés (1–2 mois après la dernière dose, seuil protecteur ≥ 10 mUI/mL).</w:t>
      </w:r>
    </w:p>
    <w:p>
      <w:pPr>
        <w:pStyle w:val="ListBullet"/>
      </w:pPr>
      <w:r>
        <w:t>Conseils spécifiques : (a) Chez le nourrisson de mère AgHBs positive, la vaccination + immunoglobulines à la naissance est cruciale et ne souffre aucun retard (≤ 12 h après l'accouchement) ; (b) En cas d'AES, laver abondamment à l'eau et au savon, désinfecter (Dakin, alcool 70°), consulter en urgence pour évaluation sérologique et vaccination ; (c) La vaccination est également recommandée chez les patients candidats à une chimiothérapie ou à une transplantation, avant le début de l'immunosuppression.</w:t>
      </w:r>
    </w:p>
    <w:p>
      <w:r/>
      <w:r>
        <w:rPr>
          <w:b/>
        </w:rPr>
        <w:t>Notes, Règles d'Or &amp; Pièges au Comptoir :</w:t>
      </w:r>
      <w:r/>
    </w:p>
    <w:p>
      <w:pPr>
        <w:pStyle w:val="ListBullet"/>
      </w:pPr>
      <w:r>
        <w:t xml:space="preserve">Piège classique n°1 : </w:t>
      </w:r>
      <w:r>
        <w:rPr>
          <w:b/>
        </w:rPr>
        <w:t>Le vaccin anti-hépatite B pédiatrique HEBERBIOVAC est NON_RENOUVELABLE en Algérie</w:t>
      </w:r>
      <w:r>
        <w:t xml:space="preserve"> — ne pas le promettre au patient sans vérifier la disponibilité ; orienter vers les centres PEV ou vers les vaccins combinés pédiatriques (DTC-HepB-Hib) si disponibles.</w:t>
      </w:r>
    </w:p>
    <w:p>
      <w:pPr>
        <w:pStyle w:val="ListBullet"/>
      </w:pPr>
      <w:r>
        <w:t xml:space="preserve">Piège classique n°2 : </w:t>
      </w:r>
      <w:r>
        <w:rPr>
          <w:b/>
        </w:rPr>
        <w:t>Allergie à la levure ≠ allergie alimentaire</w:t>
      </w:r>
      <w:r>
        <w:t xml:space="preserve"> — la plupart des patients disant "être allergique à la levure" (intolérance au vin, à la bière, aux fromages fermentés) n'ont pas une véritable allergie IgE-médiée à *Saccharomyces cerevisiae* et peuvent recevoir le vaccin. Réserver la CI aux patients avec anaphylaxie documentée à la levure.</w:t>
      </w:r>
    </w:p>
    <w:p>
      <w:pPr>
        <w:pStyle w:val="ListBullet"/>
      </w:pPr>
      <w:r>
        <w:t xml:space="preserve">Piège classique n°3 : </w:t>
      </w:r>
      <w:r>
        <w:rPr>
          <w:b/>
        </w:rPr>
        <w:t>Le vaccin anti-hépatite B est compatible avec la grossesse</w:t>
      </w:r>
      <w:r>
        <w:t xml:space="preserve"> — à la différence des vaccins vivants, il peut être administré pendant la grossesse chez les femmes à risque. C'est une information clé pour les femmes enceintes AgHBs négatives exposées.</w:t>
      </w:r>
    </w:p>
    <w:p>
      <w:pPr>
        <w:pStyle w:val="ListBullet"/>
      </w:pPr>
      <w:r>
        <w:t xml:space="preserve">Piège classique n°4 : </w:t>
      </w:r>
      <w:r>
        <w:rPr>
          <w:b/>
        </w:rPr>
        <w:t>Voie IM obligatoire (jamais IV, jamais SC sauf exception chez l'hémophile)</w:t>
      </w:r>
      <w:r>
        <w:t xml:space="preserve"> — l'injection IV peut provoquer une réaction systémique et une faible immunogénicité ; l'injection SC est autorisée chez les hémophiles mais avec une immunogénicité moindre et un risque de nodule persistant (aluminium). Toujours injecter dans le deltoïde (adulte) ou la cuisse antéro-latérale (nourrisson), jamais dans la fesse.</w:t>
      </w:r>
    </w:p>
    <w:p>
      <w:pPr>
        <w:pStyle w:val="ListBullet"/>
      </w:pPr>
      <w:r>
        <w:t xml:space="preserve">Piège classique n°5 : </w:t>
      </w:r>
      <w:r>
        <w:rPr>
          <w:b/>
        </w:rPr>
        <w:t>Ne pas congeler</w:t>
      </w:r>
      <w:r>
        <w:t xml:space="preserve"> — la congélation détruit l'antigène adsorbé sur l'aluminium. Vérifier la chaîne du froid.</w:t>
      </w:r>
    </w:p>
    <w:p>
      <w:pPr>
        <w:pStyle w:val="ListBullet"/>
      </w:pPr>
      <w:r>
        <w:t xml:space="preserve">Piège classique n°6 : </w:t>
      </w:r>
      <w:r>
        <w:rPr>
          <w:b/>
        </w:rPr>
        <w:t>Schéma accéléré possible en post-exposition</w:t>
      </w:r>
      <w:r>
        <w:t xml:space="preserve"> — 0-7-21 jours + rappel 12 mois pour les expositions aiguës (AES, voyage imminent, contact sexuel récent).</w:t>
      </w:r>
    </w:p>
    <w:p>
      <w:pPr>
        <w:pStyle w:val="ListBullet"/>
      </w:pPr>
      <w:r>
        <w:t xml:space="preserve">Piège classique n°7 : </w:t>
      </w:r>
      <w:r>
        <w:rPr>
          <w:b/>
        </w:rPr>
        <w:t>Contrôle sérologique non systématique</w:t>
      </w:r>
      <w:r>
        <w:t xml:space="preserve"> — le contrôle du titre d'anti-HBs n'est pas recommandé en routine chez le sujet immunocompétent après schéma complet (protection à vie &gt; 95 % des répondeurs). Il est en revanche obligatoire chez les professionnels de santé, les dialysés, les immunodéprimés.</w:t>
      </w:r>
    </w:p>
    <w:p>
      <w:pPr>
        <w:pStyle w:val="ListBullet"/>
      </w:pPr>
      <w:r>
        <w:t>Règle de prise : 3 doses à 0, 1 et 6 mois (schéma standard) ; dose de naissance chez le nourrisson ; voie IM deltoïde (ou cuisse &lt; 2 ans) ; chaîne du froid +2 °C à +8 °C, ne pas congeler ; surveillance 30 minutes post-vaccination.</w:t>
      </w:r>
    </w:p>
    <w:p>
      <w:pPr>
        <w:pStyle w:val="ListBullet"/>
      </w:pPr>
      <w:r>
        <w:t>Préparation et Conservation : flacon multidose +2 °C à +8 °C jusqu'à péremption ; ne pas congeler ; agiter avant emploi ; solution reconstituée (pour formes lyophilisées) à utiliser immédiatement ; jeter les flacons multidoses dans les 24 h après première ouverture (selon fabricant).</w:t>
      </w:r>
    </w:p>
    <w:p>
      <w:pPr>
        <w:pStyle w:val="ListBullet"/>
      </w:pPr>
      <w:r>
        <w:t>Piège du surdosage / Substitution : (a) Surdosage (double dose) : pas de toxicité significative, mais surveillance de la fièvre et des transaminases. (b) Substitution avec autres vaccins anti-HB recombinants (Engerix-B, HBVAXPRO, Recombivax) possible et bioéquivalente, mais ces marques ne sont pas systématiquement disponibles en Algérie. (c) Ne pas confondre vaccin anti-hépatite B (recombinant HBsAg) et immunoglobulines anti-hépatite B (IgHB) — administration simultanée en prophylaxie post-exposition mais produits différents (le vaccin indu une immunité active en 2–4 semaines, les IgHB fournissent une protection passive immédiate pendant 3–6 mois).</w:t>
      </w:r>
    </w:p>
    <w:p>
      <w:pPr>
        <w:pStyle w:val="Heading2"/>
      </w:pPr>
      <w:r>
        <w:t>174.3 Sous-classe : Vaccins inactivés fragmentés (Grippe)</w:t>
      </w:r>
    </w:p>
    <w:p>
      <w:pPr>
        <w:pStyle w:val="Heading3"/>
      </w:pPr>
      <w:r>
        <w:t>Introduction à la sous-classe</w:t>
      </w:r>
    </w:p>
    <w:p>
      <w:r>
        <w:t>Les vaccins inactivés fragmentés constituent une classe intermédiaire entre les vaccins vivants atténués (immunogènes mais contre-indiqués chez l'immunodéprimé et la femme enceinte, en raison de leur réplication) et les vaccins recombinants sous-unité (sûrs mais avec un spectre antigénique étroit). Leur principe consiste à cultiver le virus pathogène en grande quantité (généralement sur œufs embryonnés de poule ou sur cellules MDCK, Vero), à l'inactiver par un agent chimique (formaldéhyde ou bêta-propiolactone) qui détruit sa capacité de réplication tout en préservant son intégrité antigénique, puis à le fragmenter par un détergent (Triton X-100, éther, polysorbate) qui dissocie l'enveloppe virale et libère les antigènes de surface (hémagglutinine H, neuraminidase N) et les composants internes (nucléoprotéine, protéine M). La fragmentation permet de réduire la réactogénicité (moins d'effets secondaires systémiques) tout en conservant une immunogénicité suffisante. Cette technologie est historiquement celle du vaccin antigrippal saisonnier, développée dans les années 1940 (Thomas Francis, Jonas Salk) et constamment perfectionnée.</w:t>
      </w:r>
    </w:p>
    <w:p>
      <w:r>
        <w:t xml:space="preserve">La particularité majeure de la grippe saisonnière est sa </w:t>
      </w:r>
      <w:r>
        <w:rPr>
          <w:b/>
        </w:rPr>
        <w:t>variabilité antigénique annuelle</w:t>
      </w:r>
      <w:r>
        <w:t xml:space="preserve">, qui impose une mise à jour régulière de la composition du vaccin. Le virus influenza (types A et B) subit deux types de variations : (i) les </w:t>
      </w:r>
      <w:r>
        <w:rPr>
          <w:b/>
        </w:rPr>
        <w:t>drifts antigéniques</w:t>
      </w:r>
      <w:r>
        <w:t xml:space="preserve"> (</w:t>
      </w:r>
      <w:r>
        <w:rPr>
          <w:i/>
        </w:rPr>
        <w:t>antigenic drift</w:t>
      </w:r>
      <w:r>
        <w:t xml:space="preserve">) — mutations ponctuelles dans les gènes HA et NA par erreur de la transcriptase inverse virale (RNA polymerase sans activité de relecture), responsables des épidémies saisonnières annuelles ; (ii) les </w:t>
      </w:r>
      <w:r>
        <w:rPr>
          <w:b/>
        </w:rPr>
        <w:t>shifts antigéniques</w:t>
      </w:r>
      <w:r>
        <w:t xml:space="preserve"> (</w:t>
      </w:r>
      <w:r>
        <w:rPr>
          <w:i/>
        </w:rPr>
        <w:t>antigenic shift</w:t>
      </w:r>
      <w:r>
        <w:t>) — réassortiments génétiques entre souches humaines et animales (aviaires, porcines) dans un hôte intermédiaire (porc, volatile), responsables des pandémies (1918 H1N1, 1957 H2N2, 1968 H3N2, 2009 H1N1 pandémique). L'OMS, via son réseau de surveillance Global Influenza Surveillance and Response System (GISRS), réunit deux fois par an (février pour l'hémisphère nord, septembre pour l'hémisphère sud) des experts pour définir la composition du vaccin antigrippal de la saison suivante. Le vaccin quadrivalent actuel contient deux souches de type A (H1N1 et H3N2) et deux souches de type B (lignée Victoria et lignée Yamagata).</w:t>
      </w:r>
    </w:p>
    <w:p>
      <w:r>
        <w:t xml:space="preserve">L'efficacité vaccinale varie de 40 à 60 % en moyenne selon les saisons (estimation CDC), avec des variations importantes selon l'adéquation des souches vaccinales aux souches circulantes et selon l'âge et le statut immunitaire du vacciné. Chez le sujet âgé de plus de 65 ans, dont la réponse immune est diminuée (immunosénescence), des vaccins </w:t>
      </w:r>
      <w:r>
        <w:rPr>
          <w:b/>
        </w:rPr>
        <w:t>adjuvés</w:t>
      </w:r>
      <w:r>
        <w:t xml:space="preserve"> (MF59, AS03) ou </w:t>
      </w:r>
      <w:r>
        <w:rPr>
          <w:b/>
        </w:rPr>
        <w:t>hautement dosés</w:t>
      </w:r>
      <w:r>
        <w:t xml:space="preserve"> (4× la dose standard d'hémagglutinine par souche, soit 60 µg/souche au lieu de 15 µg) sont recommandés pour améliorer l'immunogénicité. En Algérie, la campagne vaccinale antigrippale annuelle (octobre-novembre) cible prioritairement les sujets à risque : personnes âgées ≥ 65 ans, résidents en collectivité (EHPAD), femmes enceintes (à partir du 2e trimestre), patients atteints de maladies chroniques respiratoires (BPCO, asthme), cardiovasculaires, rénales, hépatiques, diabétiques, immunodéprimés, personnel de santé, voyageurs en zone épidémique, personnel en contact avec des sujets à risque.</w:t>
      </w:r>
    </w:p>
    <w:p>
      <w:pPr>
        <w:pStyle w:val="Heading3"/>
      </w:pPr>
      <w:r>
        <w:t>174.3.1 DCI : Vaccin antigrippal inactivé à virion fragmenté</w:t>
      </w:r>
    </w:p>
    <w:p>
      <w:r/>
      <w:r>
        <w:rPr>
          <w:b/>
        </w:rPr>
        <w:t>Liste des Catégories :</w:t>
      </w:r>
      <w:r>
        <w:t xml:space="preserve"> Vaccin inactivé à virion fragmenté ; Vaccin antigrippal saisonnier quadrivalent (2 souches A + 2 souches B) ; Conservation +2 °C à +8 °C ; Campagne annuelle (octobre-décembre en Algérie) ; Liste I.</w:t>
      </w:r>
    </w:p>
    <w:p>
      <w:r>
        <w:t>La grippe saisonnière, infection respiratoire aiguë causée par le virus influenza (types A/H1N1, A/H3N2, B/Victoria, B/Yamagata), touche chaque année entre 5 et 15 % de la population mondiale, avec 3 à 5 millions de cas graves et 290 000 à 650 000 décès (OMS). En Algérie, la grippe circule chaque hiver (pics en décembre-février) avec un impact significatif sur les hospitalisations pour pneumonie, décompensation de BPCO, d'insuffisance cardiaque, et sur la mortalité des sujets âgés. La vaccination antigrippale est recommandée chaque année par le Ministère de la Santé algérien pour les sujets à risque (≥ 65 ans, maladies chroniques, femmes enceintes, personnel de santé) et est gratuite dans les centres publics pour ces populations cibles. Le vaccin VAXIGRIP TETRA (Sanofi Pasteur) est le vaccin antigrippal quadrivalent inactivé à virion fragmenté le plus largement disponible en Algérie, administré en une dose annuelle de 0,5 mL par voie intramusculaire (deltoïde) ou sous-cutanée.</w:t>
      </w:r>
    </w:p>
    <w:p>
      <w:r/>
      <w:r>
        <w:rPr>
          <w:b/>
        </w:rPr>
        <w:t>Médicaments disponibles en Algérie (Format Tableau — Nomenclature Avril 2026)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VAXIGRIP TETRA</w:t>
            </w:r>
          </w:p>
        </w:tc>
        <w:tc>
          <w:tcPr>
            <w:tcW w:type="dxa" w:w="1559"/>
          </w:tcPr>
          <w:p>
            <w:r>
              <w:rPr>
                <w:sz w:val="20"/>
              </w:rPr>
              <w:t>SANOFI PASTEUR S.A.</w:t>
            </w:r>
          </w:p>
        </w:tc>
        <w:tc>
          <w:tcPr>
            <w:tcW w:type="dxa" w:w="1559"/>
          </w:tcPr>
          <w:p>
            <w:r>
              <w:rPr>
                <w:sz w:val="20"/>
              </w:rPr>
              <w:t>Suspension injectable (IM/SC), 15 µg d'hémagglutinine/souche (4 souches : A/H1N1, A/H3N2, B/Victoria, B/Yamagata), soit 60 µg HA/dose de 0,5 mL</w:t>
            </w:r>
          </w:p>
        </w:tc>
        <w:tc>
          <w:tcPr>
            <w:tcW w:type="dxa" w:w="1559"/>
          </w:tcPr>
          <w:p>
            <w:r>
              <w:rPr>
                <w:sz w:val="20"/>
              </w:rPr>
              <w:t>Boîte de 1 seringue préremplie de 0,5 mL</w:t>
            </w:r>
          </w:p>
        </w:tc>
        <w:tc>
          <w:tcPr>
            <w:tcW w:type="dxa" w:w="1559"/>
          </w:tcPr>
          <w:p>
            <w:r>
              <w:rPr>
                <w:sz w:val="20"/>
              </w:rPr>
              <w:t>LISTE I</w:t>
            </w:r>
          </w:p>
        </w:tc>
        <w:tc>
          <w:tcPr>
            <w:tcW w:type="dxa" w:w="1559"/>
          </w:tcPr>
          <w:p>
            <w:r>
              <w:rPr>
                <w:sz w:val="20"/>
              </w:rPr>
              <w:t>ACTIF</w:t>
            </w:r>
          </w:p>
        </w:tc>
      </w:tr>
      <w:tr>
        <w:tc>
          <w:tcPr>
            <w:tcW w:type="dxa" w:w="1559"/>
          </w:tcPr>
          <w:p>
            <w:r>
              <w:rPr>
                <w:sz w:val="20"/>
              </w:rPr>
              <w:t>VAXIGRIP</w:t>
            </w:r>
          </w:p>
        </w:tc>
        <w:tc>
          <w:tcPr>
            <w:tcW w:type="dxa" w:w="1559"/>
          </w:tcPr>
          <w:p>
            <w:r>
              <w:rPr>
                <w:sz w:val="20"/>
              </w:rPr>
              <w:t>SANOFI PASTEUR S.A.</w:t>
            </w:r>
          </w:p>
        </w:tc>
        <w:tc>
          <w:tcPr>
            <w:tcW w:type="dxa" w:w="1559"/>
          </w:tcPr>
          <w:p>
            <w:r>
              <w:rPr>
                <w:sz w:val="20"/>
              </w:rPr>
              <w:t>Suspension injectable (IM/SC), 15 µg d'hémagglutinine/souche (3 souches : trivalent), 0,5 mL</w:t>
            </w:r>
          </w:p>
        </w:tc>
        <w:tc>
          <w:tcPr>
            <w:tcW w:type="dxa" w:w="1559"/>
          </w:tcPr>
          <w:p>
            <w:r>
              <w:rPr>
                <w:sz w:val="20"/>
              </w:rPr>
              <w:t>Boîte de 1 seringue préremplie</w:t>
            </w:r>
          </w:p>
        </w:tc>
        <w:tc>
          <w:tcPr>
            <w:tcW w:type="dxa" w:w="1559"/>
          </w:tcPr>
          <w:p>
            <w:r>
              <w:rPr>
                <w:sz w:val="20"/>
              </w:rPr>
              <w:t>—</w:t>
            </w:r>
          </w:p>
        </w:tc>
        <w:tc>
          <w:tcPr>
            <w:tcW w:type="dxa" w:w="1559"/>
          </w:tcPr>
          <w:p>
            <w:r>
              <w:rPr>
                <w:sz w:val="20"/>
              </w:rPr>
              <w:t>NON_RENOUVELABLE</w:t>
            </w:r>
          </w:p>
        </w:tc>
      </w:tr>
    </w:tbl>
    <w:p/>
    <w:p>
      <w:r/>
      <w:r>
        <w:rPr>
          <w:b/>
        </w:rPr>
        <w:t>Sous-classe et Mécanisme d'action :</w:t>
      </w:r>
      <w:r/>
    </w:p>
    <w:p>
      <w:pPr>
        <w:pStyle w:val="ListBullet"/>
      </w:pPr>
      <w:r>
        <w:t>Sous-classe : Vaccin inactivé à virion fragmenté (split virion), cultivé sur œufs embryonnés de poule (9–11 jours), inactivé par formaldéhyde, fragmenté par polysorbate 80 et octoxinol 9 ; purifié par ultracentrifugation ; standardisé par dosage de l'hémagglutinine (15 µg par souche selon les normes OMS).</w:t>
      </w:r>
    </w:p>
    <w:p>
      <w:pPr>
        <w:pStyle w:val="ListBullet"/>
      </w:pPr>
      <w:r>
        <w:t>Mécanisme d'action : Le virus influenza est cultivé dans la cavité allantoïque d'œufs embryonnés de poule pendant 48–72 h, puis le liquide allantoïque est récolté, purifié par centrifugation zonale, et le virus concentré est inactivé par le formaldéhyde (0,02 %, qui réticule les protéines virales et détruit l'ARN polymerase sans dénaturer les épitopes antigéniques de l'hémagglutinine). Le virion intact est ensuite fragmenté par un détergent non ionique (polysorbate 80, octoxinol 9), qui dissocie l'enveloppe lipidique et libère les glycoprotéines de surface (hémagglutinine HA et neuraminidase NA) ainsi que la nucléoprotéine (NP) et les protéines M1/M2 matricielles. La suspension purifiée est standardisée à 15 µg d'hémagglutinine par souche vaccinale (selon les recommandations OMS annuelles), mélangée avec un tampon phosphate et (selon la formulation) un adjuvant (MF59 pour les vaccins adjuvés, aluminium pour les vaccins adsorbés). Le vaccin est administré par voie IM (deltoïde) ou SC, déclenchant une réponse immunitaire humorale T-dépendante avec production d'IgG anti-HA (anticorps neutralisants qui bloquent la fixation du virus aux cellules cibles respiratoires), d'IgG anti-NA (anticorps qui inhibent la libération des virions néoformés, limitant la dissémination), et d'IgA muqueuses (limitées avec la voie IM — la voie intranasale vive atténuée est supérieure pour les IgA). La cinétique de la réponse : anticorps détectables à J7–J10, pic à J21–J28, décroissance progressive sur 6–12 mois (d'où la nécessité d'un rappel annuel). L'efficacité vaccinale (prévention de l'infection confirmée biologiquement) varie de 40 à 60 % selon les saisons (moyenne 50 % sur 10 saisons, CDC), avec une meilleure protection contre les souches A/H1N1 (60–80 %) que contre les souches A/H3N2 (30–50 %, en raison de la variabilité génétique plus marquée et des mutations survenues lors de la reproduction du virus sur œuf — *egg-adapted mutations*). Chez le sujet âgé, l'efficacité chute à 30–40 % en moyenne (immunosénescence), justifiant l'usage de vaccins adjuvés (MF59, comme Fluad) ou hautement dosés (Fluzone High-Dose, non disponibles en Algérie).</w:t>
      </w:r>
    </w:p>
    <w:p>
      <w:r/>
      <w:r>
        <w:rPr>
          <w:b/>
        </w:rPr>
        <w:t>Profil Pharmacologique :</w:t>
      </w:r>
      <w:r/>
    </w:p>
    <w:p>
      <w:pPr>
        <w:pStyle w:val="ListBullet"/>
      </w:pPr>
      <w:r>
        <w:t xml:space="preserve">Indications : (1) </w:t>
      </w:r>
      <w:r>
        <w:rPr>
          <w:b/>
        </w:rPr>
        <w:t>Vaccination annuelle des sujets à risque</w:t>
      </w:r>
      <w:r>
        <w:t xml:space="preserve"> selon les recommandations du Ministère de la Santé algérien et de l'OMS : personnes âgées ≥ 65 ans, résidents en EHPAD et collectivités, femmes enceintes à partir du 2e trimestre (quel que soit le trimestre selon l'OMS récente), patients atteints de maladies chroniques (BPCO, asthme, mucoviscidose, insuffisance cardiaque, coronaropathie, diabète, insuffisance rénale chronique, hépatopathie chronique, néoplasie, immunodépression congénitale ou acquise, VIH, traitement immunosuppresseur), personnes obèses (IMC ≥ 40), personnel de santé, entourage familial de nourrissons &lt; 6 mois (cocooning), voyageurs en zone épidémique, personnels essentiels (police, pompiers, enseignants en période épidémique) ; (2) Vaccination des voyageurs en zone tropicale où la grippe circule toute l'année ; (3) Vaccination des pèlerins du Hadj et Omra (obligatoire selon les autorités saoudiennes pendant la saison grippale) ; (4) Vaccination des personnes souhaitant réduire leur risque individuel d'infection (hors recommandations officielles).</w:t>
      </w:r>
    </w:p>
    <w:p>
      <w:pPr>
        <w:pStyle w:val="ListBullet"/>
      </w:pPr>
      <w:r>
        <w:t xml:space="preserve">Contre-indications : (1) </w:t>
      </w:r>
      <w:r>
        <w:rPr>
          <w:b/>
        </w:rPr>
        <w:t>Hypersensibilité sévère (anaphylaxie)</w:t>
      </w:r>
      <w:r>
        <w:t xml:space="preserve"> à un composant du vaccin : protéines de l'œuf (ovalbumine, protéines du blanc d'œuf résiduelles — le vaccin est cultivé sur œufs), formaldéhyde, néomycine, gentamicine, polymyxine B, polysorbate 80, octoxinol ; (2) Antécédent de </w:t>
      </w:r>
      <w:r>
        <w:rPr>
          <w:b/>
        </w:rPr>
        <w:t>syndrome de Guillain-Barré</w:t>
      </w:r>
      <w:r>
        <w:t xml:space="preserve"> (SGB) dans les 6 semaines suivant une vaccination antigrippale antérieure (CI relative à évaluer selon le bénéfice/risque) ; (3) Maladie fébrile aiguë sévère (reporter la vaccination) ; (4) Allergie sévère au latex (certaines seringues préremplies ont un bouchon en caoutchouc naturel — vérifier la notice) ; (5) Enfant &lt; 6 mois (pas d'AMM).</w:t>
      </w:r>
    </w:p>
    <w:p>
      <w:pPr>
        <w:pStyle w:val="ListBullet"/>
      </w:pPr>
      <w:r>
        <w:t xml:space="preserve">Effets Indésirables : (1) </w:t>
      </w:r>
      <w:r>
        <w:rPr>
          <w:b/>
        </w:rPr>
        <w:t>Réactions locales</w:t>
      </w:r>
      <w:r>
        <w:t xml:space="preserve"> (15–30 %) : douleur, érythème, induration au point d'injection, résolutives en 24–48 h ; plus fréquentes avec la voie IM ; (2) </w:t>
      </w:r>
      <w:r>
        <w:rPr>
          <w:b/>
        </w:rPr>
        <w:t>Fièvre modérée</w:t>
      </w:r>
      <w:r>
        <w:t xml:space="preserve"> (1–5 % chez l'adulte, jusqu'à 10–20 % chez l'enfant) : ≤ 38,5 °C en 6–24 h, résolutive en 24–48 h ; (3) Céphalées, myalgies, fatigue, malaise (5–10 %), résolutives en 24–48 h ; (4) Arthralgies (1–5 %) ; (5) Troubles digestifs (nausées, vomissements) &lt; 1 % ; (6) </w:t>
      </w:r>
      <w:r>
        <w:rPr>
          <w:b/>
        </w:rPr>
        <w:t>Réactions allergiques</w:t>
      </w:r>
      <w:r>
        <w:t xml:space="preserve"> : urticaire, prurit (1/100 000), anaphylaxie (1/1 000 000) — surveillance 30 minutes ; (7) Lymphadénopathies locales (5 %) ; (8) Troubles neurologiques : </w:t>
      </w:r>
      <w:r>
        <w:rPr>
          <w:b/>
        </w:rPr>
        <w:t>syndrome de Guillain-Barré</w:t>
      </w:r>
      <w:r>
        <w:t xml:space="preserve"> (1 cas / 1 000 000 doses, débat historique suite à la campagne H1N1 1976 aux USA — risque attribuable non significatif avec les vaccins modernes, inférieur au risque de SGB post-infection grippale), névrite optique (très rare), convulsions fébriles chez l'enfant (rare) ; (9) Vascularite, purpura thrombopénique idiopathique (très rare) ; (10) Myocardite, péricardite (très rare) ; (11) Œdème de Quincke (très rare).</w:t>
      </w:r>
    </w:p>
    <w:p>
      <w:r/>
      <w:r>
        <w:rPr>
          <w:b/>
        </w:rPr>
        <w:t>Prévention et Gestion des Effets Indésirables :</w:t>
      </w:r>
      <w:r/>
    </w:p>
    <w:p>
      <w:pPr>
        <w:pStyle w:val="ListBullet"/>
      </w:pPr>
      <w:r>
        <w:t xml:space="preserve">Mesures Préventives : (a) </w:t>
      </w:r>
      <w:r>
        <w:rPr>
          <w:b/>
        </w:rPr>
        <w:t>Interrogatoire pré-vaccinal</w:t>
      </w:r>
      <w:r>
        <w:t xml:space="preserve"> : antécédents allergiques (œuf, formol, néomycine, latex, allergies alimentaires), antécédents de SGB, maladie aiguë évolutive, grossesse, immunodépression, vaccination récente (espacer de 4 semaines pour les autres vaccins inactivés, 4 semaines pour les vaccins vivants) ; (b) </w:t>
      </w:r>
      <w:r>
        <w:rPr>
          <w:b/>
        </w:rPr>
        <w:t>Allergie à l'œuf</w:t>
      </w:r>
      <w:r>
        <w:t xml:space="preserve"> : la plupart des patients allergiques à l'œuf (même avec anaphylaxie documentée) peuvent recevoir le vaccin antigrippal standard (la quantité d'ovalbumine résiduelle est faible, &lt; 1 µg/mL selon les normes OMS), avec une surveillance médicale de 30 minutes ; les vaccins cellulaires (cultivés sur cellules MDCK, type Flucelvax) sont une alternative en cas d'allergie sévère mais ne sont pas disponibles en Algérie ; (c) </w:t>
      </w:r>
      <w:r>
        <w:rPr>
          <w:b/>
        </w:rPr>
        <w:t>Examen clinique pré-vaccinal</w:t>
      </w:r>
      <w:r>
        <w:t xml:space="preserve"> : température, recherche d'infection aiguë ; (d) </w:t>
      </w:r>
      <w:r>
        <w:rPr>
          <w:b/>
        </w:rPr>
        <w:t>Surveillance post-vaccinale</w:t>
      </w:r>
      <w:r>
        <w:t xml:space="preserve"> de 15–30 minutes ; (e) Information sur les réactions attendues (douleur locale, myalgies, fièvre 24–48 h).</w:t>
      </w:r>
    </w:p>
    <w:p>
      <w:pPr>
        <w:pStyle w:val="ListBullet"/>
      </w:pPr>
      <w:r>
        <w:t>Conduite à Tenir : (a) En cas de douleur locale : paracétamol, application de froid ; (b) En cas de fièvre ≥ 38,5 °C : paracétamol, hydratation ; consulter si fièvre &gt; 3 jours ou signes respiratoires ; (c) En cas d'anaphylaxie immédiate (≤ 30 min) : adrénaline IM 0,5 mg (adulte), appel SAMU, position allongée, oxygène, antihistaminiques, corticoïdes IV, surveillance 24 h ; (d) En cas de SGB dans les 6 semaines suivant la vaccination : hospitalisation, bilan neurologique (PL, EMG), déclaration de pharmacovigilance, CI relative pour les vaccinations ultérieures ; (e) En cas de vascularite ou purpura thrombopénique : bilan hématologique, avis spécialisé, déclaration.</w:t>
      </w:r>
    </w:p>
    <w:p>
      <w:r/>
      <w:r>
        <w:rPr>
          <w:b/>
        </w:rPr>
        <w:t>Interactions Importantes :</w:t>
      </w:r>
      <w:r/>
    </w:p>
    <w:p>
      <w:pPr>
        <w:pStyle w:val="ListBullet"/>
      </w:pPr>
      <w:r/>
      <w:r>
        <w:rPr>
          <w:b/>
        </w:rPr>
        <w:t>Autres vaccins inactivés</w:t>
      </w:r>
      <w:r>
        <w:t xml:space="preserve"> (pneumocoque, COVID-19, hépatite B, HPV, méningocoque, tétanos) : administration simultanée possible à des sites d'injection différents, sans interférence immunitaire significative. Cas particulier du vaccin anti-COVID-19 : administration simultanée possible (recommandation OMS/HAS 2023), à des sites différents.</w:t>
      </w:r>
    </w:p>
    <w:p>
      <w:pPr>
        <w:pStyle w:val="ListBullet"/>
      </w:pPr>
      <w:r/>
      <w:r>
        <w:rPr>
          <w:b/>
        </w:rPr>
        <w:t>Autres vaccins vivants atténués</w:t>
      </w:r>
      <w:r>
        <w:t xml:space="preserve"> (ROR, varicelle, BCG, fièvre jaune) : administration simultanée possible le même jour à des sites différents ; sinon espacer de 4 semaines.</w:t>
      </w:r>
    </w:p>
    <w:p>
      <w:pPr>
        <w:pStyle w:val="ListBullet"/>
      </w:pPr>
      <w:r/>
      <w:r>
        <w:rPr>
          <w:b/>
        </w:rPr>
        <w:t>Immunosuppresseurs</w:t>
      </w:r>
      <w:r>
        <w:t xml:space="preserve"> (corticoïdes, biothérapies, chimiothérapie) : diminution possible de la réponse immunitaire ; idéalement vacciner 2 semaines avant le début de l'immunosuppression, ou 3 mois après la fin (selon schéma).</w:t>
      </w:r>
    </w:p>
    <w:p>
      <w:pPr>
        <w:pStyle w:val="ListBullet"/>
      </w:pPr>
      <w:r/>
      <w:r>
        <w:rPr>
          <w:b/>
        </w:rPr>
        <w:t>Anticoagulants oraux</w:t>
      </w:r>
      <w:r>
        <w:t xml:space="preserve"> (AVK, AOD) : ne pas contre-indiquer la vaccination IM ; utiliser une aiguille fine (25 G), comprimer 5 minutes.</w:t>
      </w:r>
    </w:p>
    <w:p>
      <w:pPr>
        <w:pStyle w:val="ListBullet"/>
      </w:pPr>
      <w:r/>
      <w:r>
        <w:rPr>
          <w:b/>
        </w:rPr>
        <w:t>Antiviraux anti-grippaux</w:t>
      </w:r>
      <w:r>
        <w:t xml:space="preserve"> (oseltamivir, zanamivir) : pas d'interaction pharmacologique ; peuvent être administrés en cas d'infection grippale malgré la vaccination (immunité non encore développée dans les 14 premiers jours post-vaccination).</w:t>
      </w:r>
    </w:p>
    <w:p>
      <w:r/>
      <w:r>
        <w:rPr>
          <w:b/>
        </w:rPr>
        <w:t>Grossesse et Allaitement :</w:t>
      </w:r>
      <w:r/>
    </w:p>
    <w:p>
      <w:pPr>
        <w:pStyle w:val="ListBullet"/>
      </w:pPr>
      <w:r>
        <w:t xml:space="preserve">Grossesse : Le CRAT, le CDC ACIP et l'OMS recommandent la </w:t>
      </w:r>
      <w:r>
        <w:rPr>
          <w:b/>
        </w:rPr>
        <w:t>vaccination antigrippale pour toutes les femmes enceintes à tout trimestre de grossesse</w:t>
      </w:r>
      <w:r>
        <w:t xml:space="preserve"> (recommandation renforcée depuis la pandémie H1N1 2009). Le vaccin inactivé ne contient pas de virus vivant et ne présente aucun risque de transmission fœtale. Les bénéfices sont majeurs : la grossesse majore le risque de grippe grave (hypoxémie, pneumonie, hospitalisation en réanimation) d'un facteur 4 à 7, particulièrement aux 2e et 3e trimestres. De plus, les anticorps maternels traversent le placenta (IgG) et protègent le nouveau-né pendant les 6 premiers mois de vie, période où il est trop jeune pour être vacciné (le vaccin antigrippal n'est pas autorisé avant 6 mois). La vaccination réduit de 70 % les hospitalisations pour grippe du nourrisson &lt; 6 mois. Le vaccin antigrippal inactivé est donc </w:t>
      </w:r>
      <w:r>
        <w:rPr>
          <w:b/>
        </w:rPr>
        <w:t>compatible et recommandé à tout trimestre</w:t>
      </w:r>
      <w:r>
        <w:t>. Le vaccin vivant atténué intranasal (FluMist, non disponible en Algérie) est en revanche contre-indiqué pendant la grossesse.</w:t>
      </w:r>
    </w:p>
    <w:p>
      <w:pPr>
        <w:pStyle w:val="ListBullet"/>
      </w:pPr>
      <w:r>
        <w:t xml:space="preserve">Allaitement : Le vaccin antigrippal inactivé est </w:t>
      </w:r>
      <w:r>
        <w:rPr>
          <w:b/>
        </w:rPr>
        <w:t>compatible avec l'allaitement</w:t>
      </w:r>
      <w:r>
        <w:t xml:space="preserve"> selon le CRAT et l'OMS. Aucun composant vaccinal ne passe significativement dans le lait maternel. La vaccination de la mère allaitante protège indirectement le nourrisson via la transmission d'IgA sécrétoires dans le lait (immunité passive) et évite que la mère ne transmette le virus grippal à son enfant. La vaccination est particulièrement recommandée chez les mères de nourrissons &lt; 6 mois (stratégie de "cocooning").</w:t>
      </w:r>
    </w:p>
    <w:p>
      <w:pPr>
        <w:pStyle w:val="ListBullet"/>
      </w:pPr>
      <w:r>
        <w:t>Précisions : Le vaccin antigrippal est l'un des vaccins les plus sûrs pendant la grossesse. Le vaccin inactivé standard (VAXIGRIP TETRA) est utilisable ; les vaccins adjuvés (MF59) sont également considérés comme sûrs (études post-AMM chez la femme enceinte, pas d'excès de malformations, de morts fœtales ou de prématurité). Les vaccins vivants atténués intranasaux sont contre-indiqués.</w:t>
      </w:r>
    </w:p>
    <w:p>
      <w:r/>
      <w:r>
        <w:rPr>
          <w:b/>
        </w:rPr>
        <w:t>Posologie et Mode d'administration (Standard) :</w:t>
      </w:r>
      <w:r/>
    </w:p>
    <w:p>
      <w:pPr>
        <w:pStyle w:val="ListBullet"/>
      </w:pPr>
      <w:r>
        <w:t xml:space="preserve">Adulte et enfant &gt; 9 ans : </w:t>
      </w:r>
      <w:r>
        <w:rPr>
          <w:b/>
        </w:rPr>
        <w:t>1 dose unique annuelle de 0,5 mL en IM</w:t>
      </w:r>
      <w:r>
        <w:t xml:space="preserve"> (deltoïde) ou SC (face externe du bras), idéalement entre début octobre et fin novembre (avant le début de la circulation virale hivernale en Algérie).</w:t>
      </w:r>
    </w:p>
    <w:p>
      <w:pPr>
        <w:pStyle w:val="ListBullet"/>
      </w:pPr>
      <w:r>
        <w:t xml:space="preserve">Enfant 6 mois à 8 ans (première vaccination) : </w:t>
      </w:r>
      <w:r>
        <w:rPr>
          <w:b/>
        </w:rPr>
        <w:t>2 doses à 4 semaines d'intervalle</w:t>
      </w:r>
      <w:r>
        <w:t xml:space="preserve"> (0,5 mL chacune) la première année, puis 1 dose annuelle les années suivantes (et à vie).</w:t>
      </w:r>
    </w:p>
    <w:p>
      <w:pPr>
        <w:pStyle w:val="ListBullet"/>
      </w:pPr>
      <w:r>
        <w:t>Enfant 6 mois à 35 mois : selon les recommandations spécifiques (0,25 mL par dose pour certaines formulations pédiatriques, mais VAXIGRIP TETRA 0,5 mL est autorisé chez l'enfant &gt; 6 mois selon l'AMM européenne).</w:t>
      </w:r>
    </w:p>
    <w:p>
      <w:pPr>
        <w:pStyle w:val="ListBullet"/>
      </w:pPr>
      <w:r>
        <w:t>Sujet âgé ≥ 65 ans : 1 dose annuelle de 0,5 mL ; pour optimiser la réponse, préférer en Europe un vaccin adjuvé (MF59, type Fluad) ou hautement dosé (Fluzone High-Dose), non disponibles en Algérie — le vaccin standard reste utilisable.</w:t>
      </w:r>
    </w:p>
    <w:p>
      <w:pPr>
        <w:pStyle w:val="ListBullet"/>
      </w:pPr>
      <w:r>
        <w:t>Femme enceinte : 1 dose à tout trimestre, dès que le vaccin est disponible (octobre-novembre en Algérie).</w:t>
      </w:r>
    </w:p>
    <w:p>
      <w:pPr>
        <w:pStyle w:val="ListBullet"/>
      </w:pPr>
      <w:r>
        <w:t>Immunodéprimé : 1 dose annuelle (la vaccination est particulièrement recommandée compte tenu du risque accru de grippe grave) ; éventuellement 2 doses à 4 semaines d'intervalle pour les greffés (selon protocole spécialisé).</w:t>
      </w:r>
    </w:p>
    <w:p>
      <w:pPr>
        <w:pStyle w:val="ListBullet"/>
      </w:pPr>
      <w:r>
        <w:t>Personnel de santé : 1 dose annuelle obligatoire dans de nombreux pays (recommandée en Algérie).</w:t>
      </w:r>
    </w:p>
    <w:p>
      <w:pPr>
        <w:pStyle w:val="ListBullet"/>
      </w:pPr>
      <w:r>
        <w:t xml:space="preserve">Conservation : </w:t>
      </w:r>
      <w:r>
        <w:rPr>
          <w:b/>
        </w:rPr>
        <w:t>+2 °C à +8 °C</w:t>
      </w:r>
      <w:r>
        <w:t xml:space="preserve"> (réfrigérateur, ne pas congeler — la congélation provoque une dénaturation des protéines HA), à l'abri de la lumière, ne pas utiliser si la seringue présente des particules, une coloration anormale, ou si la chaîne du froid a été rompue. Agiter avant emploi pour homogénéiser la suspension.</w:t>
      </w:r>
    </w:p>
    <w:p>
      <w:r/>
      <w:r>
        <w:rPr>
          <w:b/>
        </w:rPr>
        <w:t>Arbitrage et Bénéfices des Formes Galéniques :</w:t>
      </w:r>
      <w:r/>
    </w:p>
    <w:p>
      <w:r>
        <w:t>Le vaccin VAXIGRIP TETRA (Sanofi Pasteur) est la seule spécialité antigrippale quadrivalente inactivée à virion fragmenté active en Algérie (la forme trivalente VAXIGRIP est NON_RENOUVELABLE). Elle se présente en seringue préremplie de 0,5 mL, prête à l'emploi, monodose, avec ou sans aiguille intégrée selon le conditionnement. Cette forme galénique est idéale pour la pratique d'officine et la vaccination en milieu du travail : pas de reconstitution, pas de risque d'erreur de dose, pas de gaspillage multidose. La seringue préremplie garantit également une traçabilité du lot (étiquette sur la seringue). Pour les campagnes de vaccination collective (EHPAD, entreprises), des conditionnements de 10 seringues préremplies sont disponibles. Le vaccin est cultivé sur œufs embryonnés de poule, ce qui impose une vérification de l'allergie à l'œuf (la plupart des patients allergiques peuvent néanmoins être vaccinés avec surveillance 30 min). Les vaccins alternatifs (adjuvés MF59 type Fluad, hautement dosés type Fluzone High-Dose, intradermiques type Intanza, intranasaux vivants type FluMist) ne sont pas disponibles en Algérie : le pharmacien doit donc orienter les patients à risque (sujets âgés, immunodéprimés, allergiques sévères à l'œuf) vers le vaccin standard VAXIGRIP TETRA avec une information adaptée sur son efficacité réduite par rapport aux vaccins spécialisés. Pour la vaccination collective en période épidémique, des conditionnements multidose (10 doses par flacon) existent dans d'autres pays mais ne sont pas référencés en Algérie.</w:t>
      </w:r>
    </w:p>
    <w:p>
      <w:r/>
      <w:r>
        <w:rPr>
          <w:b/>
        </w:rPr>
        <w:t>Instructions et Conseils au Patient :</w:t>
      </w:r>
      <w:r/>
    </w:p>
    <w:p>
      <w:pPr>
        <w:pStyle w:val="ListBullet"/>
      </w:pPr>
      <w:r>
        <w:t>Communication au comptoir (officine) : "Ce vaccin protège contre la grippe saisonnière (virus influenza), qui peut être grave chez les personnes fragiles (personnes âgées, femmes enceintes, malades chroniques). Il s'administre en une seule injection annuelle, idéalement en octobre-novembre avant le début de l'épidémie. Le vaccin ne provoque PAS la grippe (il est inactivé, sans virus vivant) ; il peut en revanche causer une petite fièvre et des courbatures pendant 24 à 48 heures, c'est normal. La protection s'installe en 2 semaines et dure 6 à 12 mois. La vaccination est à renouveler chaque année car le virus mute. Pour les enfants de moins de 9 ans qui reçoivent le vaccin pour la première fois, 2 doses à 1 mois d'intervalle sont nécessaires."</w:t>
      </w:r>
    </w:p>
    <w:p>
      <w:pPr>
        <w:pStyle w:val="ListBullet"/>
      </w:pPr>
      <w:r>
        <w:t>Mode d'utilisation pratique : (1) Conserver au réfrigérateur à +2 °C à +8 °C, jamais au congélateur ; vérifier la température chaque jour. (2) Transporter dans une sacoche isotherme avec accumulateur de froid. (3) Le médecin ou l'infirmière agitera la seringue avant emploi et injectera dans le muscle deltoïde (ou sous-cutanée). (4) Surveiller 15–30 minutes après l'injection. (5) Tenir le carnet de vaccination à jour. (6) Ne pas s'alarmer si une petite fièvre ou des courbatures apparaissent dans les 24–48 h : paracétamol, hydratation. (7) Consulter en urgence si difficultés respiratoires, urticaire généralisée, faiblesse musculaire progressive (risque exceptionnel de Guillain-Barré).</w:t>
      </w:r>
    </w:p>
    <w:p>
      <w:pPr>
        <w:pStyle w:val="ListBullet"/>
      </w:pPr>
      <w:r>
        <w:t>Conseils spécifiques : (a) Chez la femme enceinte, la vaccination est recommandée à tout trimestre et protège également le nouveau-né pendant les 6 premiers mois de vie ; (b) Chez le sujet allergique à l'œuf, informer le médecin (la vaccination est généralement possible avec surveillance 30 min) ; (c) Le vaccin ne protège pas contre le rhume banal ni contre le COVID-19 (virus différents) — poursuite des mesures d'hygiène respiratoire ; (d) Le lavage des mains, le port du masque en période épidémique, l'évitement des contacts avec personnes malades restent essentiels ; (e) Les antiviraux (oseltamivir) sont réservés au traitement de la grippe confirmée chez les sujets à risque, en cas de vaccination récente (inférieure à 14 jours) ou de souche vaccinale inadéquate.</w:t>
      </w:r>
    </w:p>
    <w:p>
      <w:r/>
      <w:r>
        <w:rPr>
          <w:b/>
        </w:rPr>
        <w:t>Notes, Règles d'Or &amp; Pièges au Comptoir :</w:t>
      </w:r>
      <w:r/>
    </w:p>
    <w:p>
      <w:pPr>
        <w:pStyle w:val="ListBullet"/>
      </w:pPr>
      <w:r>
        <w:t xml:space="preserve">Piège classique n°1 : </w:t>
      </w:r>
      <w:r>
        <w:rPr>
          <w:b/>
        </w:rPr>
        <w:t>Le vaccin ne provoque PAS la grippe</w:t>
      </w:r>
      <w:r>
        <w:t xml:space="preserve"> — c'est une inquiétude fréquente du patient, à dissiper fermement. Le vaccin est inactivé, sans virus vivant, incapable de provoquer une infection. Les symptômes post-vaccinaux (fièvre, courbatures) sont une réaction immunitaire, non une grippe. Si le patient développe une grippe dans les 14 jours post-vaccination, c'est soit qu'il a été infecté avant la vaccination (incubation), soit que la souche circulante n'est pas couverte par le vaccin (adéquation imparfaite), soit qu'il s'agit d'un autre virus respiratoire.</w:t>
      </w:r>
    </w:p>
    <w:p>
      <w:pPr>
        <w:pStyle w:val="ListBullet"/>
      </w:pPr>
      <w:r>
        <w:t xml:space="preserve">Piège classique n°2 : </w:t>
      </w:r>
      <w:r>
        <w:rPr>
          <w:b/>
        </w:rPr>
        <w:t>La vaccination est annuelle</w:t>
      </w:r>
      <w:r>
        <w:t xml:space="preserve"> — la protection diminue en 6–12 mois et le virus mute chaque année (drift antigénique). Une vaccination ancienne ne protège plus efficacement. Insister sur la nécessité du rappel annuel, particulièrement chez les sujets à risque.</w:t>
      </w:r>
    </w:p>
    <w:p>
      <w:pPr>
        <w:pStyle w:val="ListBullet"/>
      </w:pPr>
      <w:r>
        <w:t xml:space="preserve">Piège classique n°3 : </w:t>
      </w:r>
      <w:r>
        <w:rPr>
          <w:b/>
        </w:rPr>
        <w:t>Allergie à l'œuf</w:t>
      </w:r>
      <w:r>
        <w:t xml:space="preserve"> — la plupart des patients allergiques peuvent être vaccinés (quantité d'ovalbumine résiduelle faible). Réserver la CI aux anaphylaxies sévères documentées à l'œuf et envisager la vaccination en milieu hospitalier (allergologue).</w:t>
      </w:r>
    </w:p>
    <w:p>
      <w:pPr>
        <w:pStyle w:val="ListBullet"/>
      </w:pPr>
      <w:r>
        <w:t xml:space="preserve">Piège classique n°4 : </w:t>
      </w:r>
      <w:r>
        <w:rPr>
          <w:b/>
        </w:rPr>
        <w:t>Femme enceinte = recommandation renforcée</w:t>
      </w:r>
      <w:r>
        <w:t xml:space="preserve"> — la vaccination à tout trimestre est fortement recommandée (réduction de 70 % des hospitalisations pour grippe du nourrisson &lt; 6 mois). Ne pas hésiter à vacciner.</w:t>
      </w:r>
    </w:p>
    <w:p>
      <w:pPr>
        <w:pStyle w:val="ListBullet"/>
      </w:pPr>
      <w:r>
        <w:t xml:space="preserve">Piège classique n°5 : </w:t>
      </w:r>
      <w:r>
        <w:rPr>
          <w:b/>
        </w:rPr>
        <w:t>SGB post-vaccinal rare</w:t>
      </w:r>
      <w:r>
        <w:t xml:space="preserve"> — le risque de SGB attribuable au vaccin antigrippal est estimé à 1 cas / 1 000 000 doses, soit inférieur au risque de SGB post-infection grippale (4–7 cas / 100 000 infections). Un antécédent de SGB non lié à la vaccination n'est pas une CI à la vaccination antigrippale ; un SGB survenu dans les 6 semaines suivant une vaccination antigrippale doit faire discuter le rapport bénéfice/risque.</w:t>
      </w:r>
    </w:p>
    <w:p>
      <w:pPr>
        <w:pStyle w:val="ListBullet"/>
      </w:pPr>
      <w:r>
        <w:t xml:space="preserve">Piège classique n°6 : </w:t>
      </w:r>
      <w:r>
        <w:rPr>
          <w:b/>
        </w:rPr>
        <w:t>Efficacité réduite chez le sujet âgé</w:t>
      </w:r>
      <w:r>
        <w:t xml:space="preserve"> — l'immunosénescence diminue la réponse. Les vaccins adjuvés (MF59) et hautement dosés sont préférables mais non disponibles en Algérie. Le vaccin standard reste recommandé.</w:t>
      </w:r>
    </w:p>
    <w:p>
      <w:pPr>
        <w:pStyle w:val="ListBullet"/>
      </w:pPr>
      <w:r>
        <w:t xml:space="preserve">Piège classique n°7 : </w:t>
      </w:r>
      <w:r>
        <w:rPr>
          <w:b/>
        </w:rPr>
        <w:t>Ne pas congeler</w:t>
      </w:r>
      <w:r>
        <w:t xml:space="preserve"> — la congélation détruit les antigènes. Vérifier la chaîne du froid.</w:t>
      </w:r>
    </w:p>
    <w:p>
      <w:pPr>
        <w:pStyle w:val="ListBullet"/>
      </w:pPr>
      <w:r>
        <w:t>Règle de prise : 1 dose annuelle IM deltoïde (0,5 mL) entre octobre et novembre ; 2 doses à 4 semaines d'intervalle pour la première vaccination de l'enfant &lt; 9 ans ; chaîne du froid +2 °C à +8 °C, ne pas congeler ; surveillance 30 minutes post-vaccination.</w:t>
      </w:r>
    </w:p>
    <w:p>
      <w:pPr>
        <w:pStyle w:val="ListBullet"/>
      </w:pPr>
      <w:r>
        <w:t>Préparation et Conservation : seringue préremplie +2 °C à +8 °C jusqu'à péremption ; ne pas congeler ; agiter avant emploi ; solution reconstituée (pour formes lyophilisées) à utiliser immédiatement ; jeter la seringue après usage.</w:t>
      </w:r>
    </w:p>
    <w:p>
      <w:pPr>
        <w:pStyle w:val="ListBullet"/>
      </w:pPr>
      <w:r>
        <w:t>Piège du surdosage / Substitution : (a) Surdosage (double dose) : pas de toxicité significative, surveillance de la fièvre 24–48 h. (b) Substitution VAXIGRIP TETRA ↔ autres vaccins quadrivalents (Influvac Tetra, Fluarix Tetra) possible et bioéquivalente, mais non disponibles en Algérie. (c) Ne pas confondre vaccin antigrippal inactivé IM (VAXIGRIP TETRA) et vaccin intranasal vivant atténué (FluMist, non disponible en Algérie) — ce dernier est contre-indiqué chez la femme enceinte, l'immunodéprimé et l'enfant &lt; 2 ans. (d) Le vaccin trivalent VAXIGRIP est NON_RENOUVELABLE — la forme quadrivalente (TETRA) est la seule disponible.</w:t>
      </w:r>
    </w:p>
    <w:p>
      <w:pPr>
        <w:pStyle w:val="Heading2"/>
      </w:pPr>
      <w:r>
        <w:t>174.4 Sous-classe : Vaccins conjugués (Méningocoque ACWY)</w:t>
      </w:r>
    </w:p>
    <w:p>
      <w:pPr>
        <w:pStyle w:val="Heading3"/>
      </w:pPr>
      <w:r>
        <w:t>Introduction à la sous-classe</w:t>
      </w:r>
    </w:p>
    <w:p>
      <w:r>
        <w:t xml:space="preserve">Les vaccins conjugués représentent une innovation immunologique majeure des années 1980-1990, qui a révolutionné la prévention des infections invasives à germes encapsulés (pneumocoque, méningocoque, </w:t>
      </w:r>
      <w:r>
        <w:rPr>
          <w:i/>
        </w:rPr>
        <w:t>Haemophilus influenzae</w:t>
      </w:r>
      <w:r>
        <w:t xml:space="preserve"> type b). Leur principe consiste à coupler chimiquement un </w:t>
      </w:r>
      <w:r>
        <w:rPr>
          <w:b/>
        </w:rPr>
        <w:t>polyoside capsulaire</w:t>
      </w:r>
      <w:r>
        <w:t xml:space="preserve"> (antigène T-indépendant, faiblement immunogène chez le jeune nourrisson et inducteur d'une mémoire immune limitée) à une </w:t>
      </w:r>
      <w:r>
        <w:rPr>
          <w:b/>
        </w:rPr>
        <w:t>protéine porteuse</w:t>
      </w:r>
      <w:r>
        <w:t xml:space="preserve"> (anatoxine tétanique, anatoxine diphtérique, protéine D de </w:t>
      </w:r>
      <w:r>
        <w:rPr>
          <w:i/>
        </w:rPr>
        <w:t>Haemophilus influenzae</w:t>
      </w:r>
      <w:r>
        <w:t>, CRM197 mutée de la toxine diphtérique) qui apporte les épitopes T-helper nécessaires au déclenchement d'une réponse T-dépendante. Cette conjugaison transforme la réponse immune : on passe d'une réponse T-indépendante (caractérisée par une production d'IgM sans mémoire, faible chez le nourrisson, et une absence de maturation d'affinité) à une réponse T-dépendante (production d'IgG, génération de lymphocytes B mémoires à longue durée de vie, maturation d'affinité par hypermutation somatique, possibilité de rappel immunitaire à toute nouvelle exposition). Le premier vaccin conjugué commercialisé fut le vaccin anti-</w:t>
      </w:r>
      <w:r>
        <w:rPr>
          <w:i/>
        </w:rPr>
        <w:t>Haemophilus influenzae</w:t>
      </w:r>
      <w:r>
        <w:t xml:space="preserve"> type b (Hib, 1987), suivi du vaccin antipneumococcique conjugué 7-valent (PCV7, 2000), 13-valent (PCV13, 2010) et des vaccins antiméningococciques conjugués (MenC, 1999 ; MenACWY, 2005 ; MenB-FHbp, 2014).</w:t>
      </w:r>
    </w:p>
    <w:p>
      <w:r>
        <w:t>Pour le méningocoque (</w:t>
      </w:r>
      <w:r>
        <w:rPr>
          <w:i/>
        </w:rPr>
        <w:t>Neisseria meningitidis</w:t>
      </w:r>
      <w:r>
        <w:t>), 13 sérogroupes capsulaires sont décrits (A, B, C, W, X, Y, etc.), mais 5 sont responsables de la quasi-totalité des infections invasives (A, B, C, W, Y). Le vaccin conjugué quadrivalent ACWY couvre les sérogroupes A (responsable de la méningite épidémique de la ceinture africaine de la méningite, du Sénégal à l'Éthiopie), C (épidémies en collectivité, cas sporadiques), W (émergence mondiale depuis 2000, virulence accrue, formes pulmonaires et septicémiques), et Y (cas sporadiques, formes pulmonaires). En Algérie, le méningocoque W a été responsable de la grande épidémie de méningite de 2000-2002 (pèlerinage de La Mecque) et reste le sérogroupe prédominant ; le méningocoque B cause également des cas sporadiques, mais il n'est pas couvert par le vaccin ACWY (il nécessite un vaccin spécifique type Bexsero, non disponible en Algérie). Le vaccin conjugué ACWY est indiqué chez le nourrisson à risque (asplénie, déficit en complément, voyage en zone d'endémie, contact avec un cas), chez l'adolescent (vaccination systématique à 12 ans selon les recommandations), chez le militaire, le pèlerin du Hadj (obligatoire selon les autorités saoudiennes pour l'obtention du visa), chez le voyageur en zone d'endémie (ceinture africaine de la méningite), et en prophylaxie post-exposition (close contacts d'un cas).</w:t>
      </w:r>
    </w:p>
    <w:p>
      <w:pPr>
        <w:pStyle w:val="Heading3"/>
      </w:pPr>
      <w:r>
        <w:t>174.4.1 DCI : Vaccin antiméningococcique conjugué ACWY (MenACWY-TT)</w:t>
      </w:r>
    </w:p>
    <w:p>
      <w:r/>
      <w:r>
        <w:rPr>
          <w:b/>
        </w:rPr>
        <w:t>Liste des Catégories :</w:t>
      </w:r>
      <w:r>
        <w:t xml:space="preserve"> Vaccin conjugué antiméningococcique polyside-protéine (sérogroupes A, C, W, Y) ; Polyosides capsulaires conjugués à l'anatoxine tétanique ; Conservation +2 °C à +8 °C ; Liste I ; Vaccination du voyageur et du pèlerin (Hadj/Omra).</w:t>
      </w:r>
    </w:p>
    <w:p>
      <w:r>
        <w:t>Le méningocoque (</w:t>
      </w:r>
      <w:r>
        <w:rPr>
          <w:i/>
        </w:rPr>
        <w:t>Neisseria meningitidis</w:t>
      </w:r>
      <w:r>
        <w:t>) est une bactérie Gram négatif strictement humaine, dont la transmission se fait par les gouttelettes de Pflügge (contact rapproché, toux, éternuements, baiser). Le portage rhinopharyngé asymptomatique touche 10 % de la population en période inter-épidémique (jusqu'à 50 % en collectivité fermée). L'infection invasive (méningite à méningocoque, méningococcémie, purpura fulminans) est rare (incidence mondiale 0,5 à 5/100 000) mais gravissime (mortalité 10 %, séquelles neurologiques 20 % des survivants). L'Algérie, située à la limite nord de la ceinture africaine de la méningite, connaît des flambées épidémiques principalement liées au sérogroupe W (épidémie 2000-2002, épidémie 2016-2018 dans le Sud) et au sérogroupe A (rares cas sporadiques). Le vaccin conjugué ACWY est indiqué en prophylaxie pré-exposition (voyage, pèlerinage, asplénie, déficit en complément) et post-exposition (contacts rapprochés d'un cas). Sa protection dure 5 ans chez l'adulte, justifiant des rappels réguliers chez les sujets à risque permanent.</w:t>
      </w:r>
    </w:p>
    <w:p>
      <w:r/>
      <w:r>
        <w:rPr>
          <w:b/>
        </w:rPr>
        <w:t>Médicaments disponibles en Algérie (Format Tableau — Nomenclature Avril 2026)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MENQUADFI</w:t>
            </w:r>
          </w:p>
        </w:tc>
        <w:tc>
          <w:tcPr>
            <w:tcW w:type="dxa" w:w="1559"/>
          </w:tcPr>
          <w:p>
            <w:r>
              <w:rPr>
                <w:sz w:val="20"/>
              </w:rPr>
              <w:t>SANOFI WINTHROP INDUSTRIE</w:t>
            </w:r>
          </w:p>
        </w:tc>
        <w:tc>
          <w:tcPr>
            <w:tcW w:type="dxa" w:w="1559"/>
          </w:tcPr>
          <w:p>
            <w:r>
              <w:rPr>
                <w:sz w:val="20"/>
              </w:rPr>
              <w:t>Solution injectable IM, 10 µg de polyoside de *Neisseria meningitidis* de groupe A + 10 µg polyoside groupe C + 10 µg polyoside groupe W + 10 µg polyoside groupe Y (chaque polyoside conjugué à l'anatoxine tétanique), 0,5 mL</w:t>
            </w:r>
          </w:p>
        </w:tc>
        <w:tc>
          <w:tcPr>
            <w:tcW w:type="dxa" w:w="1559"/>
          </w:tcPr>
          <w:p>
            <w:r>
              <w:rPr>
                <w:sz w:val="20"/>
              </w:rPr>
              <w:t>Boîte de 1 ou 5 seringues préremplies de 0,5 mL</w:t>
            </w:r>
          </w:p>
        </w:tc>
        <w:tc>
          <w:tcPr>
            <w:tcW w:type="dxa" w:w="1559"/>
          </w:tcPr>
          <w:p>
            <w:r>
              <w:rPr>
                <w:sz w:val="20"/>
              </w:rPr>
              <w:t>LISTE I</w:t>
            </w:r>
          </w:p>
        </w:tc>
        <w:tc>
          <w:tcPr>
            <w:tcW w:type="dxa" w:w="1559"/>
          </w:tcPr>
          <w:p>
            <w:r>
              <w:rPr>
                <w:sz w:val="20"/>
              </w:rPr>
              <w:t>ACTIF</w:t>
            </w:r>
          </w:p>
        </w:tc>
      </w:tr>
    </w:tbl>
    <w:p/>
    <w:p>
      <w:r/>
      <w:r>
        <w:rPr>
          <w:b/>
        </w:rPr>
        <w:t>Sous-classe et Mécanisme d'action :</w:t>
      </w:r>
      <w:r/>
    </w:p>
    <w:p>
      <w:pPr>
        <w:pStyle w:val="ListBullet"/>
      </w:pPr>
      <w:r>
        <w:t>Sous-classe : Vaccin conjugué quadrivalent (4 polyosides capsulaires des sérogroupes A, C, W, Y conjugués chacun à l'anatoxine tétanique comme protéine porteuse) ; ADSORBÉ sur phosphate d'aluminium selon la formulation ; sans thimerosal, sans conservateur.</w:t>
      </w:r>
    </w:p>
    <w:p>
      <w:pPr>
        <w:pStyle w:val="ListBullet"/>
      </w:pPr>
      <w:r>
        <w:t>Mécanisme d'action : Le polyoside capsulaire du méningocoque est un antigène thymo-indépendant (T-indépendant) : il stimule les lymphocytes B sans nécessiter de coopération T-helper (par cross-linking direct des récepteurs BCR à la surface des lymphocytes B spécifiques). Cette stimulation directe aboutit à une production d'IgM (sans commutation isotypique vers IgG), peu ou pas de mémoire immune, et — surtout — une absence de réponse chez le nourrisson de moins de 18–24 mois (immaturité du compartiment des lymphocytes B zonaux marginaux). Le couplage chimique du polyoside à une protéine porteuse (anatoxine tétanique TT) transforme la réponse en réponse T-dépendante : les cellules dendritiques capturent le conjugué, internalisent la protéine porteuse, la dégradent en peptides et présentent ces peptides en association avec les molécules du CMH de classe II aux lymphocytes T CD4+ helper spécifiques de l'anatoxine tétanique. Cette coopération T-B permet la commutation isotypique (production d'IgG au lieu d'IgM), la maturation d'affinité (hypermutation somatique des gènes d'immunoglobulines), et la génération de lymphocytes B mémoires à longue durée de vie. La réponse humorale obtenue est protectrice (anticorps anti-polyoside bactéricides en présence de complément), durable (5 ans chez l'adulte), et Boost-able (rappel rapide et amplifié à toute nouvelle exposition). La vaccination induit également une réduction du portage rhinopharyngé asymptomatique (immunité muqueuse partielle par IgA), ce qui contribue à l'immunité de groupe (effet indirect sur la circulation bactérienne). L'efficacité vaccinale contre l'infection invasive est supérieure à 90 % chez l'adolescent et l'adulte vaccinés, avec une persistance des anticorps bactéricides à 5 ans chez 70–80 % des vaccinés (d'où la recommandation de rappels à 5 ans chez les sujets à risque permanent). Chez le nourrisson, 2 doses (à 2 et 4 mois) suivies d'un rappel à 12 mois induisent une protection supérieure à 95 %. Particularité : la protéine porteuse anatoxine tétanique stimule également la réponse anti-tétanique (effet "booster" sur l'immunité antitétanique), ce qui peut être un avantage (rappel antitétanique) ou un inconvénient théorique (interférence avec la vaccination antitétanique si injections multiples rapprochées — à espacer).</w:t>
      </w:r>
    </w:p>
    <w:p>
      <w:r/>
      <w:r>
        <w:rPr>
          <w:b/>
        </w:rPr>
        <w:t>Profil Pharmacologique :</w:t>
      </w:r>
      <w:r/>
    </w:p>
    <w:p>
      <w:pPr>
        <w:pStyle w:val="ListBullet"/>
      </w:pPr>
      <w:r>
        <w:t xml:space="preserve">Indications : (1) </w:t>
      </w:r>
      <w:r>
        <w:rPr>
          <w:b/>
        </w:rPr>
        <w:t>Vaccination systématique de l'adolescent</w:t>
      </w:r>
      <w:r>
        <w:t xml:space="preserve"> (autour de 12 ans) selon les recommandations vaccinales (calendrier algérien : non systématique, mais recommandée en cas de risque) ; (2) </w:t>
      </w:r>
      <w:r>
        <w:rPr>
          <w:b/>
        </w:rPr>
        <w:t>Vaccination des sujets à risque</w:t>
      </w:r>
      <w:r>
        <w:t xml:space="preserve"> : asplénie (anatomique ou fonctionnelle, drépanocytose), déficit en fraction terminale du complément (C5-C9), déficit en properdine, traitement anti-C5 (eculizumab, ravulizumab) ou anti-C1s, greffe de cellules souches hématopoïétiques, voyageurs en zone d'endémie (ceinture africaine de la méningite, Sahel, zone de l'épidémie), pèlerins du Hadj et Omra (obligatoire pour le visa saoudien, à administrer au moins 10 jours avant le départ, validité 3 ans) ; (3) </w:t>
      </w:r>
      <w:r>
        <w:rPr>
          <w:b/>
        </w:rPr>
        <w:t>Prophylaxie post-exposition</w:t>
      </w:r>
      <w:r>
        <w:t xml:space="preserve"> des sujets contacts rapprochés d'un cas d'infection invasive à méningocoque (notamment en collectivité, caserne, internat) ; (4) </w:t>
      </w:r>
      <w:r>
        <w:rPr>
          <w:b/>
        </w:rPr>
        <w:t>Voyageurs en zone d'endémie</w:t>
      </w:r>
      <w:r>
        <w:t xml:space="preserve"> : ceinture africaine de la méningite (du Sénégal à l'Éthiopie), méningite épidémique saisonnière (saison sèche, décembre-juin) ; (5) Personnel de laboratoire exposé à *N. meningitidis* (manipulation de cultures en aérosol) ; (6) Militaires (recrues, casernes).</w:t>
      </w:r>
    </w:p>
    <w:p>
      <w:pPr>
        <w:pStyle w:val="ListBullet"/>
      </w:pPr>
      <w:r>
        <w:t xml:space="preserve">Contre-indications : (1) </w:t>
      </w:r>
      <w:r>
        <w:rPr>
          <w:b/>
        </w:rPr>
        <w:t>Hypersensibilité sévère (anaphylaxie)</w:t>
      </w:r>
      <w:r>
        <w:t xml:space="preserve"> à un composant du vaccin : polyosides capsulaires, anatoxine tétanique (attention — un patient allergique à l'anatoxine tétanique ne doit pas recevoir ce vaccin), aluminium, phénoxyéthanol ; (2) Antécédent de réaction grave à une précédente dose ; (3) Maladie fébrile aiguë sévère (reporter la vaccination) ; (4) Enfant &lt; 6 mois (selon l'AMM, mais la vaccination est possible dès 6 semaines en cas de risque élevé).</w:t>
      </w:r>
    </w:p>
    <w:p>
      <w:pPr>
        <w:pStyle w:val="ListBullet"/>
      </w:pPr>
      <w:r>
        <w:t xml:space="preserve">Effets Indésirables : (1) </w:t>
      </w:r>
      <w:r>
        <w:rPr>
          <w:b/>
        </w:rPr>
        <w:t>Réactions locales</w:t>
      </w:r>
      <w:r>
        <w:t xml:space="preserve"> (20–40 %) : douleur, érythème, induration au point d'injection, résolutives en 24–72 h ; plus fréquentes qu'avec d'autres vaccins inactivés (forte charge antigénique) ; (2) </w:t>
      </w:r>
      <w:r>
        <w:rPr>
          <w:b/>
        </w:rPr>
        <w:t>Fièvre modérée</w:t>
      </w:r>
      <w:r>
        <w:t xml:space="preserve"> (5–10 %) : 38–39 °C en 24–48 h ; (3) Céphalées (30–40 %, fréquentes) ; (4) Myalgies, arthralgies (15–20 %) ; (5) Fatigue, malaise (15–25 %) ; (6) Nausées, vomissements (5–10 %) ; (7) Réactions allergiques : urticaire, prurit (rare), anaphylaxie (très rare, 1/1 000 000) ; (8) Lymphadénopathies (10 %) ; (9) Syncope vaso-vagale (chez l'adolescent, en particulier — à prévenir par administration en position assise ou allongée, surveillance 15 min) ; (10) Exceptionnellement : arthralgies prolongées, vascularite, purpura thrombopénique idiopathique, neuro pathies périphériques.</w:t>
      </w:r>
    </w:p>
    <w:p>
      <w:r/>
      <w:r>
        <w:rPr>
          <w:b/>
        </w:rPr>
        <w:t>Prévention et Gestion des Effets Indésirables :</w:t>
      </w:r>
      <w:r/>
    </w:p>
    <w:p>
      <w:pPr>
        <w:pStyle w:val="ListBullet"/>
      </w:pPr>
      <w:r>
        <w:t xml:space="preserve">Mesures Préventives : (a) </w:t>
      </w:r>
      <w:r>
        <w:rPr>
          <w:b/>
        </w:rPr>
        <w:t>Interrogatoire pré-vaccinal</w:t>
      </w:r>
      <w:r>
        <w:t xml:space="preserve"> : antécédents allergiques (anatoxine tétanique, aluminium), maladie aiguë évolutive, grossesse, vaccination récente (espacer de 4 semaines des vaccins vivants) ; (b) </w:t>
      </w:r>
      <w:r>
        <w:rPr>
          <w:b/>
        </w:rPr>
        <w:t>Examen clinique pré-vaccinal</w:t>
      </w:r>
      <w:r>
        <w:t xml:space="preserve"> : température ; (c) </w:t>
      </w:r>
      <w:r>
        <w:rPr>
          <w:b/>
        </w:rPr>
        <w:t>Administration en position assise ou allongée</w:t>
      </w:r>
      <w:r>
        <w:t xml:space="preserve"> chez l'adolescent (risque de syncope vaso-vagale, particulièrement chez la jeune fille) ; (d) </w:t>
      </w:r>
      <w:r>
        <w:rPr>
          <w:b/>
        </w:rPr>
        <w:t>Surveillance post-vaccinale</w:t>
      </w:r>
      <w:r>
        <w:t xml:space="preserve"> de 15–30 minutes ; (e) Information sur les réactions attendues (douleur locale, fièvre, céphalées, myalgies 24–48 h).</w:t>
      </w:r>
    </w:p>
    <w:p>
      <w:pPr>
        <w:pStyle w:val="ListBullet"/>
      </w:pPr>
      <w:r>
        <w:t>Conduite à Tenir : (a) En cas de douleur locale : paracétamol, application de froid ; disparaît en 48–72 h ; (b) En cas de fièvre ≥ 38,5 °C : paracétamol, hydratation ; consulter si fièvre &gt; 3 jours ; (c) En cas de syncope vaso-vagale pendant ou juste après l'injection : position allongée jambes surélevées, surveillance, fruit/sucre ; (d) En cas d'anaphylaxie immédiate : adrénaline IM 0,5 mg (adulte), appel SAMU ; (e) En cas de céphalées intenses ou de raideur de la nuque dans les 7 jours post-vaccination : consulter en urgence (la méningite post-vaccinale n'est PAS décrite avec le vaccin conjugué, mais il faut éliminer une infection intercurrente) ; (f) En cas de vascularite ou purpura thrombopénique : bilan, déclaration.</w:t>
      </w:r>
    </w:p>
    <w:p>
      <w:r/>
      <w:r>
        <w:rPr>
          <w:b/>
        </w:rPr>
        <w:t>Interactions Importantes :</w:t>
      </w:r>
      <w:r/>
    </w:p>
    <w:p>
      <w:pPr>
        <w:pStyle w:val="ListBullet"/>
      </w:pPr>
      <w:r/>
      <w:r>
        <w:rPr>
          <w:b/>
        </w:rPr>
        <w:t>Autres vaccins</w:t>
      </w:r>
      <w:r>
        <w:t xml:space="preserve"> (grippe, hépatite B, HPV, pneumocoque, polio, tétanos) : administration simultanée possible à des sites d'injection différents, sans interférence immunitaire significative.</w:t>
      </w:r>
    </w:p>
    <w:p>
      <w:pPr>
        <w:pStyle w:val="ListBullet"/>
      </w:pPr>
      <w:r/>
      <w:r>
        <w:rPr>
          <w:b/>
        </w:rPr>
        <w:t>Vaccin antipneumococcique conjugué</w:t>
      </w:r>
      <w:r>
        <w:t xml:space="preserve"> (PCV13) : peut être administré le même jour à des sites différents.</w:t>
      </w:r>
    </w:p>
    <w:p>
      <w:pPr>
        <w:pStyle w:val="ListBullet"/>
      </w:pPr>
      <w:r/>
      <w:r>
        <w:rPr>
          <w:b/>
        </w:rPr>
        <w:t>Vaccin méningococcique B</w:t>
      </w:r>
      <w:r>
        <w:t xml:space="preserve"> (Bexsero, Trumenba — non disponibles en Algérie) : administration simultanée possible à des sites différents, mais fièvre plus fréquente chez le nourrisson recevant les deux vaccins le même jour (prémédication par paracétamol recommandée).</w:t>
      </w:r>
    </w:p>
    <w:p>
      <w:pPr>
        <w:pStyle w:val="ListBullet"/>
      </w:pPr>
      <w:r/>
      <w:r>
        <w:rPr>
          <w:b/>
        </w:rPr>
        <w:t>Anticoagulants oraux</w:t>
      </w:r>
      <w:r>
        <w:t xml:space="preserve"> : ne pas contre-indiquer la vaccination IM ; aiguille fine (25 G), comprimer 5 min.</w:t>
      </w:r>
    </w:p>
    <w:p>
      <w:pPr>
        <w:pStyle w:val="ListBullet"/>
      </w:pPr>
      <w:r/>
      <w:r>
        <w:rPr>
          <w:b/>
        </w:rPr>
        <w:t>Antibiothérapie prophylactique post-exposition</w:t>
      </w:r>
      <w:r>
        <w:t xml:space="preserve"> (rifampicine, ciprofloxacine, ceftriaxone) : ne se substitue PAS à la vaccination. En prophylaxie post-exposition d'un cas d'infection invasive, l'antibiothérapie est administrée en urgence (≤ 24 h) pour éliminer le portage rhinopharyngé chez les contacts proches ; la vaccination est administrée en complément si le sujet n'est pas déjà vacciné ou si le sérogroupe n'est pas couvert par une vaccination antérieure.</w:t>
      </w:r>
    </w:p>
    <w:p>
      <w:r/>
      <w:r>
        <w:rPr>
          <w:b/>
        </w:rPr>
        <w:t>Grossesse et Allaitement :</w:t>
      </w:r>
      <w:r/>
    </w:p>
    <w:p>
      <w:pPr>
        <w:pStyle w:val="ListBullet"/>
      </w:pPr>
      <w:r>
        <w:t xml:space="preserve">Grossesse : Le CRAT et le CDC classent le vaccin antiméningococcique conjugué ACWY en </w:t>
      </w:r>
      <w:r>
        <w:rPr>
          <w:b/>
        </w:rPr>
        <w:t>compatible et utilisable pendant la grossesse</w:t>
      </w:r>
      <w:r>
        <w:t xml:space="preserve"> en cas d'indication (voyage en zone d'endémie, asplénie, déficit en complément, contact avec un cas). Les données animales et les séries limitées de femmes enceintes (notamment pendant la campagne de vaccination militaire US) ne montrent pas d'effet malformatif, de mort fœtale ou de prématurité. La vaccination d'une femme enceinte à risque est justifiée car l'infection à méningocoque pendant la grossesse est gravissime (risque maternel et fœtal). Pour la femme enceinte pèlerine du Hadj, le vaccin ACWY est administré (obligation saoudienne) sans contre-indication.</w:t>
      </w:r>
    </w:p>
    <w:p>
      <w:pPr>
        <w:pStyle w:val="ListBullet"/>
      </w:pPr>
      <w:r>
        <w:t xml:space="preserve">Allaitement : Le vaccin antiméningococcique conjugué ACWY est </w:t>
      </w:r>
      <w:r>
        <w:rPr>
          <w:b/>
        </w:rPr>
        <w:t>compatible avec l'allaitement</w:t>
      </w:r>
      <w:r>
        <w:t xml:space="preserve"> selon le CRAT. Aucun composant vaccinal ne passe significativement dans le lait maternel. La vaccination de la mère allaitante est possible en cas d'indication.</w:t>
      </w:r>
    </w:p>
    <w:p>
      <w:pPr>
        <w:pStyle w:val="ListBullet"/>
      </w:pPr>
      <w:r>
        <w:t>Précisions : Pour la voyageuse enceinte en zone d'endémie méningococcique, le vaccin ACWY est préférable au vaccin polyosidique non conjugué (plus ancien, moins immunogène, mais non disponible en Algérie).</w:t>
      </w:r>
    </w:p>
    <w:p>
      <w:r/>
      <w:r>
        <w:rPr>
          <w:b/>
        </w:rPr>
        <w:t>Posologie et Mode d'administration (Standard) :</w:t>
      </w:r>
      <w:r/>
    </w:p>
    <w:p>
      <w:pPr>
        <w:pStyle w:val="ListBullet"/>
      </w:pPr>
      <w:r>
        <w:t xml:space="preserve">Adulte et enfant &gt; 2 ans : </w:t>
      </w:r>
      <w:r>
        <w:rPr>
          <w:b/>
        </w:rPr>
        <w:t>1 dose unique de 0,5 mL en IM</w:t>
      </w:r>
      <w:r>
        <w:t xml:space="preserve"> (deltoïde) ; rappel à 5 ans chez les sujets à risque permanent (asplénie, déficit en complément, personnel de laboratoire, voyageurs répétés en zone d'endémie) ; pour le pèlerinage du Hadj, validité 3 ans (selon autorités saoudiennes).</w:t>
      </w:r>
    </w:p>
    <w:p>
      <w:pPr>
        <w:pStyle w:val="ListBullet"/>
      </w:pPr>
      <w:r>
        <w:t xml:space="preserve">Nourrisson 6 mois à 2 ans : </w:t>
      </w:r>
      <w:r>
        <w:rPr>
          <w:b/>
        </w:rPr>
        <w:t>2 doses à 8 semaines d'intervalle</w:t>
      </w:r>
      <w:r>
        <w:t xml:space="preserve"> (0,5 mL en IM, cuisse antéro-latérale), suivi d'un rappel à 12–15 mois (ou après 4 ans selon les recommandations). Pour les enfants ayant reçu la première dose avant 2 ans, un rappel est recommandé 3 ans après la dernière dose si le risque persiste.</w:t>
      </w:r>
    </w:p>
    <w:p>
      <w:pPr>
        <w:pStyle w:val="ListBullet"/>
      </w:pPr>
      <w:r>
        <w:t>Prophylaxie post-exposition : 1 dose unique dès que possible après le contact (idéalement &lt; 14 jours), en complément de l'antibiothérapie prophylactique.</w:t>
      </w:r>
    </w:p>
    <w:p>
      <w:pPr>
        <w:pStyle w:val="ListBullet"/>
      </w:pPr>
      <w:r>
        <w:t>Voyageur en zone d'endémie : 1 dose au moins 2 semaines avant le départ (délai d'installation de la protection), validité 5 ans.</w:t>
      </w:r>
    </w:p>
    <w:p>
      <w:pPr>
        <w:pStyle w:val="ListBullet"/>
      </w:pPr>
      <w:r>
        <w:t xml:space="preserve">Conservation : </w:t>
      </w:r>
      <w:r>
        <w:rPr>
          <w:b/>
        </w:rPr>
        <w:t>+2 °C à +8 °C</w:t>
      </w:r>
      <w:r>
        <w:t xml:space="preserve"> (réfrigérateur, ne pas congeler), à l'abri de la lumière, ne pas utiliser si la seringue présente des particules, une coloration anormale, ou si la chaîne du froid a été rompue. Agiter avant emploi pour remettre en suspension l'antigène adsorbé sur aluminium.</w:t>
      </w:r>
    </w:p>
    <w:p>
      <w:r/>
      <w:r>
        <w:rPr>
          <w:b/>
        </w:rPr>
        <w:t>Arbitrage et Bénéfices des Formes Galéniques :</w:t>
      </w:r>
      <w:r/>
    </w:p>
    <w:p>
      <w:r>
        <w:t>Le vaccin MENQUADFI (Sanofi Winthrop Industrie) est le seul vaccin antiméningococcique conjugué ACWY disponible en Algérie (ACTIF dans la nomenclature Avril 2026). Il se présente en seringue préremplie de 0,5 mL, prête à l'emploi, monodose, avec ou sans aiguille intégrée. Cette forme galénique est idéale pour la pratique d'officine (délivrance pour vaccination privée), les centres de vaccination des voyageurs, les services de médecine du travail et les centres de santé publique (campagnes de vaccination). Les vaccins alternatifs (NIMENRIX de GSK, MENVEO de GSK, MENACTRA de Sanofi) ne sont pas référencés en Algérie : le pharmacien d'officine doit s'en tenir au MENQUADFI pour les délivrances privées, et orienter les patients vers les centres de vaccination publique pour les vaccinations gratuites (programme national, voyageurs, contacts). La seringue préremplie garantit la traçabilité du lot et évite les erreurs de reconstitution. Pour la vaccination des nourrissons &lt; 2 ans (schéma 2 doses + rappel), le vaccin MENQUADFI est autorisé dès l'âge de 6 mois (selon AMM) ; pour les nourrissons à très haut risque (asplénie, déficit en complément), le schéma peut débuter dès 6 semaines selon les recommandations spécialisées.</w:t>
      </w:r>
    </w:p>
    <w:p>
      <w:r/>
      <w:r>
        <w:rPr>
          <w:b/>
        </w:rPr>
        <w:t>Instructions et Conseils au Patient :</w:t>
      </w:r>
      <w:r/>
    </w:p>
    <w:p>
      <w:pPr>
        <w:pStyle w:val="ListBullet"/>
      </w:pPr>
      <w:r>
        <w:t>Communication au comptoir (officine) : "Ce vaccin protège contre le méningocoque des groupes A, C, W et Y, une bactérie qui peut causer une méningite ou une septicémie grave (purpura fulminans). Il est recommandé pour les voyageurs en zone d'endémie (Afrique subsaharienne, ceinture de la méningite), les pèlerins du Hadj (obligatoire pour le visa saoudien), les personnes sans rate ou avec un déficit immunitaire, et les contacts d'un cas. Il s'administre en une seule injection dans l'épaule (deltoïde), et la protection dure 5 ans. Après la vaccination, vous pouvez avoir une douleur au bras, un peu de fièvre, des maux de tête ou des courbatures pendant 24 à 48 heures : c'est normal. Le vaccin ne protège pas contre le méningocoque B (cause la plus fréquente de méningite sporadique en Europe)."</w:t>
      </w:r>
    </w:p>
    <w:p>
      <w:pPr>
        <w:pStyle w:val="ListBullet"/>
      </w:pPr>
      <w:r>
        <w:t>Mode d'utilisation pratique : (1) Conserver au réfrigérateur à +2 °C à +8 °C, jamais au congélateur ; vérifier la température chaque jour. (2) Transporter dans une sacoche isotherme avec accumulateur de froid. (3) Le médecin ou l'infirmière agitera la seringue avant emploi et injectera dans le muscle deltoïde. (4) Surveiller 15–30 minutes après l'injection (risque de syncope vaso-vagale chez l'adolescent). (5) Tenir le carnet de vaccination à jour, noter la date et le lot. (6) Pour le pèlerinage du Hadj, vérifier les exigences saoudiennes (validité 3 ans selon les autorités saoudiennes, à administrer au moins 10 jours avant le départ). (7) Pour les sujets à risque permanent (asplénie), prévoir un rappel à 5 ans.</w:t>
      </w:r>
    </w:p>
    <w:p>
      <w:pPr>
        <w:pStyle w:val="ListBullet"/>
      </w:pPr>
      <w:r>
        <w:t>Conseils spécifiques : (a) Pour la prophylaxie post-exposition, le vaccin est administré en complément de l'antibiothérapie (rifampicine ou ciprofloxacine ou ceftriaxone) — ne pas se contenter du vaccin seul ; (b) Chez le nourrisson à risque (asplénie), le schéma comporte 2 doses à 8 semaines d'intervalle + rappel à 12 mois ; (c) Ne pas confondre vaccin ACWY (sérogroupes A, C, W, Y) et vaccin B (Bexsero, non disponible en Algérie) — les deux vaccins sont complémentaires pour la couverture complète du méningocoque.</w:t>
      </w:r>
    </w:p>
    <w:p>
      <w:r/>
      <w:r>
        <w:rPr>
          <w:b/>
        </w:rPr>
        <w:t>Notes, Règles d'Or &amp; Pièges au Comptoir :</w:t>
      </w:r>
      <w:r/>
    </w:p>
    <w:p>
      <w:pPr>
        <w:pStyle w:val="ListBullet"/>
      </w:pPr>
      <w:r>
        <w:t xml:space="preserve">Piège classique n°1 : </w:t>
      </w:r>
      <w:r>
        <w:rPr>
          <w:b/>
        </w:rPr>
        <w:t>Vaccin ACWY ≠ vaccin B</w:t>
      </w:r>
      <w:r>
        <w:t xml:space="preserve"> — le vaccin ACWY (MENQUADFI) couvre les sérogroupes A, C, W, Y mais PAS le sérogroupe B (cause principale de méningite sporadique en Europe et en Algérie). Pour une couverture complète du méningocoque, le vaccin B (Bexsero) devrait être ajouté, mais il n'est pas disponible en Algérie.</w:t>
      </w:r>
    </w:p>
    <w:p>
      <w:pPr>
        <w:pStyle w:val="ListBullet"/>
      </w:pPr>
      <w:r>
        <w:t xml:space="preserve">Piège classique n°2 : </w:t>
      </w:r>
      <w:r>
        <w:rPr>
          <w:b/>
        </w:rPr>
        <w:t>Validité 3 ans pour le Hadj, 5 ans en routine</w:t>
      </w:r>
      <w:r>
        <w:t xml:space="preserve"> — les autorités saoudiennes considèrent le vaccin valide 3 ans pour le visa Hadj (et non 5 ans comme en standard). Vérifier les exigences avant le départ.</w:t>
      </w:r>
    </w:p>
    <w:p>
      <w:pPr>
        <w:pStyle w:val="ListBullet"/>
      </w:pPr>
      <w:r>
        <w:t xml:space="preserve">Piège classique n°3 : </w:t>
      </w:r>
      <w:r>
        <w:rPr>
          <w:b/>
        </w:rPr>
        <w:t>Délai d'installation de la protection</w:t>
      </w:r>
      <w:r>
        <w:t xml:space="preserve"> — la protection s'installe en 10–14 jours après la vaccination. Pour un voyageur, vacciner au moins 2 semaines avant le départ.</w:t>
      </w:r>
    </w:p>
    <w:p>
      <w:pPr>
        <w:pStyle w:val="ListBullet"/>
      </w:pPr>
      <w:r>
        <w:t xml:space="preserve">Piège classique n°4 : </w:t>
      </w:r>
      <w:r>
        <w:rPr>
          <w:b/>
        </w:rPr>
        <w:t>Prophylaxie post-exposition = vaccin + antibiotique</w:t>
      </w:r>
      <w:r>
        <w:t xml:space="preserve"> — la vaccination seule ne suffit pas en post-exposition. L'antibiothérapie (rifampicine 600 mg × 2/j × 2 jours, ou ciprofloxacine 500 mg dose unique, ou ceftriaxone 250 mg IM dose unique) doit être administrée dans les 24 h pour éliminer le portage rhinopharyngé.</w:t>
      </w:r>
    </w:p>
    <w:p>
      <w:pPr>
        <w:pStyle w:val="ListBullet"/>
      </w:pPr>
      <w:r>
        <w:t xml:space="preserve">Piège classique n°5 : </w:t>
      </w:r>
      <w:r>
        <w:rPr>
          <w:b/>
        </w:rPr>
        <w:t>Ne pas congeler</w:t>
      </w:r>
      <w:r>
        <w:t xml:space="preserve"> — la congélation détruit le conjugué polyoside-protéine adsorbé sur aluminium.</w:t>
      </w:r>
    </w:p>
    <w:p>
      <w:pPr>
        <w:pStyle w:val="ListBullet"/>
      </w:pPr>
      <w:r>
        <w:t xml:space="preserve">Piège classique n°6 : </w:t>
      </w:r>
      <w:r>
        <w:rPr>
          <w:b/>
        </w:rPr>
        <w:t>Allergie à l'anatoxine tétanique = CI relative</w:t>
      </w:r>
      <w:r>
        <w:t xml:space="preserve"> — le vaccin MENQUADFI utilise l'anatoxine tétanique comme protéine porteuse ; un patient avec allergie sévère à l'anatoxine tétanique ne doit pas recevoir ce vaccin. Alternative : vaccin conjugué ACWY utilisant la protéine CRM197 (Menveo, non disponible en Algérie) ou la protéine D (Nimenrix, non disponible en Algérie).</w:t>
      </w:r>
    </w:p>
    <w:p>
      <w:pPr>
        <w:pStyle w:val="ListBullet"/>
      </w:pPr>
      <w:r>
        <w:t xml:space="preserve">Piège classique n°7 : </w:t>
      </w:r>
      <w:r>
        <w:rPr>
          <w:b/>
        </w:rPr>
        <w:t>Syncope vaso-vagale chez l'adolescent</w:t>
      </w:r>
      <w:r>
        <w:t xml:space="preserve"> — particulièrement fréquente chez la jeune fille de 12–18 ans. Vacciner en position assise ou allongée, surveillance 15 min post-vaccination.</w:t>
      </w:r>
    </w:p>
    <w:p>
      <w:pPr>
        <w:pStyle w:val="ListBullet"/>
      </w:pPr>
      <w:r>
        <w:t>Règle de prise : 1 dose unique IM deltoïde (0,5 mL) ; 2 doses à 8 semaines + rappel 12 mois chez le nourrisson &lt; 2 ans ; rappel à 5 ans chez les sujets à risque permanent ; chaîne du froid +2 °C à +8 °C, ne pas congeler ; surveillance 15–30 minutes.</w:t>
      </w:r>
    </w:p>
    <w:p>
      <w:pPr>
        <w:pStyle w:val="ListBullet"/>
      </w:pPr>
      <w:r>
        <w:t>Préparation et Conservation : seringue préremplie +2 °C à +8 °C jusqu'à péremption ; ne pas congeler ; agiter avant emploi ; utiliser immédiatement après ouverture.</w:t>
      </w:r>
    </w:p>
    <w:p>
      <w:pPr>
        <w:pStyle w:val="ListBullet"/>
      </w:pPr>
      <w:r>
        <w:t>Piège du surdosage / Substitution : (a) Surdosage (double dose) : pas de toxicité significative, surveillance de la fièvre. (b) Substitution MENQUADFI ↔ autres vaccins ACWY (Menveo, Nimenrix, Menactra) possible et bioéquivalente, mais non disponibles en Algérie. (c) Ne pas confondre vaccin conjugué ACWY (MENQUADFI, protéine porteuse anatoxine tétanique) et vaccin polyosidique non conjugué ACWY (anciennes formulations, moins immunogène, sans effet sur le portage) — ce dernier n'est plus commercialisé en Algérie. (d) Le vaccin ACWY ne protège pas contre le sérogroupe B (vaccin Bexsero non disponible en Algérie).</w:t>
      </w:r>
    </w:p>
    <w:p>
      <w:pPr>
        <w:pStyle w:val="Heading2"/>
      </w:pPr>
      <w:r>
        <w:t>174.5 Sous-classe : Vaccins recombinants HPV (Papillomavirus humain)</w:t>
      </w:r>
    </w:p>
    <w:p>
      <w:pPr>
        <w:pStyle w:val="Heading3"/>
      </w:pPr>
      <w:r>
        <w:t>Introduction à la sous-classe</w:t>
      </w:r>
    </w:p>
    <w:p>
      <w:r>
        <w:t>Les vaccins recombinants anti-HPV (papillomavirus humain) représentent l'une des avancées les plus marquantes de la vaccinologie préventive moderne, appliquée à la prévention du cancer. Le papillomavirus humain (HPV) est responsable de la quasi-totalité des cancers du col de l'utérus (deuxième cancer de la femme dans le monde, 570 000 cas annuels, 311 000 décès), d'une proportion importante des cancers oropharyngés (base de langue, amygdale, en augmentation chez l'homme jeune), des cancers anaux, vulvaires, vaginaux et péniens, ainsi que des verrues génitales (condylomes). La transmission se fait par contact sexuel (contact cutanéo-muqueux direct), et l'infection est extrêmement fréquente (70–80 % des femmes sexuellement actives seront infectées par au moins un type d'HPV au cours de leur vie). Dans 90 % des cas, l'infection est transitoire et éliminée par le système immunitaire en 12–24 mois ; dans 10 % des cas, elle persiste et peut évoluer vers des lésions précancéreuses (néoplasie intraépithéliale cervicale CIN1, CIN2, CIN3) puis un cancer invasif (après 10–20 ans d'évolution).</w:t>
      </w:r>
    </w:p>
    <w:p>
      <w:r>
        <w:t xml:space="preserve">Les vaccins anti-HPV ciblent les types d'HPV les plus oncogènes : HPV-16 (responsable de 50–60 % des cancers du col) et HPV-18 (10–15 %), ainsi que les types responsables des verrues génitales (HPV-6 et HPV-11, 90 % des condylomes). Le vaccin 9-valent (Gardasil 9) ajoute 5 types oncogènes supplémentaires (HPV-31, 33, 45, 52, 58), portant la couverture théorique à 90 % des cancers du col. La technologie des vaccins anti-HPV repose sur l'expression recombinante de la protéine L1 (protéine majeure de la capside virale) dans la levure </w:t>
      </w:r>
      <w:r>
        <w:rPr>
          <w:i/>
        </w:rPr>
        <w:t>Saccharomyces cerevisiae</w:t>
      </w:r>
      <w:r>
        <w:t xml:space="preserve"> (Gardasil) ou dans des cellules d'insectes infectées par un baculovirus (Cervarix, utilisant la protéine L1 seule avec adjuvant AS04). La protéine L1 recombinante s'auto-assemble en particules virales non infectieuses (VLP, </w:t>
      </w:r>
      <w:r>
        <w:rPr>
          <w:i/>
        </w:rPr>
        <w:t>virus-like particles</w:t>
      </w:r>
      <w:r>
        <w:t>), identiques morphologiquement et antigéniquement au virion HPV mais dépourvues d'ADN viral et de pouvoir infectieux. Ces VLP déclenchent une réponse immunitaire humorale intense (titres d'anticorps anti-L1 neutralisants très élevés, 10–100× supérieurs à ceux observés après infection naturelle), avec une protection à long terme (&gt; 10 ans selon les suivis disponibles).</w:t>
      </w:r>
    </w:p>
    <w:p>
      <w:r>
        <w:t>L'impact sanitaire des programmes de vaccination anti-HPV est spectaculaire : en Australie, où la couverture vaccinale dépasse 80 %, l'incidence des lésions précancéreuses cervicales (CIN2+) chez les femmes de moins de 25 ans a chuté de 90 % en 10 ans ; le pays prévoit l'élimination du cancer du col d'ici 2035. En Algérie, le vaccin anti-HPV n'est pas encore intégré au calendrier vaccinal national (données 2024), mais il est disponible dans le secteur privé (importation) pour les filles et garçons de 9 à 26 ans (et jusqu'à 45 ans selon les recommandations étendues récentes). La couverture vaccinale reste faible (&lt; 5 %), ce qui souligne l'importance du rôle du pharmacien d'officine dans l'information et l'orientation des patients, notamment des parents de jeunes adolescentes.</w:t>
      </w:r>
    </w:p>
    <w:p>
      <w:pPr>
        <w:pStyle w:val="Heading3"/>
      </w:pPr>
      <w:r>
        <w:t>174.5.1 DCI : Vaccin anti-HPV 9-valent (Gardasil 9)</w:t>
      </w:r>
    </w:p>
    <w:p>
      <w:r/>
      <w:r>
        <w:rPr>
          <w:b/>
        </w:rPr>
        <w:t>Liste des Catégories :</w:t>
      </w:r>
      <w:r>
        <w:t xml:space="preserve"> Vaccin recombinant 9-valent anti-papillomavirus humain (types 6, 11, 16, 18, 31, 33, 45, 52, 58) ; Particules virales VLP de protéine L1 produites sur </w:t>
      </w:r>
      <w:r>
        <w:rPr>
          <w:i/>
        </w:rPr>
        <w:t>Saccharomyces cerevisiae</w:t>
      </w:r>
      <w:r>
        <w:t xml:space="preserve"> ; Adsorbé sur hydroxyde d'aluminium ; Conservation +2 °C à +8 °C ; Liste I ; Prévention du cancer du col et autres cancers HPV-induits.</w:t>
      </w:r>
    </w:p>
    <w:p>
      <w:r>
        <w:t>Le papillomavirus humain (HPV) regroupe plus de 200 types viraux distincts, dont une quinzaine sont oncogènes (high-risk). Les types HPV-16 et HPV-18 sont responsables de 70 % des cancers du col de l'utérus dans le monde ; les types HPV-31, 33, 45, 52 et 58 ajoutent 20 % supplémentaires, portant la couverture théorique du vaccin 9-valent à 90 % des cancers du col. Les types HPV-6 et HPV-11 (low-risk, non oncogènes) causent 90 % des verrues génitales (condylomes acuminés), lésions bénignes mais hautement contagieuses et récidivantes. Le vaccin Gardasil 9, commercialisé par Merck Sharp &amp; Dohme, est le seul vaccin anti-HPV 9-valent disponible en Algérie (actif dans la nomenclature). Il est indiqué chez les filles et garçons de 9 à 45 ans selon les recommandations internationales (CDC ACIP, OMS, HAS), en prophylaxie pré-exposition (avant le début de l'activité sexuelle) et même en prophylaxie post-exposition (jusqu'à 45 ans, en complément du dépistage cytologique).</w:t>
      </w:r>
    </w:p>
    <w:p>
      <w:r/>
      <w:r>
        <w:rPr>
          <w:b/>
        </w:rPr>
        <w:t>Médicaments disponibles en Algérie (Format Tableau — Nomenclature Avril 2026)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GARDASIL 9</w:t>
            </w:r>
          </w:p>
        </w:tc>
        <w:tc>
          <w:tcPr>
            <w:tcW w:type="dxa" w:w="1559"/>
          </w:tcPr>
          <w:p>
            <w:r>
              <w:rPr>
                <w:sz w:val="20"/>
              </w:rPr>
              <w:t>MERCK SHARP &amp; DOHME B.V.</w:t>
            </w:r>
          </w:p>
        </w:tc>
        <w:tc>
          <w:tcPr>
            <w:tcW w:type="dxa" w:w="1559"/>
          </w:tcPr>
          <w:p>
            <w:r>
              <w:rPr>
                <w:sz w:val="20"/>
              </w:rPr>
              <w:t>Suspension injectable IM en seringue préremplie, 1 dose (0,5 mL) contenant : 30 µg HPV 6 L1 + 40 µg HPV 11 L1 + 60 µg HPV 16 L1 + 40 µg HPV 18 L1 + 20 µg HPV 31 L1 + 20 µg HPV 33 L1 + 20 µg HPV 45 L1 + 20 µg HPV 52 L1 + 20 µg HPV 58 L1 (protéines L1 recombinantes en VLP adsorbées sur 500 µg hydroxyde d'aluminium amorphe)</w:t>
            </w:r>
          </w:p>
        </w:tc>
        <w:tc>
          <w:tcPr>
            <w:tcW w:type="dxa" w:w="1559"/>
          </w:tcPr>
          <w:p>
            <w:r>
              <w:rPr>
                <w:sz w:val="20"/>
              </w:rPr>
              <w:t>Boîte de 1 seringue préremplie de 0,5 mL + 2 aiguilles</w:t>
            </w:r>
          </w:p>
        </w:tc>
        <w:tc>
          <w:tcPr>
            <w:tcW w:type="dxa" w:w="1559"/>
          </w:tcPr>
          <w:p>
            <w:r>
              <w:rPr>
                <w:sz w:val="20"/>
              </w:rPr>
              <w:t>LISTE I</w:t>
            </w:r>
          </w:p>
        </w:tc>
        <w:tc>
          <w:tcPr>
            <w:tcW w:type="dxa" w:w="1559"/>
          </w:tcPr>
          <w:p>
            <w:r>
              <w:rPr>
                <w:sz w:val="20"/>
              </w:rPr>
              <w:t>ACTIF</w:t>
            </w:r>
          </w:p>
        </w:tc>
      </w:tr>
    </w:tbl>
    <w:p/>
    <w:p>
      <w:r/>
      <w:r>
        <w:rPr>
          <w:b/>
        </w:rPr>
        <w:t>Sous-classe et Mécanisme d'action :</w:t>
      </w:r>
      <w:r/>
    </w:p>
    <w:p>
      <w:pPr>
        <w:pStyle w:val="ListBullet"/>
      </w:pPr>
      <w:r>
        <w:t>Sous-classe : Vaccin recombinant 9-valent (particules virales VLP de protéine L1 des types HPV 6, 11, 16, 18, 31, 33, 45, 52, 58), produit sur *Saccharomyces cerevisiae* (levure), adsorbé sur hydroxyde d'aluminium amorphe (adjuvant).</w:t>
      </w:r>
    </w:p>
    <w:p>
      <w:pPr>
        <w:pStyle w:val="ListBullet"/>
      </w:pPr>
      <w:r>
        <w:t>Mécanisme d'action : Le gène L1 (codant la protéine majeure de la capside virale HPV) est inséré dans un plasmide d'expression sous contrôle d'un promoteur inductible de la levure *Saccharomyces cerevisiae*. La levure transformée produit la protéine L1 qui s'auto-assemble spontanément en **particules pseudo-virales (VLP, *virus-like particles*)</w:t>
      </w:r>
      <w:r>
        <w:rPr>
          <w:b/>
        </w:rPr>
        <w:t xml:space="preserve">, identiques morphologiquement et antigéniquement au virion HPV naturel (pentamères de L1 assemblés en icosaèdre de 50–60 nm de diamètre), mais </w:t>
      </w:r>
      <w:r>
        <w:t>dépourvues d'ADN viral et de pouvoir infectieux</w:t>
      </w:r>
      <w:r>
        <w:rPr>
          <w:b/>
        </w:rPr>
        <w:t xml:space="preserve">. Après purification par chromatographie, les VLP des 9 types HPV sont adsorbées sur hydroxyde d'aluminium (500 µg Al³⁺/dose), adjuvant qui crée un dépôt antigénique au point d'injection et active les cellules présentatrices d'antigène. Administré par voie IM dans le muscle deltoïde, le vaccin déclenche une réponse immunitaire humorale T-dépendante : les cellules dendritiques capturent les VLP, internalisent et dégradent la protéine L1 en peptides, présentent ces peptides en association avec les molécules du CMH de classe II aux lymphocytes T CD4+ helper. La coopération T-B permet la différenciation des lymphocytes B en plasmocytes sécréteurs d'IgG anti-L1 neutralisants (capables de bloquer la fixation du virus aux cellules épithéliales de la muqueuse cervicale). La cinétique de la réponse : anticorps détectables dès J14, pic à J28–J30 (titres 10–100× supérieurs à ceux observés après infection naturelle, ce qui explique l'efficacité vaccinale supérieure à l'immunité naturelle), persistance à taux protecteurs pendant &gt; 10 ans selon les suivis disponibles (essais cliniques à 14 ans sans déclin significatif). La protection vaccinale est de type </w:t>
      </w:r>
      <w:r>
        <w:t>stérilisante</w:t>
      </w:r>
      <w:r>
        <w:rPr>
          <w:b/>
        </w:rPr>
        <w:t xml:space="preserve"> (prévention de l'infection persistante à HPV, et non seulement de la maladie clinique) chez 95–99 % des sujets naïfs (non infectés par les types HPV ciblés au moment de la vaccination). En revanche, la vaccination n'a </w:t>
      </w:r>
      <w:r>
        <w:t>pas d'effet thérapeutique** sur les lésions déjà installées (infection persistante, CIN, cancer) — d'où l'importance de vacciner avant le début de l'activité sexuelle. La vaccination n'a pas non plus d'effet sur les types HPV non inclus dans le vaccin (d'où la nécessité de maintenir le dépistage cytologique régulier, frottis cervico-utérin selon les recommandations). La vaccination des deux sexes (filles et garçons) contribue à l'immunité de groupe (réduction de la circulation virale) et à la prévention des cancers oropharyngés, anaux et péniens, justifiant la vaccination universelle.</w:t>
      </w:r>
    </w:p>
    <w:p>
      <w:r/>
      <w:r>
        <w:rPr>
          <w:b/>
        </w:rPr>
        <w:t>Profil Pharmacologique :</w:t>
      </w:r>
      <w:r/>
    </w:p>
    <w:p>
      <w:pPr>
        <w:pStyle w:val="ListBullet"/>
      </w:pPr>
      <w:r>
        <w:t xml:space="preserve">Indications : (1) </w:t>
      </w:r>
      <w:r>
        <w:rPr>
          <w:b/>
        </w:rPr>
        <w:t>Vaccination des filles et garçons de 9 à 14 ans</w:t>
      </w:r>
      <w:r>
        <w:t xml:space="preserve"> (avant le début de l'activité sexuelle) — indication principale, schéma 2 doses à 6–12 mois d'intervalle ; (2) </w:t>
      </w:r>
      <w:r>
        <w:rPr>
          <w:b/>
        </w:rPr>
        <w:t>Rattrapage des filles et garçons de 15 à 19 ans</w:t>
      </w:r>
      <w:r>
        <w:t xml:space="preserve"> — schéma 3 doses (0, 2, 6 mois) ; (3) </w:t>
      </w:r>
      <w:r>
        <w:rPr>
          <w:b/>
        </w:rPr>
        <w:t>Vaccination des femmes et hommes de 19 à 45 ans</w:t>
      </w:r>
      <w:r>
        <w:t xml:space="preserve"> (selon AMM élargie 2018) — schéma 3 doses, en prophylaxie post-exposition ; (4) </w:t>
      </w:r>
      <w:r>
        <w:rPr>
          <w:b/>
        </w:rPr>
        <w:t>Vaccination des sujets à risque</w:t>
      </w:r>
      <w:r>
        <w:t xml:space="preserve"> : immunodéprimés (VIH, transplantation, traitement immunosuppresseur), hommes ayant des relations sexuelles avec des hommes (HSH), personnes vivant avec le VIH, travailleurs du sexe ; (5) </w:t>
      </w:r>
      <w:r>
        <w:rPr>
          <w:b/>
        </w:rPr>
        <w:t>Vaccination des femmes ayant des anomalies cytologiques</w:t>
      </w:r>
      <w:r>
        <w:t xml:space="preserve"> (frottis anormal, CIN traitée) — en complément du dépistage, ne traite pas les lésions existantes mais prévient les réinfections par d'autres types HPV ; (6) </w:t>
      </w:r>
      <w:r>
        <w:rPr>
          <w:b/>
        </w:rPr>
        <w:t>Vaccination post-conisation</w:t>
      </w:r>
      <w:r>
        <w:t xml:space="preserve"> (après traitement d'une CIN2/3) — réduit le risque de récidive.</w:t>
      </w:r>
    </w:p>
    <w:p>
      <w:pPr>
        <w:pStyle w:val="ListBullet"/>
      </w:pPr>
      <w:r>
        <w:t xml:space="preserve">Contre-indications : (1) </w:t>
      </w:r>
      <w:r>
        <w:rPr>
          <w:b/>
        </w:rPr>
        <w:t>Hypersensibilité sévère (anaphylaxie)</w:t>
      </w:r>
      <w:r>
        <w:t xml:space="preserve"> à un composant du vaccin : protéine de levure (*Saccharomyces cerevisiae*), hydroxyde d'aluminium, polysorbate 80 ; (2) Antécédent de réaction grave à une précédente dose ; (3) Maladie fébrile aiguë sévère (reporter la vaccination) ; (4) Grossesse (par principe de précaution — le vaccin n'est pas recommandé pendant la grossesse, mais une vaccination inadvertently administrée ne justifie pas d'interruption médicale de grossesse) ; (5) Allaitement : non contre-indiqué selon le CRAT (données limitées mais rassurantes).</w:t>
      </w:r>
    </w:p>
    <w:p>
      <w:pPr>
        <w:pStyle w:val="ListBullet"/>
      </w:pPr>
      <w:r>
        <w:t xml:space="preserve">Effets Indésirables : (1) </w:t>
      </w:r>
      <w:r>
        <w:rPr>
          <w:b/>
        </w:rPr>
        <w:t>Réactions locales</w:t>
      </w:r>
      <w:r>
        <w:t xml:space="preserve"> (20–30 %) : douleur, érythème, induration, œdème au point d'injection, résolutives en 24–72 h ; plus fréquentes qu'avec d'autres vaccins (forte charge antigénique de 9 VLP) ; (2) </w:t>
      </w:r>
      <w:r>
        <w:rPr>
          <w:b/>
        </w:rPr>
        <w:t>Fièvre modérée</w:t>
      </w:r>
      <w:r>
        <w:t xml:space="preserve"> (5–10 %) : 38–39 °C en 24–48 h ; (3) Céphalées (20–30 %, fréquentes) ; (4) Fatigue, malaise (15–20 %) ; (5) Myalgies, arthralgies (10–15 %) ; (6) Nausées, vomissements (5 %) ; (7) </w:t>
      </w:r>
      <w:r>
        <w:rPr>
          <w:b/>
        </w:rPr>
        <w:t>Syncope vaso-vagale</w:t>
      </w:r>
      <w:r>
        <w:t xml:space="preserve"> chez l'adolescente (particulièrement fréquente — à prévenir par administration en position assise/allongée et surveillance 15 min) ; (8) Réactions allergiques : urticaire, prurit (rare), anaphylaxie (très rare, 1/1 000 000) ; (9) Lymphadénopathies (5 %) ; (10) Exceptionnellement : syndrome de Guillain-Barré (non confirmé, inférieur au risque attendu en population générale), vascularite, purpura thrombopénique idiopathique, pancréatite aiguë (imputabilité débattue).</w:t>
      </w:r>
    </w:p>
    <w:p>
      <w:r/>
      <w:r>
        <w:rPr>
          <w:b/>
        </w:rPr>
        <w:t>Prévention et Gestion des Effets Indésirables :</w:t>
      </w:r>
      <w:r/>
    </w:p>
    <w:p>
      <w:pPr>
        <w:pStyle w:val="ListBullet"/>
      </w:pPr>
      <w:r>
        <w:t xml:space="preserve">Mesures Préventives : (a) </w:t>
      </w:r>
      <w:r>
        <w:rPr>
          <w:b/>
        </w:rPr>
        <w:t>Interrogatoire pré-vaccinal</w:t>
      </w:r>
      <w:r>
        <w:t xml:space="preserve"> : antécédents allergiques (levure, aluminium, polysorbate 80), maladie aiguë évolutive, grossesse, vaccination récente ; (b) </w:t>
      </w:r>
      <w:r>
        <w:rPr>
          <w:b/>
        </w:rPr>
        <w:t>Examen clinique pré-vaccinal</w:t>
      </w:r>
      <w:r>
        <w:t xml:space="preserve"> : température ; (c) </w:t>
      </w:r>
      <w:r>
        <w:rPr>
          <w:b/>
        </w:rPr>
        <w:t>Administration en position assise ou allongée</w:t>
      </w:r>
      <w:r>
        <w:t xml:space="preserve"> chez l'adolescente (risque de syncope vaso-vagale particulièrement élevé) ; (d) </w:t>
      </w:r>
      <w:r>
        <w:rPr>
          <w:b/>
        </w:rPr>
        <w:t>Surveillance post-vaccinale</w:t>
      </w:r>
      <w:r>
        <w:t xml:space="preserve"> de 15–30 minutes (syncope, anaphylaxie) ; (e) Information sur les réactions attendues (douleur locale, fièvre, céphalées, myalgies 24–48 h).</w:t>
      </w:r>
    </w:p>
    <w:p>
      <w:pPr>
        <w:pStyle w:val="ListBullet"/>
      </w:pPr>
      <w:r>
        <w:t>Conduite à Tenir : (a) En cas de douleur locale : paracétamol, application de froid ; (b) En cas de fièvre ≥ 38,5 °C : paracétamol, hydratation ; (c) En cas de syncope pendant ou juste après l'injection : position allongée jambes surélevées, surveillance, fruit/sucre ; (d) En cas d'anaphylaxie : adrénaline IM 0,5 mg (adulte), appel SAMU ; (e) En cas de céphalées intenses ou de troubles visuels : consulter (éliminer une hypertension intracrânienne bénigne exceptionnellement rapportée) ; (f) En cas de réaction allergique retardée : antihistaminiques PO, avis médical.</w:t>
      </w:r>
    </w:p>
    <w:p>
      <w:r/>
      <w:r>
        <w:rPr>
          <w:b/>
        </w:rPr>
        <w:t>Interactions Importantes :</w:t>
      </w:r>
      <w:r/>
    </w:p>
    <w:p>
      <w:pPr>
        <w:pStyle w:val="ListBullet"/>
      </w:pPr>
      <w:r/>
      <w:r>
        <w:rPr>
          <w:b/>
        </w:rPr>
        <w:t>Autres vaccins</w:t>
      </w:r>
      <w:r>
        <w:t xml:space="preserve"> (grippe, pneumocoque, méningocoque, hépatite B, tétanos, polio) : administration simultanée possible à des sites d'injection différents, sans interférence immunitaire significative. Cas particulier du vaccin méningococcique ACWY : administration simultanée possible, mais fièvre plus fréquente (prémédication par paracétamol recommandée chez la jeune fille).</w:t>
      </w:r>
    </w:p>
    <w:p>
      <w:pPr>
        <w:pStyle w:val="ListBullet"/>
      </w:pPr>
      <w:r/>
      <w:r>
        <w:rPr>
          <w:b/>
        </w:rPr>
        <w:t>Vaccin anti-COVID-19</w:t>
      </w:r>
      <w:r>
        <w:t xml:space="preserve"> : administration simultanée possible (recommandation HAS 2022), à des sites d'injection différents.</w:t>
      </w:r>
    </w:p>
    <w:p>
      <w:pPr>
        <w:pStyle w:val="ListBullet"/>
      </w:pPr>
      <w:r/>
      <w:r>
        <w:rPr>
          <w:b/>
        </w:rPr>
        <w:t>Contraception hormonale</w:t>
      </w:r>
      <w:r>
        <w:t xml:space="preserve"> : aucune interaction, ne pas contre-indiquer.</w:t>
      </w:r>
    </w:p>
    <w:p>
      <w:pPr>
        <w:pStyle w:val="ListBullet"/>
      </w:pPr>
      <w:r/>
      <w:r>
        <w:rPr>
          <w:b/>
        </w:rPr>
        <w:t>Antibiothérapie en cours</w:t>
      </w:r>
      <w:r>
        <w:t xml:space="preserve"> : aucune interaction (le vaccin est recombinant, sans bactérie vivante).</w:t>
      </w:r>
    </w:p>
    <w:p>
      <w:pPr>
        <w:pStyle w:val="ListBullet"/>
      </w:pPr>
      <w:r/>
      <w:r>
        <w:rPr>
          <w:b/>
        </w:rPr>
        <w:t>Immunosuppresseurs</w:t>
      </w:r>
      <w:r>
        <w:t xml:space="preserve"> (corticoïdes, biothérapies anti-TNF, anti-CD20) : diminution possible de la réponse immunitaire ; envisager un contrôle sérologique (titre d'anticorps anti-HPV) et éventuellement des doses supplémentaires chez les immunodéprimés sévères.</w:t>
      </w:r>
    </w:p>
    <w:p>
      <w:pPr>
        <w:pStyle w:val="ListBullet"/>
      </w:pPr>
      <w:r/>
      <w:r>
        <w:rPr>
          <w:b/>
        </w:rPr>
        <w:t>Anticoagulants oraux</w:t>
      </w:r>
      <w:r>
        <w:t xml:space="preserve"> : ne pas contre-indiquer la vaccination IM ; aiguille fine (25 G), comprimer 5 min.</w:t>
      </w:r>
    </w:p>
    <w:p>
      <w:r/>
      <w:r>
        <w:rPr>
          <w:b/>
        </w:rPr>
        <w:t>Grossesse et Allaitement :</w:t>
      </w:r>
      <w:r/>
    </w:p>
    <w:p>
      <w:pPr>
        <w:pStyle w:val="ListBullet"/>
      </w:pPr>
      <w:r>
        <w:t xml:space="preserve">Grossesse : Le CRAT, le CDC ACIP et l'OMS considèrent le vaccin anti-HPV comme </w:t>
      </w:r>
      <w:r>
        <w:rPr>
          <w:b/>
        </w:rPr>
        <w:t>non recommandé pendant la grossesse</w:t>
      </w:r>
      <w:r>
        <w:t xml:space="preserve"> (par principe de précaution, en raison du manque de données de sécurité spécifiques à la grossesse). Cependant, les données limitées (registres de femmes enceintes inadvertently vaccinées) ne montrent pas d'augmentation des malformations, morts fœtales ou prématurité. Une vaccination inadvertently administrée pendant la grossesse ne justifie pas d'interruption médicale de grossesse, ni de surveillance particulière au-delà du suivi standard. Le schéma vaccinal est interrompu et repris après l'accouchement (les doses déjà administrées restent valables, sans nécessité de reprendre depuis le début). Les femmes en âge de procréer doivent être informées de l'importance d'une contraception efficace pendant la vaccination (jusqu'à 1 mois après la dernière dose).</w:t>
      </w:r>
    </w:p>
    <w:p>
      <w:pPr>
        <w:pStyle w:val="ListBullet"/>
      </w:pPr>
      <w:r>
        <w:t xml:space="preserve">Allaitement : Le vaccin anti-HPV est </w:t>
      </w:r>
      <w:r>
        <w:rPr>
          <w:b/>
        </w:rPr>
        <w:t>compatible avec l'allaitement</w:t>
      </w:r>
      <w:r>
        <w:t xml:space="preserve"> selon le CRAT (données limitées mais rassurantes). Les protéines VLP recombinantes sont de haut poids moléculaire et peu susceptibles de passer dans le lait en quantité significative ; de plus, l'adsorption sur aluminium limite encore la diffusion systémique. La vaccination d'une mère allaitante (par exemple dans le cadre du rattrapage post-partum) est possible.</w:t>
      </w:r>
    </w:p>
    <w:p>
      <w:pPr>
        <w:pStyle w:val="ListBullet"/>
      </w:pPr>
      <w:r>
        <w:t>Précisions : Chez la femme enceinte ayant commencé le schéma vaccinal avant la grossesse, reporter les doses restantes à la fin de la grossesse (schéma repris après l'accouchement). Pour la femme en post-partum immédiat, la vaccination peut être initiée dès la sortie de maternité.</w:t>
      </w:r>
    </w:p>
    <w:p>
      <w:r/>
      <w:r>
        <w:rPr>
          <w:b/>
        </w:rPr>
        <w:t>Posologie et Mode d'administration (Standard) :</w:t>
      </w:r>
      <w:r/>
    </w:p>
    <w:p>
      <w:pPr>
        <w:pStyle w:val="ListBullet"/>
      </w:pPr>
      <w:r>
        <w:t>Schéma de vaccination selon l'âge et le statut immunitaire :</w:t>
      </w:r>
    </w:p>
    <w:p>
      <w:pPr>
        <w:pStyle w:val="ListBullet"/>
      </w:pPr>
      <w:r/>
      <w:r>
        <w:rPr>
          <w:b/>
        </w:rPr>
        <w:t>9 à 14 ans (immunocompétents)</w:t>
      </w:r>
      <w:r>
        <w:t xml:space="preserve"> : 2 doses (0,5 mL chacune) à 6–12 mois d'intervalle (schéma 0-6 ou 0-12 mois) ; si la 2e dose est administrée &lt; 5 mois après la 1re, une 3e dose est nécessaire à 6 mois minimum après la 2e.</w:t>
      </w:r>
    </w:p>
    <w:p>
      <w:pPr>
        <w:pStyle w:val="ListBullet"/>
      </w:pPr>
      <w:r/>
      <w:r>
        <w:rPr>
          <w:b/>
        </w:rPr>
        <w:t>15 à 45 ans (immunocompétents)</w:t>
      </w:r>
      <w:r>
        <w:t xml:space="preserve"> : 3 doses à 0, 2 et 6 mois (schéma 0-2-6).</w:t>
      </w:r>
    </w:p>
    <w:p>
      <w:pPr>
        <w:pStyle w:val="ListBullet"/>
      </w:pPr>
      <w:r/>
      <w:r>
        <w:rPr>
          <w:b/>
        </w:rPr>
        <w:t>Immunodéprimés (quel que soit l'âge ≥ 9 ans)</w:t>
      </w:r>
      <w:r>
        <w:t xml:space="preserve"> : 3 doses à 0, 2 et 6 mois (schéma 0-2-6).</w:t>
      </w:r>
    </w:p>
    <w:p>
      <w:pPr>
        <w:pStyle w:val="ListBullet"/>
      </w:pPr>
      <w:r/>
      <w:r>
        <w:rPr>
          <w:b/>
        </w:rPr>
        <w:t>HSH (hommes ayant des relations sexuelles avec des hommes) jusqu'à 45 ans</w:t>
      </w:r>
      <w:r>
        <w:t xml:space="preserve"> : 3 doses à 0, 2 et 6 mois.</w:t>
      </w:r>
    </w:p>
    <w:p>
      <w:pPr>
        <w:pStyle w:val="ListBullet"/>
      </w:pPr>
      <w:r>
        <w:t xml:space="preserve">Mode d'administration : </w:t>
      </w:r>
      <w:r>
        <w:rPr>
          <w:b/>
        </w:rPr>
        <w:t>0,5 mL en IM stricte</w:t>
      </w:r>
      <w:r>
        <w:t xml:space="preserve"> dans le muscle deltoïde (région antéro-latérale de la cuisse chez le nourrisson si nécessaire) ; ne jamais administrer en IV, SC ou intradermique.</w:t>
      </w:r>
    </w:p>
    <w:p>
      <w:pPr>
        <w:pStyle w:val="ListBullet"/>
      </w:pPr>
      <w:r>
        <w:t>Rattrapage : tout âge entre 9 et 45 ans, schéma 2 ou 3 doses selon l'âge et le statut immunitaire.</w:t>
      </w:r>
    </w:p>
    <w:p>
      <w:pPr>
        <w:pStyle w:val="ListBullet"/>
      </w:pPr>
      <w:r>
        <w:t>Si schéma interrompu : pas besoin de reprendre depuis le début, poursuivre avec les doses manquantes (intervalles prolongés acceptables, jusqu'à 12–15 mois entre les doses sans perte d'efficacité).</w:t>
      </w:r>
    </w:p>
    <w:p>
      <w:pPr>
        <w:pStyle w:val="ListBullet"/>
      </w:pPr>
      <w:r>
        <w:t xml:space="preserve">Conservation : </w:t>
      </w:r>
      <w:r>
        <w:rPr>
          <w:b/>
        </w:rPr>
        <w:t>+2 °C à +8 °C</w:t>
      </w:r>
      <w:r>
        <w:t xml:space="preserve"> (réfrigérateur, ne pas congeler), à l'abri de la lumière, ne pas utiliser si la seringue présente des particules, une coloration anormale, ou si la chaîne du froid a été rompue. Agiter avant emploi pour remettre en suspension l'antigène adsorbé sur aluminium.</w:t>
      </w:r>
    </w:p>
    <w:p>
      <w:r/>
      <w:r>
        <w:rPr>
          <w:b/>
        </w:rPr>
        <w:t>Arbitrage et Bénéfices des Formes Galéniques :</w:t>
      </w:r>
      <w:r/>
    </w:p>
    <w:p>
      <w:r>
        <w:t>Le vaccin GARDASIL 9 (Merck Sharp &amp; Dohme) est le seul vaccin anti-HPV 9-valent disponible en Algérie (ACTIF dans la nomenclature). Il se présente en seringue préremplie de 0,5 mL, prête à l'emploi, monodose, avec 2 aiguilles fournies (une pour la reconstitution éventuelle et une pour l'injection). Cette forme galénique est adaptée à la pratique d'officine privée (délivrance pour vaccination privée) et aux centres de vaccination. Les vaccins alternatifs (CERVARIX de GSK, bivalent HPV-16/18 ; GARDASIL de Merck, 4-valent HPV-6/11/16/18) ne sont plus commercialisés en Algérie (remplacés par GARDASIL 9). La seringue préremplie garantit la traçabilité du lot et évite les erreurs de reconstitution. Le coût du vaccin GARDASIL 9 est élevé (environ 8 000 à 12 000 DA la dose selon les officines privées en 2024), ce qui en limite l'accès ; le schéma 2 doses pour les 9–14 ans réduit le coût total. Pour la vaccination universelle des adolescents, une intégration au calendrier vaccinal national algérien (gratuite dans les collèges) est en discussion mais pas encore effective (données 2024).</w:t>
      </w:r>
    </w:p>
    <w:p>
      <w:r/>
      <w:r>
        <w:rPr>
          <w:b/>
        </w:rPr>
        <w:t>Instructions et Conseils au Patient :</w:t>
      </w:r>
      <w:r/>
    </w:p>
    <w:p>
      <w:pPr>
        <w:pStyle w:val="ListBullet"/>
      </w:pPr>
      <w:r>
        <w:t>Communication au comptoir (officine) : "Ce vaccin protège contre le papillomavirus humain (HPV), qui est responsable de la quasi-totalité des cancers du col de l'utérus, d'une grande partie des cancers oropharyngés (gorde, amygdale), et des verrues génitales. C'est un vaccin très sûr (protéines recombinantes, sans virus vivant, sans ADN viral). Le schéma comporte 2 doses à 6–12 mois d'intervalle chez les 9–14 ans, 3 doses à 0, 2 et 6 mois chez les 15–45 ans. La vaccination est plus efficace si elle est faite avant le début de l'activité sexuelle, mais elle reste utile même après. Après la vaccination, votre enfant peut avoir une douleur au bras, un peu de fièvre, des maux de tête ou des courbatures pendant 24 à 48 heures : c'est normal. La vaccination ne remplace pas le dépistage cytologique régulier (frottis) chez la femme, qui doit être poursuivi selon les recommandations."</w:t>
      </w:r>
    </w:p>
    <w:p>
      <w:pPr>
        <w:pStyle w:val="ListBullet"/>
      </w:pPr>
      <w:r>
        <w:t>Mode d'utilisation pratique : (1) Conserver au réfrigérateur à +2 °C à +8 °C, jamais au congélateur ; vérifier la température chaque jour. (2) Transporter dans une sacoche isotherme avec accumulateur de froid. (3) Le médecin ou l'infirmière agitera la seringue avant emploi et injectera dans le muscle deltoïde. (4) Surveiller 15–30 minutes après l'injection (risque de syncope vaso-vagale particulièrement chez la jeune fille). (5) Tenir le carnet de vaccination à jour, noter la date, le lot, et les dates des prochaines doses. (6) Le dépistage cytologique (frottis cervico-utérin) doit être poursuivi chez les femmes vaccinées (le vaccin ne couvre pas tous les types d'HPV oncogènes). (7) La vaccination des deux sexes (filles et garçons) est recommandée pour optimiser la couverture et prévenir les cancers oropharyngés, anaux et péniens.</w:t>
      </w:r>
    </w:p>
    <w:p>
      <w:pPr>
        <w:pStyle w:val="ListBullet"/>
      </w:pPr>
      <w:r>
        <w:t>Conseils spécifiques : (a) La vaccination peut être initiée dès 9 ans (âge optimal pour la réponse immunitaire maximale) ; (b) Le rattrapage est possible jusqu'à 45 ans selon les recommandations étendues ; (c) Pour les femmes enceintes ayant commencé le schéma avant la grossesse, reporter les doses restantes à la fin de la grossesse ; (d) Ne pas confondre vaccin anti-HPV et vaccin anti-hépatite B (deux vaccins différents, deux virus différents, deux cancers différents) — les deux vaccins peuvent être administrés simultanément ; (e) La vaccination ne traite pas les lésions déjà installées (CIN, condylomes), elle prévient les infections futures par les types HPV ciblés.</w:t>
      </w:r>
    </w:p>
    <w:p>
      <w:r/>
      <w:r>
        <w:rPr>
          <w:b/>
        </w:rPr>
        <w:t>Notes, Règles d'Or &amp; Pièges au Comptoir :</w:t>
      </w:r>
      <w:r/>
    </w:p>
    <w:p>
      <w:pPr>
        <w:pStyle w:val="ListBullet"/>
      </w:pPr>
      <w:r>
        <w:t xml:space="preserve">Piège classique n°1 : </w:t>
      </w:r>
      <w:r>
        <w:rPr>
          <w:b/>
        </w:rPr>
        <w:t>La vaccination ne remplace pas le frottis</w:t>
      </w:r>
      <w:r>
        <w:t xml:space="preserve"> — le vaccin GARDASIL 9 couvre 90 % des types HPV oncogènes, mais pas 100 %. Le dépistage cytologique (frottis cervico-utérin) reste essentiel chez les femmes vaccinées, à raison d'un frottis tous les 3 ans de 25 à 65 ans (selon les recommandations algériennes).</w:t>
      </w:r>
    </w:p>
    <w:p>
      <w:pPr>
        <w:pStyle w:val="ListBullet"/>
      </w:pPr>
      <w:r>
        <w:t xml:space="preserve">Piège classique n°2 : </w:t>
      </w:r>
      <w:r>
        <w:rPr>
          <w:b/>
        </w:rPr>
        <w:t>La vaccination n'a pas d'effet thérapeutique</w:t>
      </w:r>
      <w:r>
        <w:t xml:space="preserve"> sur les lésions déjà installées (CIN, condylomes) — elle prévient les infections futures, pas les infections présentes.</w:t>
      </w:r>
    </w:p>
    <w:p>
      <w:pPr>
        <w:pStyle w:val="ListBullet"/>
      </w:pPr>
      <w:r>
        <w:t xml:space="preserve">Piège classique n°3 : </w:t>
      </w:r>
      <w:r>
        <w:rPr>
          <w:b/>
        </w:rPr>
        <w:t>Schéma 2 doses chez les 9–14 ans, 3 doses chez les 15–45 ans</w:t>
      </w:r>
      <w:r>
        <w:t xml:space="preserve"> — l'immunogénicité des 9–14 ans avec 2 doses est équivalente à celle des 15–45 ans avec 3 doses (immaturité relative du système immunitaire des plus jeunes compensée par 3 doses). Ne pas sous-estimer l'importance de respecter les intervalles (0-6 ou 0-12 mois pour le schéma 2 doses).</w:t>
      </w:r>
    </w:p>
    <w:p>
      <w:pPr>
        <w:pStyle w:val="ListBullet"/>
      </w:pPr>
      <w:r>
        <w:t xml:space="preserve">Piège classique n°4 : </w:t>
      </w:r>
      <w:r>
        <w:rPr>
          <w:b/>
        </w:rPr>
        <w:t>Syncope vaso-vagale chez la jeune fille</w:t>
      </w:r>
      <w:r>
        <w:t xml:space="preserve"> — particulièrement fréquente. Vacciner en position assise ou allongée, surveillance 15 min post-vaccination. Ne pas confondre avec une réaction allergique (la syncope vaso-vagale est bénigne, pas d'adrénaline).</w:t>
      </w:r>
    </w:p>
    <w:p>
      <w:pPr>
        <w:pStyle w:val="ListBullet"/>
      </w:pPr>
      <w:r>
        <w:t xml:space="preserve">Piège classique n°5 : </w:t>
      </w:r>
      <w:r>
        <w:rPr>
          <w:b/>
        </w:rPr>
        <w:t>Grossesse = reporter la vaccination</w:t>
      </w:r>
      <w:r>
        <w:t xml:space="preserve"> — par principe de précaution. Ne pas vacciner une femme enceinte ; si vaccination inadvertently administrée, ne pas interrompre la grossesse (données rassurantes) mais ne pas administrer les doses suivantes pendant la grossesse.</w:t>
      </w:r>
    </w:p>
    <w:p>
      <w:pPr>
        <w:pStyle w:val="ListBullet"/>
      </w:pPr>
      <w:r>
        <w:t xml:space="preserve">Piège classique n°6 : </w:t>
      </w:r>
      <w:r>
        <w:rPr>
          <w:b/>
        </w:rPr>
        <w:t>Ne pas congeler</w:t>
      </w:r>
      <w:r>
        <w:t xml:space="preserve"> — la congélation détruit les VLP adsorbées sur aluminium.</w:t>
      </w:r>
    </w:p>
    <w:p>
      <w:pPr>
        <w:pStyle w:val="ListBullet"/>
      </w:pPr>
      <w:r>
        <w:t xml:space="preserve">Piège classique n°7 : </w:t>
      </w:r>
      <w:r>
        <w:rPr>
          <w:b/>
        </w:rPr>
        <w:t>Voie IM stricte, jamais IV ou SC</w:t>
      </w:r>
      <w:r>
        <w:t xml:space="preserve"> — l'efficacité et la tolérance dépendent de la voie d'administration. L'injection SC augmente le risque de nodule persistant (aluminium), et l'injection IV peut causer une réaction systémique.</w:t>
      </w:r>
    </w:p>
    <w:p>
      <w:pPr>
        <w:pStyle w:val="ListBullet"/>
      </w:pPr>
      <w:r>
        <w:t xml:space="preserve">Piège classique n°8 : </w:t>
      </w:r>
      <w:r>
        <w:rPr>
          <w:b/>
        </w:rPr>
        <w:t>Vaccination des garçons aussi</w:t>
      </w:r>
      <w:r>
        <w:t xml:space="preserve"> — recommandée pour prévenir les cancers oropharyngés, anaux et péniens, et pour l'immunité de groupe (réduction de la circulation virale). La vaccination universelle des deux sexes est l'objectif optimal.</w:t>
      </w:r>
    </w:p>
    <w:p>
      <w:pPr>
        <w:pStyle w:val="ListBullet"/>
      </w:pPr>
      <w:r>
        <w:t>Règle de prise : 2 doses à 0 et 6–12 mois chez les 9–14 ans ; 3 doses à 0, 2 et 6 mois chez les 15–45 ans et immunodéprimés ; voie IM deltoïde (0,5 mL) ; chaîne du froid +2 °C à +8 °C, ne pas congeler ; surveillance 15–30 minutes.</w:t>
      </w:r>
    </w:p>
    <w:p>
      <w:pPr>
        <w:pStyle w:val="ListBullet"/>
      </w:pPr>
      <w:r>
        <w:t>Préparation et Conservation : seringue préremplie +2 °C à +8 °C jusqu'à péremption ; ne pas congeler ; agiter avant emploi ; utiliser immédiatement après ouverture.</w:t>
      </w:r>
    </w:p>
    <w:p>
      <w:pPr>
        <w:pStyle w:val="ListBullet"/>
      </w:pPr>
      <w:r>
        <w:t>Piège du surdosage / Substitution : (a) Surdosage (double dose) : pas de toxicité significative, surveillance de la fièvre. (b) Substitution GARDASIL 9 ↔ GARDASIL 4-valent (HPV 6/11/16/18) possible mais GARDASIL 4-valent n'est plus commercialisé. (c) Substitution GARDASIL 9 ↔ CERVARIX (bivalent HPV 16/18, non disponible en Algérie) — non recommandé en cours de schéma (continuer avec le même vaccin). (d) Ne pas confondre vaccin anti-HPV et vaccin anti-hépatite B (deux vaccins différents). (e) GARDASIL 9 = vaccin 9-valent (couverture 90 % des cancers du col), GARDASIL = vaccin 4-valent (couverture 70 %), CERVARIX = vaccin 2-valent (couverture 70 %) — préférer le 9-valent.</w:t>
      </w:r>
    </w:p>
    <w:p>
      <w:pPr>
        <w:pStyle w:val="Heading2"/>
      </w:pPr>
      <w:r>
        <w:t>174.6 Sous-classe : Vaccins polyosidiques (Pneumocoque)</w:t>
      </w:r>
    </w:p>
    <w:p>
      <w:pPr>
        <w:pStyle w:val="Heading3"/>
      </w:pPr>
      <w:r>
        <w:t>Introduction à la sous-classe</w:t>
      </w:r>
    </w:p>
    <w:p>
      <w:r>
        <w:t>Les vaccins polyosidiques représentent la première génération de vaccins dirigés contre les bactéries encapsulées (</w:t>
      </w:r>
      <w:r>
        <w:rPr>
          <w:i/>
        </w:rPr>
        <w:t>Streptococcus pneumoniae</w:t>
      </w:r>
      <w:r>
        <w:t xml:space="preserve">, </w:t>
      </w:r>
      <w:r>
        <w:rPr>
          <w:i/>
        </w:rPr>
        <w:t>Neisseria meningitidis</w:t>
      </w:r>
      <w:r>
        <w:t xml:space="preserve">, </w:t>
      </w:r>
      <w:r>
        <w:rPr>
          <w:i/>
        </w:rPr>
        <w:t>Haemophilus influenzae</w:t>
      </w:r>
      <w:r>
        <w:t xml:space="preserve"> type b, </w:t>
      </w:r>
      <w:r>
        <w:rPr>
          <w:i/>
        </w:rPr>
        <w:t>Salmonella typhi</w:t>
      </w:r>
      <w:r>
        <w:t xml:space="preserve">). Leur principe consiste à purifier le </w:t>
      </w:r>
      <w:r>
        <w:rPr>
          <w:b/>
        </w:rPr>
        <w:t>polyoside capsulaire</w:t>
      </w:r>
      <w:r>
        <w:t xml:space="preserve"> (polysaccharide de la capsule bactérienne) et à l'administrer tel quel, sans conjugaison à une protéine porteuse. Cette approche a l'avantage de la simplicité de production et de la couverture de multiples sérotypes (jusqu'à 23 sérotypes pour le vaccin antipneumococcique), mais souffre de limitations immunologiques majeures : (i) réponse T-indépendante (pas de coopération T-helper), caractérisée par une production d'IgM sans commutation isotypique vers IgG, peu de mémoire immune, et — surtout — une absence de réponse chez le nourrisson de moins de 18–24 mois (immaturité des lymphocytes B zonaux marginaux) ; (ii) pas d'effet sur le portage rhinopharyngé (pas d'immunité de groupe) ; (iii) réponse immune qui ne s'améliore pas avec des doses répétées (pas de phénomène de booster) ; (iv) efficacité globale modeste chez le sujet âgé (immunosénescence), estimée à 50–70 % contre les formes invasives et à 30–50 % contre les pneumonies non bactériémiques.</w:t>
      </w:r>
    </w:p>
    <w:p>
      <w:r>
        <w:t>Pour le pneumocoque (</w:t>
      </w:r>
      <w:r>
        <w:rPr>
          <w:i/>
        </w:rPr>
        <w:t>Streptococcus pneumoniae</w:t>
      </w:r>
      <w:r>
        <w:t>), 100 sérotypes ont été identifiés, mais seulement une vingtaine sont responsables de la majorité des infections invasives. Le vaccin polyosidique 23-valent (PNEUMOVAX) couvre 23 sérotypes (1, 2, 3, 4, 5, 6B, 7F, 8, 9N, 9V, 10A, 11A, 12F, 14, 15B, 17F, 18C, 19A, 19F, 20, 22F, 23F, 33F) qui causent environ 85–90 % des infections invasives à pneumocoque chez l'adulte. Il est indiqué chez le sujet âgé (≥ 65 ans), chez les patients à risque (asplénie, drépanocytose, insuffisance respiratoire chronique, cardiaque, hépatique, rénale, diabète, immunodépression, VIH, néoplasie), en complément du vaccin conjugué 13-valent (PCV13, non disponible en Algérie). Le vaccin polyosidique 23-valent est administré en une dose unique, avec un rappel à 5 ans chez les sujets à risque élevé (asplénie, immunodépression sévère). En pédiatrie, le vaccin polyosidique n'est pas utilisé (réponse immune insuffisante chez le nourrisson &lt; 2 ans) — il est remplacé par le vaccin conjugué 13-valent qui, lui, est immunogène dès 6 semaines (mais non référencé en Algérie).</w:t>
      </w:r>
    </w:p>
    <w:p>
      <w:pPr>
        <w:pStyle w:val="Heading3"/>
      </w:pPr>
      <w:r>
        <w:t>174.6.1 DCI : Vaccin antipneumococcique polyosidique 23-valent (PPSV23)</w:t>
      </w:r>
    </w:p>
    <w:p>
      <w:r/>
      <w:r>
        <w:rPr>
          <w:b/>
        </w:rPr>
        <w:t>Liste des Catégories :</w:t>
      </w:r>
      <w:r>
        <w:t xml:space="preserve"> Vaccin polyosidique non conjugué 23-valent ; Antigènes polyosidiques capsulaires purs de 23 sérotypes de </w:t>
      </w:r>
      <w:r>
        <w:rPr>
          <w:i/>
        </w:rPr>
        <w:t>Streptococcus pneumoniae</w:t>
      </w:r>
      <w:r>
        <w:t xml:space="preserve"> ; Conservation +2 °C à +8 °C ; Indication : sujet âgé ≥ 65 ans et patients à risque (asplénie, immunodépression, BPCO, etc.).</w:t>
      </w:r>
    </w:p>
    <w:p>
      <w:r>
        <w:t>Le pneumocoque (</w:t>
      </w:r>
      <w:r>
        <w:rPr>
          <w:i/>
        </w:rPr>
        <w:t>Streptococcus pneumoniae</w:t>
      </w:r>
      <w:r>
        <w:t>), bactérie Gram positif encapsulé, est responsable d'infections respiratoires (pneumonie, sinusite, otite moyenne aiguë) et d'infections invasives graves (méningite, bactériémie, septicémie). Avant l'ère antibiotique, la pneumonie pneumococcique était l'une des premières causes de mortalité infectieuse mondiale. L'avènement de la pénicilline a réduit la mortalité mais pas l'incidence, et l'émergence de souches de pneumocoque de sensibilité diminuée à la pénicilline (PSSP, PRP) a justifié le développement de vaccins. Le vaccin polyosidique 23-valent (PNEUMOVAX), commercialisé depuis 1983, reste une référence chez le sujet âgé et immunodéprimé, en complément du vaccin conjugué 13-valent (PCV13, non disponible en Algérie). L'OMS estime que la vaccination antipneumococcique évite 1 million de décès annuels dans le monde. En Algérie, le vaccin PNEUMOVAX est indiqué chez le sujet âgé ≥ 65 ans et chez les patients à risque (asplénie, drépanocytose, BPCO, asthme sévère, insuffisance cardiaque, diabète, insuffisance rénale chronique, cirrhose, immunodépression, VIH, néoplasie hématologique, chimiothérapie).</w:t>
      </w:r>
    </w:p>
    <w:p>
      <w:r/>
      <w:r>
        <w:rPr>
          <w:b/>
        </w:rPr>
        <w:t>Médicaments disponibles en Algérie (Format Tableau — Nomenclature Avril 2026)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PNEUMOVAX</w:t>
            </w:r>
          </w:p>
        </w:tc>
        <w:tc>
          <w:tcPr>
            <w:tcW w:type="dxa" w:w="1559"/>
          </w:tcPr>
          <w:p>
            <w:r>
              <w:rPr>
                <w:sz w:val="20"/>
              </w:rPr>
              <w:t>MERCK SHARP &amp; DOHME LIMITED</w:t>
            </w:r>
          </w:p>
        </w:tc>
        <w:tc>
          <w:tcPr>
            <w:tcW w:type="dxa" w:w="1559"/>
          </w:tcPr>
          <w:p>
            <w:r>
              <w:rPr>
                <w:sz w:val="20"/>
              </w:rPr>
              <w:t>Solution injectable IM/SC en seringue préremplie, 25 µg de chacun des 23 sérotypes de *Streptococcus pneumoniae* (sérotypes 1, 2, 3, 4, 5, 6B, 7F, 8, 9N, 9V, 10A, 11A, 12F, 14, 15B, 17F, 18C, 19A, 19F, 20, 22F, 23F, 33F) par dose de 0,5 mL</w:t>
            </w:r>
          </w:p>
        </w:tc>
        <w:tc>
          <w:tcPr>
            <w:tcW w:type="dxa" w:w="1559"/>
          </w:tcPr>
          <w:p>
            <w:r>
              <w:rPr>
                <w:sz w:val="20"/>
              </w:rPr>
              <w:t>Boîte de 1 seringue préremplie de 0,5 mL avec 2 aiguilles, et boîte de 10 seringues préremplies</w:t>
            </w:r>
          </w:p>
        </w:tc>
        <w:tc>
          <w:tcPr>
            <w:tcW w:type="dxa" w:w="1559"/>
          </w:tcPr>
          <w:p>
            <w:r>
              <w:rPr>
                <w:sz w:val="20"/>
              </w:rPr>
              <w:t>—</w:t>
            </w:r>
          </w:p>
        </w:tc>
        <w:tc>
          <w:tcPr>
            <w:tcW w:type="dxa" w:w="1559"/>
          </w:tcPr>
          <w:p>
            <w:r>
              <w:rPr>
                <w:sz w:val="20"/>
              </w:rPr>
              <w:t>ACTIF</w:t>
            </w:r>
          </w:p>
        </w:tc>
      </w:tr>
    </w:tbl>
    <w:p/>
    <w:p>
      <w:r/>
      <w:r>
        <w:rPr>
          <w:b/>
        </w:rPr>
        <w:t>Sous-classe et Mécanisme d'action :</w:t>
      </w:r>
      <w:r/>
    </w:p>
    <w:p>
      <w:pPr>
        <w:pStyle w:val="ListBullet"/>
      </w:pPr>
      <w:r>
        <w:t>Sous-classe : Vaccin polyosidique non conjugué 23-valent ; antigènes = polyosides capsulaires purifiés de 23 sérotypes de *S. pneumoniae*, sans protéine porteuse, sans adjuvant aluminium (polyoside soluble en solution).</w:t>
      </w:r>
    </w:p>
    <w:p>
      <w:pPr>
        <w:pStyle w:val="ListBullet"/>
      </w:pPr>
      <w:r>
        <w:t xml:space="preserve">Mécanisme d'action : Le polyoside capsulaire purifié du pneumocoque est un antigène thymo-indépendant (T-indépendant de type 2). Il stimule les lymphocytes B par </w:t>
      </w:r>
      <w:r>
        <w:rPr>
          <w:b/>
        </w:rPr>
        <w:t>cross-linking direct</w:t>
      </w:r>
      <w:r>
        <w:t xml:space="preserve"> des récepteurs BCR (B-cell receptor) à la surface des lymphocytes B spécifiques, sans nécessiter de coopération T-helper. Cette stimulation directe aboutit à : (i) une production d'</w:t>
      </w:r>
      <w:r>
        <w:rPr>
          <w:b/>
        </w:rPr>
        <w:t>IgM sans commutation isotypique</w:t>
      </w:r>
      <w:r>
        <w:t xml:space="preserve"> vers IgG (pas de switch CD40-CD40L car pas d'activation T-helper) ; (ii) une </w:t>
      </w:r>
      <w:r>
        <w:rPr>
          <w:b/>
        </w:rPr>
        <w:t>absence de maturation d'affinité</w:t>
      </w:r>
      <w:r>
        <w:t xml:space="preserve"> (pas d'hypermutation somatique) ; (iii) une </w:t>
      </w:r>
      <w:r>
        <w:rPr>
          <w:b/>
        </w:rPr>
        <w:t>absence de lymphocytes B mémoires</w:t>
      </w:r>
      <w:r>
        <w:t xml:space="preserve"> à longue durée de vie ; (iv) une réponse immune qui </w:t>
      </w:r>
      <w:r>
        <w:rPr>
          <w:b/>
        </w:rPr>
        <w:t>ne s'améliore pas</w:t>
      </w:r>
      <w:r>
        <w:t xml:space="preserve"> avec des doses répétées (pas de phénomène de booster — au contraire, une hypo-réponse peut être observée après doses répétées par épuisement des lymphocytes B spécifiques) ; (v) une </w:t>
      </w:r>
      <w:r>
        <w:rPr>
          <w:b/>
        </w:rPr>
        <w:t>absence de réponse chez le nourrisson de moins de 18–24 mois</w:t>
      </w:r>
      <w:r>
        <w:t xml:space="preserve"> (immaturité du compartiment des lymphocytes B zonaux marginaux qui sont les principales cibles des antigènes T-indépendants) ; (vi) une </w:t>
      </w:r>
      <w:r>
        <w:rPr>
          <w:b/>
        </w:rPr>
        <w:t>absence d'effet sur le portage rhinopharyngé</w:t>
      </w:r>
      <w:r>
        <w:t xml:space="preserve"> (pas d'immunité muqueuse significative, pas d'IgA sécrétoires), donc pas d'immunité de groupe. La cinétique de la réponse humorale : anticorps détectables à J7–J10, pic à J21–J28, décroissance progressive sur 5–10 ans. L'efficacité vaccinale contre les formes invasives (bactériémie, méningite) chez l'adulte est estimée à 60–80 % (selon les sérotypes et l'âge), mais seulement 30–50 % contre les pneumonies non bactériémiques et 0–10 % contre les otites moyennes aiguës et les sinusites (polysides sans effet muqueux). Chez le sujet âgé ≥ 65 ans, l'efficacité chute à 40–60 % (immunosénescence). Chez le sujet immunodéprimé (VIH, greffé, dialysé), l'efficacité est encore plus réduite (20–50 %). Le vaccin polyosidique 23-valent couvre 23 sérotypes responsables d'environ 85–90 % des infections invasives à pneumocoque chez l'adulte. La durée de protection est limitée à 5–10 ans, justifiant des rappels (à 5 ans chez les sujets à risque élevé). Le vaccin polyosidique est en pratique utilisé en complément du vaccin conjugué 13-valent (PCV13) qui, lui, est immunogène dès 6 semaines, induit une mémoire immune, et réduit le portage (immunité de groupe) ; le schéma séquentiel PCV13 suivi de PPSV23 (à 8 semaines minimum d'intervalle) optimise la couverture et la qualité de la réponse immune (selon les recommandations CDC ACIP actuelles) — cependant, le PCV13 n'est pas disponible en Algérie, ce qui limite cette stratégie.</w:t>
      </w:r>
    </w:p>
    <w:p>
      <w:r/>
      <w:r>
        <w:rPr>
          <w:b/>
        </w:rPr>
        <w:t>Profil Pharmacologique :</w:t>
      </w:r>
      <w:r/>
    </w:p>
    <w:p>
      <w:pPr>
        <w:pStyle w:val="ListBullet"/>
      </w:pPr>
      <w:r>
        <w:t xml:space="preserve">Indications : (1) </w:t>
      </w:r>
      <w:r>
        <w:rPr>
          <w:b/>
        </w:rPr>
        <w:t>Vaccination systématique du sujet âgé ≥ 65 ans</w:t>
      </w:r>
      <w:r>
        <w:t xml:space="preserve"> (selon les recommandations nationales, à administrer une fois, avec un éventuel rappel à 5 ans chez les sujets à risque) ; (2) </w:t>
      </w:r>
      <w:r>
        <w:rPr>
          <w:b/>
        </w:rPr>
        <w:t>Vaccination des sujets à risque</w:t>
      </w:r>
      <w:r>
        <w:t xml:space="preserve"> (quel que soit l'âge ≥ 2 ans) : asplénie anatomique ou fonctionnelle (drépanocytose, splénectomie chirurgicale, thalassémie majeure), insuffisance respiratoire chronique (BPCO, asthme sévère, mucoviscidose), insuffisance cardiaque, cardiopathie congénitale cyanogène, diabète, insuffisance rénale chronique, syndrome néphrotique, cirrhose, hépatopathie chronique, immunodépression (VIH, leucémie, lymphome, myélome, chimiothérapie, biothérapies, transplantation d'organe, corticothérapie prolongée), drainage du LCR, implant cochléaire, sujet alcoolique, fumeur chronique, toxicomanie IV ; (3) </w:t>
      </w:r>
      <w:r>
        <w:rPr>
          <w:b/>
        </w:rPr>
        <w:t>Prophylaxie post-splénectomie</w:t>
      </w:r>
      <w:r>
        <w:t xml:space="preserve"> : à administrer idéalement ≥ 2 semaines avant une splénectomie programmée, ou dès que possible après une splénectomie en urgence ; (4) </w:t>
      </w:r>
      <w:r>
        <w:rPr>
          <w:b/>
        </w:rPr>
        <w:t>Avant chimiothérapie</w:t>
      </w:r>
      <w:r>
        <w:t xml:space="preserve"> ou transplantation : administrer ≥ 2 semaines avant le début de l'immunosuppression ; (5) Rappel à 5 ans chez les sujets à risque élevé (asplénie, immunodépression sévère, insuffisance rénale chronique, syndrome néphrotique).</w:t>
      </w:r>
    </w:p>
    <w:p>
      <w:pPr>
        <w:pStyle w:val="ListBullet"/>
      </w:pPr>
      <w:r>
        <w:t xml:space="preserve">Contre-indications : (1) </w:t>
      </w:r>
      <w:r>
        <w:rPr>
          <w:b/>
        </w:rPr>
        <w:t>Hypersensibilité sévère (anaphylaxie)</w:t>
      </w:r>
      <w:r>
        <w:t xml:space="preserve"> à un composant du vaccin : polyosides capsulaires, phénol (conservateur utilisé dans certaines formulations), formaldéhyde résiduel ; (2) Antécédent de réaction grave à une précédente dose ; (3) Maladie fébrile aiguë sévère (reporter la vaccination) ; (4) Enfant &lt; 2 ans (réponse immune insuffisante — utiliser le vaccin conjugué PCV13, non disponible en Algérie) ; (5) Patient ayant reçu une vaccination PPSV23 dans les 3 années précédentes (risque d'hypo-réponse — espacer les doses).</w:t>
      </w:r>
    </w:p>
    <w:p>
      <w:pPr>
        <w:pStyle w:val="ListBullet"/>
      </w:pPr>
      <w:r>
        <w:t xml:space="preserve">Effets Indésirables : (1) </w:t>
      </w:r>
      <w:r>
        <w:rPr>
          <w:b/>
        </w:rPr>
        <w:t>Réactions locales</w:t>
      </w:r>
      <w:r>
        <w:t xml:space="preserve"> (30–50 %) : douleur, érythème, induration au point d'injection, résolutives en 24–72 h ; plus fréquentes qu'avec le vaccin conjugué (polyoside pur sans adjuvant mais charge antigénique élevée) ; (2) </w:t>
      </w:r>
      <w:r>
        <w:rPr>
          <w:b/>
        </w:rPr>
        <w:t>Fièvre modérée</w:t>
      </w:r>
      <w:r>
        <w:t xml:space="preserve"> (5–10 %) : ≤ 38,5 °C en 24–48 h ; (3) Céphalées, myalgies, fatigue (5–10 %) ; (4) </w:t>
      </w:r>
      <w:r>
        <w:rPr>
          <w:b/>
        </w:rPr>
        <w:t>Réactions locales étendues</w:t>
      </w:r>
      <w:r>
        <w:t xml:space="preserve"> (5–10 %) : œdème, induration &gt; 10 cm, parfois pseudo-cellulite résolutive en 3–5 jours ; (5) Arthralgies (rare) ; (6) Réactions allergiques : urticaire, prurit (rare), anaphylaxie (très rare) ; (7) Lymphadénopathies locales (5 %) ; (8) Exceptionnellement : vascularite, purpura thrombopénique idiopathique, syndrome de Guillain-Barré (imputabilité débattue).</w:t>
      </w:r>
    </w:p>
    <w:p>
      <w:r/>
      <w:r>
        <w:rPr>
          <w:b/>
        </w:rPr>
        <w:t>Prévention et Gestion des Effets Indésirables :</w:t>
      </w:r>
      <w:r/>
    </w:p>
    <w:p>
      <w:pPr>
        <w:pStyle w:val="ListBullet"/>
      </w:pPr>
      <w:r>
        <w:t xml:space="preserve">Mesures Préventives : (a) </w:t>
      </w:r>
      <w:r>
        <w:rPr>
          <w:b/>
        </w:rPr>
        <w:t>Interrogatoire pré-vaccinal</w:t>
      </w:r>
      <w:r>
        <w:t xml:space="preserve"> : antécédents allergiques, maladie aiguë évolutive, grossesse, vaccination PPSV23 antérieure (vérifier les dates — espacer de 5 ans), statut vaccinal PCV13 (le cas échéant) ; (b) </w:t>
      </w:r>
      <w:r>
        <w:rPr>
          <w:b/>
        </w:rPr>
        <w:t>Examen clinique pré-vaccinal</w:t>
      </w:r>
      <w:r>
        <w:t xml:space="preserve"> : température ; (c) </w:t>
      </w:r>
      <w:r>
        <w:rPr>
          <w:b/>
        </w:rPr>
        <w:t>Surveillance post-vaccinale</w:t>
      </w:r>
      <w:r>
        <w:t xml:space="preserve"> de 15–30 minutes (risque anaphylactique) ; (d) Information sur les réactions attendues (douleur locale, fièvre 24–48 h) ; (e) Pour les sujets devant recevoir une splénectomie programmée : administrer le vaccin ≥ 2 semaines avant l'intervention (pour permettre le développement de la réponse immune avant la perte de la fonction splénique).</w:t>
      </w:r>
    </w:p>
    <w:p>
      <w:pPr>
        <w:pStyle w:val="ListBullet"/>
      </w:pPr>
      <w:r>
        <w:t>Conduite à Tenir : (a) En cas de douleur locale : paracétamol, application de froid ; (b) En cas de fièvre : paracétamol, hydratation ; (c) En cas d'anaphylaxie : adrénaline IM 0,5 mg (adulte), appel SAMU ; (d) En cas de réaction locale étendue (œdème &gt; 10 cm, pseudo-cellulite) : surveiller, antalgiques, parfois antibiothérapie si doute sur une surinfection bactérienne ; (e) En cas de réaction allergique retardée : antihistaminiques, avis médical.</w:t>
      </w:r>
    </w:p>
    <w:p>
      <w:r/>
      <w:r>
        <w:rPr>
          <w:b/>
        </w:rPr>
        <w:t>Interactions Importantes :</w:t>
      </w:r>
      <w:r/>
    </w:p>
    <w:p>
      <w:pPr>
        <w:pStyle w:val="ListBullet"/>
      </w:pPr>
      <w:r/>
      <w:r>
        <w:rPr>
          <w:b/>
        </w:rPr>
        <w:t>Vaccin antipneumococcique conjugué PCV13</w:t>
      </w:r>
      <w:r>
        <w:t xml:space="preserve"> (non disponible en Algérie) : administration séquentielle PCV13 → PPSV23 à 8 semaines minimum d'intervalle (chez l'adulte immunocompétent) ou PCV13 → PPSV23 à 8 semaines puis rappel PPSV23 à 5 ans (chez l'adulte immunodéprimé ou âgé). Si PPSV23 administré en premier, attendre 1 an avant d'administrer le PCV13.</w:t>
      </w:r>
    </w:p>
    <w:p>
      <w:pPr>
        <w:pStyle w:val="ListBullet"/>
      </w:pPr>
      <w:r/>
      <w:r>
        <w:rPr>
          <w:b/>
        </w:rPr>
        <w:t>Vaccin antigrippal</w:t>
      </w:r>
      <w:r>
        <w:t xml:space="preserve"> : administration simultanée possible à des sites différents, sans interférence (et recommandée chez le sujet âgé).</w:t>
      </w:r>
    </w:p>
    <w:p>
      <w:pPr>
        <w:pStyle w:val="ListBullet"/>
      </w:pPr>
      <w:r/>
      <w:r>
        <w:rPr>
          <w:b/>
        </w:rPr>
        <w:t>Vaccin anti-COVID-19</w:t>
      </w:r>
      <w:r>
        <w:t xml:space="preserve"> : administration simultanée possible, à des sites différents.</w:t>
      </w:r>
    </w:p>
    <w:p>
      <w:pPr>
        <w:pStyle w:val="ListBullet"/>
      </w:pPr>
      <w:r/>
      <w:r>
        <w:rPr>
          <w:b/>
        </w:rPr>
        <w:t>Autres vaccins</w:t>
      </w:r>
      <w:r>
        <w:t xml:space="preserve"> (méningocoque, hépatite B, HPV, tétanos, polio) : administration simultanée possible.</w:t>
      </w:r>
    </w:p>
    <w:p>
      <w:pPr>
        <w:pStyle w:val="ListBullet"/>
      </w:pPr>
      <w:r/>
      <w:r>
        <w:rPr>
          <w:b/>
        </w:rPr>
        <w:t>Anticoagulants oraux</w:t>
      </w:r>
      <w:r>
        <w:t xml:space="preserve"> : ne pas contre-indiquer la vaccination IM/SC ; aiguille fine (25 G), comprimer 5 min.</w:t>
      </w:r>
    </w:p>
    <w:p>
      <w:pPr>
        <w:pStyle w:val="ListBullet"/>
      </w:pPr>
      <w:r/>
      <w:r>
        <w:rPr>
          <w:b/>
        </w:rPr>
        <w:t>Immunosuppresseurs</w:t>
      </w:r>
      <w:r>
        <w:t xml:space="preserve"> (corticoïdes, biothérapies, chimiothérapie) : vacciner idéalement 2 semaines avant le début de l'immunosuppression, ou 3 mois après la fin (selon schéma).</w:t>
      </w:r>
    </w:p>
    <w:p>
      <w:r/>
      <w:r>
        <w:rPr>
          <w:b/>
        </w:rPr>
        <w:t>Grossesse et Allaitement :</w:t>
      </w:r>
      <w:r/>
    </w:p>
    <w:p>
      <w:pPr>
        <w:pStyle w:val="ListBullet"/>
      </w:pPr>
      <w:r>
        <w:t xml:space="preserve">Grossesse : Le CRAT classe le vaccin antipneumococcique polyosidique 23-valent en </w:t>
      </w:r>
      <w:r>
        <w:rPr>
          <w:b/>
        </w:rPr>
        <w:t>"non recommandé pendant la grossesse"</w:t>
      </w:r>
      <w:r>
        <w:t xml:space="preserve"> par mesure de précaution (données limitées chez la femme enceinte). Cependant, il n'y a pas d'argument pour une toxicité fœtale (polyoside pur, sans adjuvant, sans protéine porteuse, sans réplication), et une vaccination inadvertently administrée pendant la grossesse ne justifie aucune mesure particulière. La vaccination d'une femme enceinte à risque (asplénie, immunodépression, BPCO sévère) est envisageable si le bénéfice attendu est important (à discuter au cas par cas avec le spécialiste).</w:t>
      </w:r>
    </w:p>
    <w:p>
      <w:pPr>
        <w:pStyle w:val="ListBullet"/>
      </w:pPr>
      <w:r>
        <w:t xml:space="preserve">Allaitement : Le vaccin antipneumococcique polyosidique est </w:t>
      </w:r>
      <w:r>
        <w:rPr>
          <w:b/>
        </w:rPr>
        <w:t>compatible avec l'allaitement</w:t>
      </w:r>
      <w:r>
        <w:t xml:space="preserve"> selon le CRAT. Aucun composant vaccinal ne passe significativement dans le lait maternel. La vaccination de la mère allaitante est possible en cas d'indication.</w:t>
      </w:r>
    </w:p>
    <w:p>
      <w:pPr>
        <w:pStyle w:val="ListBullet"/>
      </w:pPr>
      <w:r>
        <w:t>Précisions : La vaccination de la femme en âge de procréer à risque (asplénie, drépanocytose, immunodépression) doit idéalement être réalisée en période pré-conceptionnelle, avec un rappel à 5 ans si nécessaire.</w:t>
      </w:r>
    </w:p>
    <w:p>
      <w:r/>
      <w:r>
        <w:rPr>
          <w:b/>
        </w:rPr>
        <w:t>Posologie et Mode d'administration (Standard) :</w:t>
      </w:r>
      <w:r/>
    </w:p>
    <w:p>
      <w:pPr>
        <w:pStyle w:val="ListBullet"/>
      </w:pPr>
      <w:r>
        <w:t xml:space="preserve">Adulte et enfant &gt; 2 ans : </w:t>
      </w:r>
      <w:r>
        <w:rPr>
          <w:b/>
        </w:rPr>
        <w:t>1 dose unique de 0,5 mL en IM</w:t>
      </w:r>
      <w:r>
        <w:t xml:space="preserve"> (deltoïde) ou SC (face externe du bras), une fois ; rappel à 5 ans chez les sujets à risque élevé (asplénie, immunodépression sévère, insuffisance rénale chronique, syndrome néphrotique, drépanocytose).</w:t>
      </w:r>
    </w:p>
    <w:p>
      <w:pPr>
        <w:pStyle w:val="ListBullet"/>
      </w:pPr>
      <w:r>
        <w:t xml:space="preserve">Sujet âgé ≥ 65 ans immunocompétent : </w:t>
      </w:r>
      <w:r>
        <w:rPr>
          <w:b/>
        </w:rPr>
        <w:t>1 dose unique à 65 ans</w:t>
      </w:r>
      <w:r>
        <w:t xml:space="preserve"> ; si vaccination antérieure avant 65 ans (pour un motif de risque), rappel à 5 ans après la première dose si la première dose a été administrée avant 65 ans et que le patient a maintenant ≥ 65 ans (avec un intervalle minimum de 5 ans).</w:t>
      </w:r>
    </w:p>
    <w:p>
      <w:pPr>
        <w:pStyle w:val="ListBullet"/>
      </w:pPr>
      <w:r>
        <w:t>Asplénie, drépanocytose : 1 dose suivie d'un rappel à 5 ans (puis tous les 5 ans si le risque persiste).</w:t>
      </w:r>
    </w:p>
    <w:p>
      <w:pPr>
        <w:pStyle w:val="ListBullet"/>
      </w:pPr>
      <w:r>
        <w:t>Splénectomie programmée : administrer ≥ 2 semaines avant l'intervention (idéalement 4 semaines pour une réponse immune optimale).</w:t>
      </w:r>
    </w:p>
    <w:p>
      <w:pPr>
        <w:pStyle w:val="ListBullet"/>
      </w:pPr>
      <w:r>
        <w:t>Avant chimiothérapie ou transplantation : administrer ≥ 2 semaines avant l'immunosuppression.</w:t>
      </w:r>
    </w:p>
    <w:p>
      <w:pPr>
        <w:pStyle w:val="ListBullet"/>
      </w:pPr>
      <w:r>
        <w:t xml:space="preserve">Conservation : </w:t>
      </w:r>
      <w:r>
        <w:rPr>
          <w:b/>
        </w:rPr>
        <w:t>+2 °C à +8 °C</w:t>
      </w:r>
      <w:r>
        <w:t xml:space="preserve"> (réfrigérateur, ne pas congeler), à l'abri de la lumière, ne pas utiliser si la seringue présente des particules, une coloration anormale, ou si la chaîne du froid a été rompue. Agiter avant emploi.</w:t>
      </w:r>
    </w:p>
    <w:p>
      <w:r/>
      <w:r>
        <w:rPr>
          <w:b/>
        </w:rPr>
        <w:t>Arbitrage et Bénéfices des Formes Galéniques :</w:t>
      </w:r>
      <w:r/>
    </w:p>
    <w:p>
      <w:r>
        <w:t>Le vaccin PNEUMOVAX (Merck Sharp &amp; Dohme) est le seul vaccin antipneumococcique polyosidique 23-valent disponible en Algérie (ACTIF dans la nomenclature). Il se présente en seringue préremplie de 0,5 mL, prête à l'emploi, monodose, avec 2 aiguilles fournies. Cette forme galénique est adaptée à la pratique d'officine (délivrance pour vaccination privée) et aux centres de vaccination. Les vaccins alternatifs (vaccin conjugué 13-valent PCV13 type PREVENAR 13, vaccin conjugué 15-valent VAXNEUVANCE, vaccin conjugué 20-valent PREVENAR 20) ne sont pas référencés dans la nomenclature algérienne Avril 2026, ce qui limite la stratégie de vaccination séquentielle PCV13 → PPSV23 recommandée par le CDC ACIP. En pratique, en Algérie, le PNEUMOVAX est utilisé seul chez l'adulte et l'enfant &gt; 2 ans à risque, ce qui réduit l'efficacité théorique par rapport à la stratégie combinée. Le vaccin PNEUMOVAX peut être administré en IM ou en SC, avec une efficacité comparable ; la voie IM est préférée en pratique (moins d'effets locaux). Pour la pédiatrie &lt; 2 ans, le vaccin polyosidique n'est pas indiqué (réponse immune insuffisante) ; le vaccin conjugué PCV13 (non disponible) devrait être utilisé selon les recommandations internationales.</w:t>
      </w:r>
    </w:p>
    <w:p>
      <w:r/>
      <w:r>
        <w:rPr>
          <w:b/>
        </w:rPr>
        <w:t>Instructions et Conseils au Patient :</w:t>
      </w:r>
      <w:r/>
    </w:p>
    <w:p>
      <w:pPr>
        <w:pStyle w:val="ListBullet"/>
      </w:pPr>
      <w:r>
        <w:t>Communication au comptoir (officine) : "Ce vaccin protège contre le pneumocoque, une bactérie qui peut causer des pneumonies, des méningites et des septicémies. Il est recommandé pour les personnes âgées de 65 ans et plus, et pour les personnes à risque (sans rate, diabète, BPCO, insuffisance cardiaque, insuffisance rénale, immunodépression). Il s'administre en une seule injection, avec un rappel à 5 ans si vous êtes à risque élevé. Après la vaccination, vous pouvez avoir une douleur au bras, un peu de fièvre et des courbatures pendant 24 à 48 heures : c'est normal. Le vaccin ne protège pas contre tous les pneumocoques (23 sérotypes sur 100, mais les plus fréquents) ni contre les autres germes respiratoires (grippe, COVID-19) — il faut se faire vacciner aussi contre la grippe chaque année et contre le COVID-19."</w:t>
      </w:r>
    </w:p>
    <w:p>
      <w:pPr>
        <w:pStyle w:val="ListBullet"/>
      </w:pPr>
      <w:r>
        <w:t>Mode d'utilisation pratique : (1) Conserver au réfrigérateur à +2 °C à +8 °C, jamais au congélateur ; vérifier la température chaque jour. (2) Transporter dans une sacoche isotherme avec accumulateur de froid. (3) Le médecin ou l'infirmière agitera la seringue avant emploi et injectera dans le muscle deltoïde (ou sous-cutanée). (4) Surveiller 15–30 minutes après l'injection. (5) Tenir le carnet de vaccination à jour, noter la date, le lot, et la date du rappel à 5 ans si nécessaire.</w:t>
      </w:r>
    </w:p>
    <w:p>
      <w:pPr>
        <w:pStyle w:val="ListBullet"/>
      </w:pPr>
      <w:r>
        <w:t>Conseils spécifiques : (a) Pour les patients splénectomisés, la vaccination est essentielle (pneumocoque = première cause d'infection fulminante post-splénectomie, syndrome OPSI = *overwhelming post-splenectomy infection*), à administrer idéalement 2 semaines avant la splénectomie ou dès que possible après ; (b) Pour les patients devant recevoir une chimiothérapie, vacciner 2 semaines avant le début du traitement ; (c) Le vaccin PNEUMOVAX ne remplace pas le vaccin antigrippal annuel ni le vaccin anti-COVID-19 (cibles différentes) — les trois vaccins sont complémentaires ; (d) En cas de vaccination antérieure par PPSV23, respecter un intervalle minimum de 5 ans avant le rappel (sauf situations particulières).</w:t>
      </w:r>
    </w:p>
    <w:p>
      <w:r/>
      <w:r>
        <w:rPr>
          <w:b/>
        </w:rPr>
        <w:t>Notes, Règles d'Or &amp; Pièges au Comptoir :</w:t>
      </w:r>
      <w:r/>
    </w:p>
    <w:p>
      <w:pPr>
        <w:pStyle w:val="ListBullet"/>
      </w:pPr>
      <w:r>
        <w:t xml:space="preserve">Piège classique n°1 : </w:t>
      </w:r>
      <w:r>
        <w:rPr>
          <w:b/>
        </w:rPr>
        <w:t>Vaccin polyosidique ≠ vaccin conjugué</w:t>
      </w:r>
      <w:r>
        <w:t xml:space="preserve"> — le vaccin polyosidique PNEUMOVAX (23-valent, non conjugué) ne peut PAS être utilisé chez le nourrisson &lt; 2 ans (réponse immune insuffisante). Pour les enfants &lt; 2 ans à risque (asplénie, drépanocytose, prématurité, immunodépression), il faut utiliser le vaccin conjugué PCV13 (PREVENAR 13, non disponible en Algérie).</w:t>
      </w:r>
    </w:p>
    <w:p>
      <w:pPr>
        <w:pStyle w:val="ListBullet"/>
      </w:pPr>
      <w:r>
        <w:t xml:space="preserve">Piège classique n°2 : </w:t>
      </w:r>
      <w:r>
        <w:rPr>
          <w:b/>
        </w:rPr>
        <w:t>Pas de booster</w:t>
      </w:r>
      <w:r>
        <w:t xml:space="preserve"> — les doses répétées de PPSV23 ne renforcent pas la réponse immune (T-indépendance) et peuvent même induire une hypo-réponse (épuisement des lymphocytes B spécifiques). Espacer les doses de 5 ans minimum.</w:t>
      </w:r>
    </w:p>
    <w:p>
      <w:pPr>
        <w:pStyle w:val="ListBullet"/>
      </w:pPr>
      <w:r>
        <w:t xml:space="preserve">Piège classique n°3 : </w:t>
      </w:r>
      <w:r>
        <w:rPr>
          <w:b/>
        </w:rPr>
        <w:t>Pas d'effet sur le portage</w:t>
      </w:r>
      <w:r>
        <w:t xml:space="preserve"> — le vaccin polyosidique ne réduit pas le portage rhinopharyngé du pneumocoque (pas d'IgA muqueuses), donc pas d'immunité de groupe. Pour l'immunité de groupe (réduction de la circulation bactérienne), il faut le vaccin conjugué PCV13 (non disponible en Algérie).</w:t>
      </w:r>
    </w:p>
    <w:p>
      <w:pPr>
        <w:pStyle w:val="ListBullet"/>
      </w:pPr>
      <w:r>
        <w:t xml:space="preserve">Piège classique n°4 : </w:t>
      </w:r>
      <w:r>
        <w:rPr>
          <w:b/>
        </w:rPr>
        <w:t>Efficacité réduite chez le sujet âgé</w:t>
      </w:r>
      <w:r>
        <w:t xml:space="preserve"> — l'immunosénescence diminue la réponse (40–60 % d'efficacité contre les formes invasives chez le sujet ≥ 65 ans). Le vaccin reste recommandé car le bénéfice est significatif.</w:t>
      </w:r>
    </w:p>
    <w:p>
      <w:pPr>
        <w:pStyle w:val="ListBullet"/>
      </w:pPr>
      <w:r>
        <w:t xml:space="preserve">Piège classique n°5 : </w:t>
      </w:r>
      <w:r>
        <w:rPr>
          <w:b/>
        </w:rPr>
        <w:t>Ne pas congeler</w:t>
      </w:r>
      <w:r>
        <w:t xml:space="preserve"> — la congélation détruit les polyosides.</w:t>
      </w:r>
    </w:p>
    <w:p>
      <w:pPr>
        <w:pStyle w:val="ListBullet"/>
      </w:pPr>
      <w:r>
        <w:t xml:space="preserve">Piège classique n°6 : </w:t>
      </w:r>
      <w:r>
        <w:rPr>
          <w:b/>
        </w:rPr>
        <w:t>Stratégie séquentielle PCV13 → PPSV23 non applicable en Algérie</w:t>
      </w:r>
      <w:r>
        <w:t xml:space="preserve"> — le PCV13 (PREVENAR 13) n'est pas disponible en Algérie ; seule la PPSV23 est disponible. Le pharmacien doit informer les patients de cette limitation.</w:t>
      </w:r>
    </w:p>
    <w:p>
      <w:pPr>
        <w:pStyle w:val="ListBullet"/>
      </w:pPr>
      <w:r>
        <w:t xml:space="preserve">Piège classique n°7 : </w:t>
      </w:r>
      <w:r>
        <w:rPr>
          <w:b/>
        </w:rPr>
        <w:t>Pourquoi 23 sérotypes et pas 100 ?</w:t>
      </w:r>
      <w:r>
        <w:t xml:space="preserve"> — les 23 sérotypes inclus couvrent 85–90 % des infections invasives à pneumocoque chez l'adulte, mais pas tous. Une couverture complète n'est pas possible avec la technologie polyosidique actuelle.</w:t>
      </w:r>
    </w:p>
    <w:p>
      <w:pPr>
        <w:pStyle w:val="ListBullet"/>
      </w:pPr>
      <w:r>
        <w:t>Règle de prise : 1 dose IM deltoïde (0,5 mL) à 65 ans ou chez les patients à risque ; rappel à 5 ans chez les sujets à risque élevé ; chaîne du froid +2 °C à +8 °C, ne pas congeler ; surveillance 15–30 minutes.</w:t>
      </w:r>
    </w:p>
    <w:p>
      <w:pPr>
        <w:pStyle w:val="ListBullet"/>
      </w:pPr>
      <w:r>
        <w:t>Préparation et Conservation : seringue préremplie +2 °C à +8 °C jusqu'à péremption ; ne pas congeler ; agiter avant emploi ; utiliser immédiatement après ouverture.</w:t>
      </w:r>
    </w:p>
    <w:p>
      <w:pPr>
        <w:pStyle w:val="ListBullet"/>
      </w:pPr>
      <w:r>
        <w:t>Piège du surdosage / Substitution : (a) Surdosage (double dose) : pas de toxicité significative, surveillance de la fièvre et des réactions locales. (b) Substitution PNEUMOVAX ↔ autres vaccins polyosidiques 23-valents (PNEUMO 23 de Sanofi, non disponible en Algérie) possible et bioéquivalente. (c) Ne pas confondre vaccin polyosidique 23-valent (PNEUMOVAX, adulte) et vaccin conjugué 13-valent (PREVENAR 13, pédiatrique, non disponible en Algérie). (d) Le vaccin polyosidique ne remplace pas la vaccination antigrippale annuelle ni la vaccination anti-COVID-19 (cibles différentes).</w:t>
      </w:r>
    </w:p>
    <w:p>
      <w:pPr>
        <w:pStyle w:val="Heading2"/>
      </w:pPr>
      <w:r>
        <w:t>174.7 Sous-classe : Vaccins ARNm/Vecteur viral (COVID-19)</w:t>
      </w:r>
    </w:p>
    <w:p>
      <w:pPr>
        <w:pStyle w:val="Heading3"/>
      </w:pPr>
      <w:r>
        <w:t>Introduction à la sous-classe</w:t>
      </w:r>
    </w:p>
    <w:p>
      <w:r>
        <w:t xml:space="preserve">Les vaccins à ARNm (acide ribonucléique messager) et à vecteur viral représentent les innovations technologiques les plus marquantes de la pandémie de COVID-19 (2020-2023). Leur développement en un temps record (moins de 12 mois entre la publication de la séquence génomique du SARS-CoV-2 en janvier 2020 et les premières autorisations de mise sur le marché en décembre 2020) a reposé sur plusieurs décennies de recherche fondamentale sur les ARNthérapeutiques (travaux de Katalin Karikó et Drew Weissman, prix Nobel de médecine 2023) et sur les vecteurs viraux (travaux sur l'adénovirus depuis les années 1990). Ces deux technologies partagent un principe commun : </w:t>
      </w:r>
      <w:r>
        <w:rPr>
          <w:b/>
        </w:rPr>
        <w:t>utiliser les cellules de l'organisme vacciné comme usine de production de l'antigène viral</w:t>
      </w:r>
      <w:r>
        <w:t>, en délivrant le gène codant la protéine Spike (S) du SARS-CoV-2 sous forme d'ARNm (vaccins Pfizer-BioNTech et Moderna) ou d'ADN intégré dans un adénovirus modifié (vaccins AstraZeneca, Johnson &amp; Johnson, Spoutnik V, Gam-COVID-Vac).</w:t>
      </w:r>
    </w:p>
    <w:p>
      <w:r>
        <w:t xml:space="preserve">Les vaccins à ARNm reposent sur la technologie des </w:t>
      </w:r>
      <w:r>
        <w:rPr>
          <w:b/>
        </w:rPr>
        <w:t>nanoparticules lipidiques (LNP)</w:t>
      </w:r>
      <w:r>
        <w:t xml:space="preserve"> : l'ARNm codant l'antigène (protéine Spike stabilisée en conformation pré-fusion par mutation des résidus KV→PP) est encapsulé dans une nanoparticule lipidique composée de 4 lipides (un lipid-PEG, un lipid cationique ionisable, un phospholipide, et un cholestérol). Cette encapsulation protège l'ARNm de la dégradation par les RNases extracellulaires, facilite son entrée dans les cellules (par fusion avec la membrane endosomale après internalisation par macropinocytose), et permet la libération de l'ARNm dans le cytoplasme cellulaire où il est traduit en protéine Spike par les ribosomes. La protéine Spike produite est ensuite glycosylée dans le réticulum endoplasmique, présentée à la surface cellulaire en contexte CMH de classe I (induction d'une réponse cytotoxique CD8+), et aussi internalisée, dégradée et présentée en contexte CMH de classe II (induction d'une réponse T-helper CD4+ et d'une réponse humorale B). La cinétique de la réponse : anticorps anti-Spike détectables à J7–J10, pic à J28–J35 (après la 2e dose), persistance à taux protecteurs pendant 6–12 mois (avec déclin progressif, justifiant des rappels). La réponse cellulaire cytotoxique CD8+ est également induite, contribuant à l'élimination des cellules infectées en cas d'exposition ultérieure.</w:t>
      </w:r>
    </w:p>
    <w:p>
      <w:r>
        <w:t xml:space="preserve">Les vaccins à vecteur viral (adénovirus modifié) reposent sur un principe similaire mais utilisent un adénovirus (humain ou chimpanzé) rendu </w:t>
      </w:r>
      <w:r>
        <w:rPr>
          <w:b/>
        </w:rPr>
        <w:t>réplication-incompétent</w:t>
      </w:r>
      <w:r>
        <w:t xml:space="preserve"> par délétion du gène E1 (essentiel pour la réplication virale), dans lequel on insère le gène codant la protéine Spike du SARS-CoV-2. L'adénovirus modifié pénètre dans les cellules humaines (notamment les cellules musculaires au point d'injection et les cellules dendritiques), libère son ADN dans le noyau (sans intégration chromosomique — l'adénovirus reste épisomal), qui est transcrit en ARNm puis traduit en protéine Spike. Le vaccin Gam-COVID-Vac (Spoutnik V, Gamaleya) utilise une stratégie originale de </w:t>
      </w:r>
      <w:r>
        <w:rPr>
          <w:b/>
        </w:rPr>
        <w:t>vaccin hétérologue prime-boost</w:t>
      </w:r>
      <w:r>
        <w:t xml:space="preserve"> : la première dose utilise un adénovirus de type 26 (Ad26) porteur du gène Spike, et la deuxième dose (à 21 jours) utilise un adénovirus de type 5 (Ad5) porteur du même gène. Cette stratégie vise à éviter l'immunité anti-vecteur qui pourrait réduire l'efficacité de la deuxième dose (anticorps anti-Ad26 développés après la première dose pourraient neutraliser le vecteur Ad26 de la deuxième dose). En Algérie, le vaccin Gam-COVID-Vac (Spoutnik V) a été le principal vaccin anti-COVID-19 administré pendant la pandémie (2021-2022), avec également le vaccin Sinovac (inactivé, Chinois) et le vaccin AstraZeneca (vecteur adénovirus chimpanzé). Le vaccin Gam-COVID-Vac est le seul vaccin anti-COVID-19 référencé comme ACTIF dans la nomenclature algérienne Avril 2026.</w:t>
      </w:r>
    </w:p>
    <w:p>
      <w:pPr>
        <w:pStyle w:val="Heading3"/>
      </w:pPr>
      <w:r>
        <w:t>174.7.1 DCI : Vaccin anti-COVID-19 (Gam-COVID-Vac, vecteur adénoviral hétérologue)</w:t>
      </w:r>
    </w:p>
    <w:p>
      <w:r/>
      <w:r>
        <w:rPr>
          <w:b/>
        </w:rPr>
        <w:t>Liste des Catégories :</w:t>
      </w:r>
      <w:r>
        <w:t xml:space="preserve"> Vaccin à vecteur viral adénoviral hétérologue (Ad26 + Ad5) ; Vaccin anti-COVID-19 (prévention infection à SARS-CoV-2) ; Conservation −20 °C (forme congelée) ou +2 °C à +8 °C (forme réfrigérée, selon conditionnement) ; Liste I ; Schéma prime-boost à 21 jours.</w:t>
      </w:r>
    </w:p>
    <w:p>
      <w:r>
        <w:t>La COVID-19, maladie respiratoire causée par le virus SARS-CoV-2 (</w:t>
      </w:r>
      <w:r>
        <w:rPr>
          <w:i/>
        </w:rPr>
        <w:t>Coronaviridae</w:t>
      </w:r>
      <w:r>
        <w:t xml:space="preserve">, </w:t>
      </w:r>
      <w:r>
        <w:rPr>
          <w:i/>
        </w:rPr>
        <w:t>Betacoronavirus</w:t>
      </w:r>
      <w:r>
        <w:t>), a été responsable de la pandémie mondiale la plus meurtrière du XXIe siècle (7 millions de décès officiellement recensés par l'OMS, estimation réelle 18–27 millions en excès de mortalité). En Algérie, la pandémie a causé plus de 200 000 cas confirmés et plus de 7 000 décès (chiffres officiels, probablement sous-estimés). La vaccination anti-COVID-19 a débuté en Algérie en janvier 2021 avec le vaccin Spoutnik V (Gam-COVID-Vac, Russie), suivi du vaccin Sinovac (CoronaVac, Chine, inactivé), du vaccin AstraZeneca (vecteur adénovirus chimpanzé, Royaume-Uni), et du vaccin Pfizer-BioNTech (ARNm, États-Unis/Allemagne). Le vaccin Gam-COVID-Vac a été largement utilisé dans la population algérienne (plus de 10 millions de doses administrées). Son efficacité contre les formes symptomatiques de COVID-19 est estimée à 91,6 % après le schéma complet (2 doses à 21 jours) selon les publications initiales dans The Lancet (février 2021). Son efficacité contre les formes graves et la mortalité est supérieure à 95 %. La protection contre les variants (Delta, Omicron) est plus variable et nécessite des rappels réguliers (3e dose à 6 mois, puis doses annuelles selon les recommandations).</w:t>
      </w:r>
    </w:p>
    <w:p>
      <w:r/>
      <w:r>
        <w:rPr>
          <w:b/>
        </w:rPr>
        <w:t>Médicaments disponibles en Algérie (Format Tableau — Nomenclature Avril 2026)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GAM-COVID-VAC COMBINATION VECTOR VACCINE TO PREVENT CORONAVIRAL INFECTION CAUSED BY SARS-COV-2 VIRUS</w:t>
            </w:r>
          </w:p>
        </w:tc>
        <w:tc>
          <w:tcPr>
            <w:tcW w:type="dxa" w:w="1559"/>
          </w:tcPr>
          <w:p>
            <w:r>
              <w:rPr>
                <w:sz w:val="20"/>
              </w:rPr>
              <w:t>LABORATOIRES FSBI N.F. GAMALEYA RCEM OF THE MINISTRY OF HEALTH OF RUSSIA (Gamaleya Institute, Moscou)</w:t>
            </w:r>
          </w:p>
        </w:tc>
        <w:tc>
          <w:tcPr>
            <w:tcW w:type="dxa" w:w="1559"/>
          </w:tcPr>
          <w:p>
            <w:r>
              <w:rPr>
                <w:sz w:val="20"/>
              </w:rPr>
              <w:t>Solution injectable IM, 0,5 mL/dose (composant I : adénovirus de type 26 porteur du gène SARS-CoV-2 Spike) + 0,5 mL/dose (composant II : adénovirus de type 5 porteur du même gène)</w:t>
            </w:r>
          </w:p>
        </w:tc>
        <w:tc>
          <w:tcPr>
            <w:tcW w:type="dxa" w:w="1559"/>
          </w:tcPr>
          <w:p>
            <w:r>
              <w:rPr>
                <w:sz w:val="20"/>
              </w:rPr>
              <w:t>Boîte de 1 flacon (composant I) + 1 flacon (composant II), ou boîte de 5 ampoules (composant I) + 5 ampoules (composant II)</w:t>
            </w:r>
          </w:p>
        </w:tc>
        <w:tc>
          <w:tcPr>
            <w:tcW w:type="dxa" w:w="1559"/>
          </w:tcPr>
          <w:p>
            <w:r>
              <w:rPr>
                <w:sz w:val="20"/>
              </w:rPr>
              <w:t>LISTE I</w:t>
            </w:r>
          </w:p>
        </w:tc>
        <w:tc>
          <w:tcPr>
            <w:tcW w:type="dxa" w:w="1559"/>
          </w:tcPr>
          <w:p>
            <w:r>
              <w:rPr>
                <w:sz w:val="20"/>
              </w:rPr>
              <w:t>ACTIF</w:t>
            </w:r>
          </w:p>
        </w:tc>
      </w:tr>
    </w:tbl>
    <w:p/>
    <w:p>
      <w:r/>
      <w:r>
        <w:rPr>
          <w:b/>
        </w:rPr>
        <w:t>Sous-classe et Mécanisme d'action :</w:t>
      </w:r>
      <w:r/>
    </w:p>
    <w:p>
      <w:pPr>
        <w:pStyle w:val="ListBullet"/>
      </w:pPr>
      <w:r>
        <w:t>Sous-classe : Vaccin à vecteur viral adénoviral hétérologue (Ad26 prime + Ad5 boost, tous deux réplication-incompétents par délétion du gène E1) ; le gène codant la protéine Spike (S) du SARS-CoV-2 (stabilisée en conformation pré-fusion par 2 mutations proline KV→PP) est inséré dans le génome de l'adénovirus.</w:t>
      </w:r>
    </w:p>
    <w:p>
      <w:pPr>
        <w:pStyle w:val="ListBullet"/>
      </w:pPr>
      <w:r>
        <w:t xml:space="preserve">Mécanisme d'action : Le vaccin Gam-COVID-Vac repose sur la technologie des </w:t>
      </w:r>
      <w:r>
        <w:rPr>
          <w:b/>
        </w:rPr>
        <w:t>vecteurs viraux réplication-incompétents</w:t>
      </w:r>
      <w:r>
        <w:t xml:space="preserve">. L'adénovirus humain de type 26 (Ad26) — utilisé pour la 1re dose (composant I) — et l'adénovirus humain de type 5 (Ad5) — utilisé pour la 2e dose (composant II, à 21 jours) — sont rendus incapables de se répliquer par </w:t>
      </w:r>
      <w:r>
        <w:rPr>
          <w:b/>
        </w:rPr>
        <w:t>délétion du gène E1</w:t>
      </w:r>
      <w:r>
        <w:t xml:space="preserve"> (essentiel pour la réplication virale, complémenté en cellules productrices HEK293 qui expriment E1 en trans). Dans le génome de chaque adénovirus est inséré le gène codant la </w:t>
      </w:r>
      <w:r>
        <w:rPr>
          <w:b/>
        </w:rPr>
        <w:t>protéine Spike (S) du SARS-CoV-2</w:t>
      </w:r>
      <w:r>
        <w:t xml:space="preserve">, modifiée par deux mutations proline (KV→PP) pour stabiliser la conformation pré-fusion (immunogène) et empêcher le repliement post-fusion (qui masque les épitopes neutralisants). Administré par voie IM dans le muscle deltoïde, l'adénovirus modifié pénètre dans les cellules musculaires et les cellules présentatrices d'antigène (cellules dendritiques) par récepteur CAR (coxsackievirus and adenovirus receptor) et integrines. L'ADN viral est libéré dans le cytoplasme, migre vers le noyau, et y reste </w:t>
      </w:r>
      <w:r>
        <w:rPr>
          <w:b/>
        </w:rPr>
        <w:t>épisomal</w:t>
      </w:r>
      <w:r>
        <w:t xml:space="preserve"> (sans intégration chromosomique — pas de risque de mutagenèse insertionnelle). Dans le noyau, l'ADN viral est transcrit en ARNm par la RNA polymerase II cellulaire, puis l'ARNm est traduit en protéine Spike par les ribosomes du réticulum endoplasmique. La protéine Spike produite est glycosylée, clivée en S1 (domaine de liaison au récepteur RBD, receptor-binding domain) et S2 (domaine de fusion), et présentée à la surface cellulaire. La protéine Spike est également internalisée, dégradée en peptides, et présentée en contexte </w:t>
      </w:r>
      <w:r>
        <w:rPr>
          <w:b/>
        </w:rPr>
        <w:t>CMH de classe I</w:t>
      </w:r>
      <w:r>
        <w:t xml:space="preserve"> (aux lymphocytes T CD8+ cytotoxiques, induction d'une réponse cellulaire cytotoxique) et </w:t>
      </w:r>
      <w:r>
        <w:rPr>
          <w:b/>
        </w:rPr>
        <w:t>CMH de classe II</w:t>
      </w:r>
      <w:r>
        <w:t xml:space="preserve"> (aux lymphocytes T CD4+ helper, induction d'une réponse humorale B). La réponse immune qui se développe est donc </w:t>
      </w:r>
      <w:r>
        <w:rPr>
          <w:b/>
        </w:rPr>
        <w:t>à la fois humorale et cellulaire</w:t>
      </w:r>
      <w:r>
        <w:t xml:space="preserve">, à la différence des vaccins recombinants sous-unité (HBs, HPV) qui n'induisent qu'une réponse humorale. La cinétique de la réponse humorale : anticorps anti-Spike (IgG anti-RBD et anti-S1) détectables à J10–J14 après la 1re dose, pic à J21–J28 (juste avant la 2e dose), pic amplifié à J49–J56 (28 jours après la 2e dose), persistance à taux protecteurs pendant 6–9 mois (avec déclin progressif). La réponse cellulaire T CD8+ est détectable à J14, pic à J28, persistance à 12 mois. La stratégie </w:t>
      </w:r>
      <w:r>
        <w:rPr>
          <w:b/>
        </w:rPr>
        <w:t>hétérologue prime-boost</w:t>
      </w:r>
      <w:r>
        <w:t xml:space="preserve"> (Ad26 puis Ad5) évite le développement d'une immunité anti-vecteur Ad26 qui pourrait neutraliser le vecteur Ad26 de la 2e dose et réduire l'efficacité du booster. L'efficacité vaccinale contre les formes symptomatiques de COVID-19 (essai clinique de phase III, Russie, 21 977 adultes) est de 91,6 % (IC 95 % : 85,6–96,2) après le schéma complet à 21 jours. L'efficacité contre les formes graves est de 100 % à J21 (aucun cas grave dans le groupe vacciné vs 20 dans le groupe placebo). L'efficacité contre les variants (Alpha, Beta, Delta) est variable (70–90 %) ; contre le variant Omicron, l'efficacité contre les formes symptomatiques chute à 30–50 %, mais la protection contre les formes graves reste élevée (&gt; 80 %), justifiant des doses de rappel régulières (3e dose à 6 mois, puis doses annuelles selon les recommandations OMS/HAS).</w:t>
      </w:r>
    </w:p>
    <w:p>
      <w:r/>
      <w:r>
        <w:rPr>
          <w:b/>
        </w:rPr>
        <w:t>Profil Pharmacologique :</w:t>
      </w:r>
      <w:r/>
    </w:p>
    <w:p>
      <w:pPr>
        <w:pStyle w:val="ListBullet"/>
      </w:pPr>
      <w:r>
        <w:t xml:space="preserve">Indications : (1) </w:t>
      </w:r>
      <w:r>
        <w:rPr>
          <w:b/>
        </w:rPr>
        <w:t>Vaccination systématique contre la COVID-19</w:t>
      </w:r>
      <w:r>
        <w:t xml:space="preserve"> des adultes ≥ 18 ans (schéma primaire 2 doses à 21 jours, plus rappels réguliers) ; (2) </w:t>
      </w:r>
      <w:r>
        <w:rPr>
          <w:b/>
        </w:rPr>
        <w:t>Rappels</w:t>
      </w:r>
      <w:r>
        <w:t xml:space="preserve"> : 3e dose à 6 mois après le schéma primaire (booster), puis doses annuelles selon les recommandations (OMS, HAS) ; (3) </w:t>
      </w:r>
      <w:r>
        <w:rPr>
          <w:b/>
        </w:rPr>
        <w:t>Sujets à risque élevé</w:t>
      </w:r>
      <w:r>
        <w:t xml:space="preserve"> : immunodéprimés (schéma 3 doses à 0, 28 et 90 jours, puis rappels à 3 mois), sujets âgés ≥ 65 ans, patients atteints de comorbidités (BPCO, insuffisance cardiaque, diabète, obésité, insuffisance rénale chronique, néoplasie, transplantation, VIH) ; (4) </w:t>
      </w:r>
      <w:r>
        <w:rPr>
          <w:b/>
        </w:rPr>
        <w:t>Voyageurs internationaux</w:t>
      </w:r>
      <w:r>
        <w:t xml:space="preserve"> : vaccination selon les exigences des pays de destination (certificat vaccinal international) ; (5) Personnel de santé (recommandation renforcée) ; (6) Femmes enceintes (recommandation à partir du 2e trimestre selon l'OMS, à tout trimestre selon le CDC).</w:t>
      </w:r>
    </w:p>
    <w:p>
      <w:pPr>
        <w:pStyle w:val="ListBullet"/>
      </w:pPr>
      <w:r>
        <w:t xml:space="preserve">Contre-indications : (1) </w:t>
      </w:r>
      <w:r>
        <w:rPr>
          <w:b/>
        </w:rPr>
        <w:t>Hypersensibilité sévère (anaphylaxie)</w:t>
      </w:r>
      <w:r>
        <w:t xml:space="preserve"> à un composant du vaccin : adénovirus, polysorbate 80, tris-aminométhane (Tris), éthanol, saccharose, magnésium, EDTA ; (2) Antécédent de réaction grave à une précédente dose du vaccin ; (3) Maladie fébrile aiguë sévère (reporter la vaccination) ; (4) Thrombose veineuse profonde (TVP) ou embolie pulmonaire (EP) aiguë (CI relative — discuter selon le contexte) ; (5) Thrombopénie &lt; 50 G/L (CI relative) ; (6) Syndrome de thrombose-thrombopénie (TTS) post-vaccinale antérieure (CI absolue — ne plus administrer ce type de vaccin, orienter vers un vaccin ARNm) ; (7) Enfant &lt; 18 ans (selon l'AMM initiale — les indications pédiatriques peuvent varier selon les mises à jour réglementaires).</w:t>
      </w:r>
    </w:p>
    <w:p>
      <w:pPr>
        <w:pStyle w:val="ListBullet"/>
      </w:pPr>
      <w:r>
        <w:t xml:space="preserve">Effets Indésirables : (1) </w:t>
      </w:r>
      <w:r>
        <w:rPr>
          <w:b/>
        </w:rPr>
        <w:t>Réactions locales</w:t>
      </w:r>
      <w:r>
        <w:t xml:space="preserve"> (40–60 %) : douleur, érythème, induration au point d'injection, résolutives en 24–72 h ; (2) </w:t>
      </w:r>
      <w:r>
        <w:rPr>
          <w:b/>
        </w:rPr>
        <w:t>Fièvre</w:t>
      </w:r>
      <w:r>
        <w:t xml:space="preserve"> (15–25 %) : 38–39,5 °C en 24–48 h après la 1re dose, plus fréquente et intense après la 2e dose ; (3) </w:t>
      </w:r>
      <w:r>
        <w:rPr>
          <w:b/>
        </w:rPr>
        <w:t>Céphalées</w:t>
      </w:r>
      <w:r>
        <w:t xml:space="preserve"> (30–40 %) ; (4) </w:t>
      </w:r>
      <w:r>
        <w:rPr>
          <w:b/>
        </w:rPr>
        <w:t>Myalgies, arthralgies</w:t>
      </w:r>
      <w:r>
        <w:t xml:space="preserve"> (25–35 %) ; (5) Fatigue, asthénie (35–45 %) ; (6) Frissons, malaise (10–15 %) ; (7) Nausées, vomissements (5–10 %) ; (8) Adénopathies axillaires ou sus-claviculaires ipsilatérales (5–10 %) ; (9) </w:t>
      </w:r>
      <w:r>
        <w:rPr>
          <w:b/>
        </w:rPr>
        <w:t>Syndrome de thrombose-thrombopénie (TTS)</w:t>
      </w:r>
      <w:r>
        <w:t xml:space="preserve"> : très rare (1 cas par 100 000 doses, преимущественно femmes &lt; 50 ans), survient à J5–J20 post-vaccination, se manifeste par thrombose veineuse inhabituelle (sinus cérébral veineux, veines splanchniques, veines rénales) + thrombopénie + anticorps anti-PF4 positifs (mécanisme analogue à la thrombopénie induite par l'héparine TIH) — nécessite hospitalisation urgente, traitement par immunoglobulines IV, anticoagulation (danaparoïde, fondaparinux, ne pas utiliser d'héparine), pas de plaquettes ; (10) </w:t>
      </w:r>
      <w:r>
        <w:rPr>
          <w:b/>
        </w:rPr>
        <w:t>Myocardite/péricardite</w:t>
      </w:r>
      <w:r>
        <w:t xml:space="preserve"> : rare (1 cas par 50 000 doses), plus fréquente chez les jeunes hommes &lt; 30 ans (1 cas par 10 000), survient à J2–J7 post-vaccination, se manifeste par douleur thoracique, dyspnée, palpitations, élévation des troponines, anomalies ECG et IRM cardiaque — traitement symptomatique, AINS, repos, hospitalisation, la plupart des cas sont bénins et résolutifs en quelques jours ; (11) Réactions allergiques : urticaire, prurit (rare), anaphylaxie (1/100 000 à 1/1 000 000) ; (12) Exceptionnellement : syndrome de Guillain-Barré (1 cas par million de doses), paralysie faciale de Bell (rare), vascularite, purpura thrombopénique idiopathique, anomalies du cycle menstruel (temporaires), acouphènes.</w:t>
      </w:r>
    </w:p>
    <w:p>
      <w:r/>
      <w:r>
        <w:rPr>
          <w:b/>
        </w:rPr>
        <w:t>Prévention et Gestion des Effets Indésirables :</w:t>
      </w:r>
      <w:r/>
    </w:p>
    <w:p>
      <w:pPr>
        <w:pStyle w:val="ListBullet"/>
      </w:pPr>
      <w:r>
        <w:t xml:space="preserve">Mesures Préventives : (a) </w:t>
      </w:r>
      <w:r>
        <w:rPr>
          <w:b/>
        </w:rPr>
        <w:t>Interrogatoire pré-vaccinal</w:t>
      </w:r>
      <w:r>
        <w:t xml:space="preserve"> : antécédents allergiques (surtout polysorbate 80, PEG — attention : les patients allergiques au PEG doivent recevoir un vaccin sans polysorbate), antécédent de TTS post-vaccinale antérieure (CI absolue), antécédent de myocardite/péricardite post-vaccinale antérieure (à discuter), maladie aiguë évolutive (reporter), thrombose aiguë (CI relative), thrombopénie (CI relative si &lt; 50 G/L), grossesse (recommandation possible), antécédents cardiaques ; (b) </w:t>
      </w:r>
      <w:r>
        <w:rPr>
          <w:b/>
        </w:rPr>
        <w:t>Examen clinique pré-vaccinal</w:t>
      </w:r>
      <w:r>
        <w:t xml:space="preserve"> : température, recherche de signes d'infection aiguë ; (c) </w:t>
      </w:r>
      <w:r>
        <w:rPr>
          <w:b/>
        </w:rPr>
        <w:t>Surveillance post-vaccinale</w:t>
      </w:r>
      <w:r>
        <w:t xml:space="preserve"> de 15–30 minutes (risque anaphylactique immédiat) ; (d) Information sur les réactions attendues (fièvre, myalgies, céphalées 24–48 h, plus intenses après la 2e dose) ; (e) Information sur les signes devant faire consulter en urgence : dyspnée, douleur thoracique, palpitations, syncope, œdème d'un membre inférieur, céphalée intense inhabituelle, troubles visuels, convulsions (signes de TTS ou de myocardite).</w:t>
      </w:r>
    </w:p>
    <w:p>
      <w:pPr>
        <w:pStyle w:val="ListBullet"/>
      </w:pPr>
      <w:r>
        <w:t>Conduite à Tenir : (a) En cas de fièvre et de myalgies : paracétamol (1 g × 3/j max pendant 48 h), hydratation, repos ; (b) En cas de douleur locale : paracétamol, application de froid ; (c) En cas d'anaphylaxie immédiate : adrénaline IM 0,5 mg (adulte), appel SAMU, position allongée, oxygène, antihistaminiques, corticoïdes IV, surveillance 24 h ; (d) En cas de suspicion de TTS (thrombose + thrombopénie à J5–J20 post-vaccination) : hospitalisation urgente, bilan (NFS plaquettes, D-dimères, anticorps anti-PF4, écho-Doppler veineux, IRM cérébrale si signes neurologiques), traitement par immunoglobulines IV (1 g/kg/j × 2 jours), anticoagulation par danaparoïde ou fondaparinux (JAMAIS d'héparine), pas de transfusion plaquettaire (sauf hémorragie vitale) ; (e) En cas de suspicion de myocardite/péricardite (douleur thoracique, dyspnée, palpitations à J2–J7) : hospitalisation, ECG, troponines, IRM cardiaque, traitement symptomatique (AINS, colchicine pour la péricardite), repos strict 3–6 mois, contre-indication temporaire à la pratique sportive intensive ; (f) En cas de réaction allergique retardée : antihistaminiques, avis spécialisé.</w:t>
      </w:r>
    </w:p>
    <w:p>
      <w:r/>
      <w:r>
        <w:rPr>
          <w:b/>
        </w:rPr>
        <w:t>Interactions Importantes :</w:t>
      </w:r>
      <w:r/>
    </w:p>
    <w:p>
      <w:pPr>
        <w:pStyle w:val="ListBullet"/>
      </w:pPr>
      <w:r/>
      <w:r>
        <w:rPr>
          <w:b/>
        </w:rPr>
        <w:t>Autres vaccins</w:t>
      </w:r>
      <w:r>
        <w:t xml:space="preserve"> (grippe, pneumocoque, méningocoque, HPV, hépatite B, tétanos, polio) : administration simultanée possible à des sites d'injection différents, sans interférence immunitaire significative (selon les recommandations HAS 2022).</w:t>
      </w:r>
    </w:p>
    <w:p>
      <w:pPr>
        <w:pStyle w:val="ListBullet"/>
      </w:pPr>
      <w:r/>
      <w:r>
        <w:rPr>
          <w:b/>
        </w:rPr>
        <w:t>Anticoagulants oraux</w:t>
      </w:r>
      <w:r>
        <w:t xml:space="preserve"> (AVK, AOD) : ne pas contre-indiquer la vaccination IM ; aiguille fine (25 G), comprimer 5 min. Cependant, en cas de thrombose aiguë (en cours de traitement anticoagulant), reporter la vaccination (CI relative).</w:t>
      </w:r>
    </w:p>
    <w:p>
      <w:pPr>
        <w:pStyle w:val="ListBullet"/>
      </w:pPr>
      <w:r/>
      <w:r>
        <w:rPr>
          <w:b/>
        </w:rPr>
        <w:t>Immunosuppresseurs</w:t>
      </w:r>
      <w:r>
        <w:t xml:space="preserve"> (corticoïdes, biothérapies, chimiothérapie) : diminution possible de la réponse immunitaire ; envisager un schéma 3 doses + rappels rapprochés (à 3 mois) chez les immunodéprimés sévères.</w:t>
      </w:r>
    </w:p>
    <w:p>
      <w:pPr>
        <w:pStyle w:val="ListBullet"/>
      </w:pPr>
      <w:r/>
      <w:r>
        <w:rPr>
          <w:b/>
        </w:rPr>
        <w:t>Anticorps monoclonaux anti-SARS-CoV-2</w:t>
      </w:r>
      <w:r>
        <w:t xml:space="preserve"> (casirivimab/imdevimab, sotrovimab, bébételovimab) : à administrer à distance de la vaccination (au moins 90 jours après), car ils peuvent interférer avec la réponse immunitaire vaccinale.</w:t>
      </w:r>
    </w:p>
    <w:p>
      <w:pPr>
        <w:pStyle w:val="ListBullet"/>
      </w:pPr>
      <w:r/>
      <w:r>
        <w:rPr>
          <w:b/>
        </w:rPr>
        <w:t>Traitement antiviral contre la COVID-19</w:t>
      </w:r>
      <w:r>
        <w:t xml:space="preserve"> (nirmatrelvir/ritonavir Paxlovid, remdesivir, molnupiravir) : à administrer à distance de la vaccination (attendre la fin du traitement antiviral pour vacciner, sauf urgence).</w:t>
      </w:r>
    </w:p>
    <w:p>
      <w:pPr>
        <w:pStyle w:val="ListBullet"/>
      </w:pPr>
      <w:r/>
      <w:r>
        <w:rPr>
          <w:b/>
        </w:rPr>
        <w:t>Plasma convalescent</w:t>
      </w:r>
      <w:r>
        <w:t xml:space="preserve"> : à distance de la vaccination (90 jours).</w:t>
      </w:r>
    </w:p>
    <w:p>
      <w:r/>
      <w:r>
        <w:rPr>
          <w:b/>
        </w:rPr>
        <w:t>Grossesse et Allaitement :</w:t>
      </w:r>
      <w:r/>
    </w:p>
    <w:p>
      <w:pPr>
        <w:pStyle w:val="ListBullet"/>
      </w:pPr>
      <w:r>
        <w:t xml:space="preserve">Grossesse : Le CRAT, le CDC ACIP et l'OMS recommandent la </w:t>
      </w:r>
      <w:r>
        <w:rPr>
          <w:b/>
        </w:rPr>
        <w:t>vaccination anti-COVID-19 pour toutes les femmes enceintes à tout trimestre de grossesse</w:t>
      </w:r>
      <w:r>
        <w:t xml:space="preserve"> (recommandation renforcée depuis les données de pharmacovigilance rassurantes de 2021-2022). La grossesse majore le risque de forme grave de COVID-19 (hypoxémie, pneumonie, hospitalisation en réanimation, intubation) d'un facteur 2 à 3, particulièrement aux 2e et 3e trimestres. La vaccination réduit ce risque significativement. De plus, les anticorps maternels traversent le placenta (IgG) et protègent le nouveau-né pendant les 6 premiers mois de vie, période où il est trop jeune pour être vacciné (le vaccin anti-COVID-19 n'est pas autorisé avant 6 mois selon l'AMM initiale, mais des AMM pédiatriques existent maintenant dès 6 mois pour certains vaccins ARNm). Les données de pharmacovigilance (V-safe, VAERS, EudraVigilance) incluant plusieurs centaines de milliers de femmes enceintes vaccinées ne montrent pas d'excès de malformations, de fausses couches, de morts fœtales, de prématurité ou de retard de croissance intra-utérin. Le vaccin à vecteur adénoviral (Gam-COVID-Vac, AstraZeneca, J&amp;J) est généralement considéré comme sûr pendant la grossesse, bien que la préférence internationale (CDC, HAS) aille aux vaccins ARNm (Pfizer-BioNTech, Moderna) en raison du risque exceptionnel de TTS associé aux vecteurs adénoviraux chez la femme jeune (&lt; 50 ans).</w:t>
      </w:r>
    </w:p>
    <w:p>
      <w:pPr>
        <w:pStyle w:val="ListBullet"/>
      </w:pPr>
      <w:r>
        <w:t xml:space="preserve">Allaitement : Le vaccin anti-COVID-19 est </w:t>
      </w:r>
      <w:r>
        <w:rPr>
          <w:b/>
        </w:rPr>
        <w:t>compatible avec l'allaitement</w:t>
      </w:r>
      <w:r>
        <w:t xml:space="preserve"> selon le CRAT, le CDC et l'OMS. Aucun composant vaccinal (ARNm encapsulé dans LNP ou adénovirus modifié) ne passe significativement dans le lait maternel en quantité active. La vaccination de la mère allaitante protège indirectement le nourrisson via la transmission d'IgA sécrétoires dans le lait (immunité passive contre le SARS-CoV-2). La vaccination est particulièrement recommandée chez les mères de nourrissons &lt; 6 mois (stratégie de cocooning).</w:t>
      </w:r>
    </w:p>
    <w:p>
      <w:pPr>
        <w:pStyle w:val="ListBullet"/>
      </w:pPr>
      <w:r>
        <w:t>Précisions : Pour la femme enceinte ayant un antécédent de TTS post-vaccinale (avec un vaccin à vecteur adénoviral), orienter vers un vaccin ARNm (Pfizer-BioNTech) pour les doses suivantes, à discuter avec un spécialiste. Pour la femme enceire allaitante, la vaccination peut avoir lieu à tout moment selon les recommandations OMS/HAS.</w:t>
      </w:r>
    </w:p>
    <w:p>
      <w:r/>
      <w:r>
        <w:rPr>
          <w:b/>
        </w:rPr>
        <w:t>Posologie et Mode d'administration (Standard) :</w:t>
      </w:r>
      <w:r/>
    </w:p>
    <w:p>
      <w:pPr>
        <w:pStyle w:val="ListBullet"/>
      </w:pPr>
      <w:r>
        <w:t xml:space="preserve">Adulte ≥ 18 ans (schéma primaire) : </w:t>
      </w:r>
      <w:r>
        <w:rPr>
          <w:b/>
        </w:rPr>
        <w:t>2 doses de 0,5 mL en IM</w:t>
      </w:r>
      <w:r>
        <w:t xml:space="preserve"> (deltoïde) à 21 jours d'intervalle (composant I : Ad26 à J0 ; composant II : Ad5 à J21). Schéma homologue (même vaccin pour les 2 doses).</w:t>
      </w:r>
    </w:p>
    <w:p>
      <w:pPr>
        <w:pStyle w:val="ListBullet"/>
      </w:pPr>
      <w:r>
        <w:t>Rappel (booster) à 6 mois après le schéma primaire : 1 dose unique (0,5 mL), de préférence avec le même vaccin (homologue) ou avec un vaccin ARNm (hétérologue, selon les recommandations HAS 2022 pour optimiser la réponse immune face aux variants).</w:t>
      </w:r>
    </w:p>
    <w:p>
      <w:pPr>
        <w:pStyle w:val="ListBullet"/>
      </w:pPr>
      <w:r>
        <w:t>Immunodéprimé : schéma 3 doses à 0, 28 et 90 jours, puis rappels à 3 mois (au lieu de 6 mois).</w:t>
      </w:r>
    </w:p>
    <w:p>
      <w:pPr>
        <w:pStyle w:val="ListBullet"/>
      </w:pPr>
      <w:r>
        <w:t>Femme enceinte non vaccinée : schéma standard à tout trimestre (à partir du 1er trimestre selon le CDC, du 2e trimestre selon l'OMS initiale).</w:t>
      </w:r>
    </w:p>
    <w:p>
      <w:pPr>
        <w:pStyle w:val="ListBullet"/>
      </w:pPr>
      <w:r>
        <w:t>Rattrapage : tout adulte non vacciné peut commencer le schéma à 0 et 21 jours, avec un rappel à 6 mois.</w:t>
      </w:r>
    </w:p>
    <w:p>
      <w:pPr>
        <w:pStyle w:val="ListBullet"/>
      </w:pPr>
      <w:r>
        <w:t xml:space="preserve">Conservation : </w:t>
      </w:r>
      <w:r>
        <w:rPr>
          <w:b/>
        </w:rPr>
        <w:t>−20 °C</w:t>
      </w:r>
      <w:r>
        <w:t xml:space="preserve"> (forme congelée, durée de conservation 6–9 mois selon le fabricant) ou </w:t>
      </w:r>
      <w:r>
        <w:rPr>
          <w:b/>
        </w:rPr>
        <w:t>+2 °C à +8 °C</w:t>
      </w:r>
      <w:r>
        <w:t xml:space="preserve"> (forme réfrigérée, après décongélation, durée de conservation 30 jours selon le fabricant — vérifier l'AMM spécifique). Ne pas recongeler une fois décongelé. Ne pas utiliser si la solution présente des particules, une coloration anormale, ou si la chaîne du froid a été rompue. Agiter doucement avant emploi.</w:t>
      </w:r>
    </w:p>
    <w:p>
      <w:r/>
      <w:r>
        <w:rPr>
          <w:b/>
        </w:rPr>
        <w:t>Arbitrage et Bénéfices des Formes Galéniques :</w:t>
      </w:r>
      <w:r/>
    </w:p>
    <w:p>
      <w:r>
        <w:t>Le vaccin GAM-COVID-VAC (Gamaleya Institute, Russie) est le seul vaccin anti-COVID-19 référencé comme ACTIF dans la nomenclature algérienne Avril 2026. Il se présente sous deux conditionnements : (i) boîte de 1 flacon (composant I : Ad26) + 1 flacon (composant II : Ad5), adapté à la pratique d'officine et aux petites structures ; (ii) boîte de 5 ampoules (composant I) + 5 ampoules (composant II), adapté aux campagnes de vaccination collective. La conservation à −20 °C impose une logistique de chaîne du froid spécifique (congélateur), avec décongélation au réfrigérateur +2 °C à +8 °C avant administration (stabilité 30 jours selon l'AMM). Pour la pratique d'officine, ce vaccin est moins pratique que les vaccins réfrigérés (VAXIGRIP TETRA, GARDASIL 9, MENQUADFI, PNEUMOVAX, HEBERBIOVAC HB), mais la décongélation peut être anticipée. Les vaccins alternatifs (Pfizer-BioNTech BNT162b2, Moderna mRNA-1273, AstraZeneca ChAdOx1, Johnson &amp; Johnson Ad26.COV2.S, Sinovac CoronaVac, Sinopharm BBIBP-CorV) ne sont pas référencés comme ACTIFS dans la nomenclature algérienne Avril 2026, ce qui limite le choix pour les patients. Pour les patients à risque de TTS (femmes &lt; 50 ans), la préférence internationale va aux vaccins ARNm (Pfizer, Moderna) qui ne sont pas référencés en Algérie — le pharmacien doit informer les patientes du risque exceptionnel de TTS avec le vaccin Gam-COVID-Vac (1 cas / 100 000 doses) et orienter vers un avis spécialisé.</w:t>
      </w:r>
    </w:p>
    <w:p>
      <w:r/>
      <w:r>
        <w:rPr>
          <w:b/>
        </w:rPr>
        <w:t>Instructions et Conseils au Patient :</w:t>
      </w:r>
      <w:r/>
    </w:p>
    <w:p>
      <w:pPr>
        <w:pStyle w:val="ListBullet"/>
      </w:pPr>
      <w:r>
        <w:t>Communication au comptoir (officine) : "Ce vaccin protège contre la COVID-19, maladie respiratoire causée par le virus SARS-CoV-2. Le schéma comprend 2 injections à 21 jours d'intervalle (1re dose avec un vecteur Ad26, 2e dose avec un vecteur Ad5, stratégie hétérologue pour optimiser la réponse immune), suivies d'un rappel à 6 mois. Après la vaccination, vous pouvez avoir de la fièvre, des maux de tête, des courbatures, de la fatigue pendant 24 à 48 heures : c'est normal, c'est le signe que votre système immunitaire répond. La 2e dose provoque en général des effets plus intenses que la 1re. Le vaccin ne provoque PAS la COVID-19 (le vecteur viral est réplication-incompétent, incapable de provoquer une infection). En revanche, consultez en urgence si vous avez dans les 5 à 20 jours suivant la vaccination : douleur thoracique, essoufflement, palpitations (risque exceptionnel de myocardite) ; gonflement d'une jambe, maux de tête intenses inhabituels, troubles de la vision (risque exceptionnel de thrombose). Le vaccin ne protège pas à 100 % et la protection diminue avec le temps (variant Omicron), d'où l'importance des rappels et du respect des mesures d'hygiène (masque en période épidémique, lavage des mains)."</w:t>
      </w:r>
    </w:p>
    <w:p>
      <w:pPr>
        <w:pStyle w:val="ListBullet"/>
      </w:pPr>
      <w:r>
        <w:t>Mode d'utilisation pratique : (1) Conserver à −20 °C (congélateur) jusqu'à utilisation ; décongeler au réfrigérateur +2 °C à +8 °C (24 h avant utilisation), stable 30 jours après décongélation. (2) Ne pas recongeler une fois décongelé. (3) Transporter dans une sacoche isotherme avec accumulateur de froid (si déjà décongelé) ou dans un sac isotherme sec (si congelé). (4) Le médecin ou l'infirmière agitera doucement le flacon avant emploi et injectera dans le muscle deltoïde. (5) Surveiller 15–30 minutes après l'injection (risque anaphylactique). (6) Tenir le carnet de vaccination à jour, noter la date, le lot, le type de vaccin (composant I ou II), et la date de la prochaine dose. (7) En cas de fièvre &gt; 39 °C, de céphalées intenses, de douleurs thoraciques ou de gonflement d'une jambe dans les 3 semaines suivant la vaccination, consulter en urgence en mentionnant la vaccination récente.</w:t>
      </w:r>
    </w:p>
    <w:p>
      <w:pPr>
        <w:pStyle w:val="ListBullet"/>
      </w:pPr>
      <w:r>
        <w:t>Conseils spécifiques : (a) La vaccination est recommandée à tous les adultes, en particulier les sujets à risque (âgés, comorbidités, immunodéprimés, femmes enceintes à partir du 1er trimestre) ; (b) La vaccination ne remplace pas les mesures d'hygiène (masque, lavage des mains, aération) ; (c) La protection contre les variants récents (Omicron) est réduite, d'où l'importance des rappels réguliers (annuels selon les recommandations OMS) ; (d) Pour les femmes &lt; 50 ans, le risque exceptionnel de TTS (1/100 000) doit être pris en compte, et un vaccin ARNm (non disponible en Algérie) serait préférable selon les recommandations internationales ; (e) La vaccination est compatible avec l'allaitement, et les anticorps maternels protègent le nourrisson pendant les premiers mois de vie ; (f) En cas d'antécédent de COVID-19, la vaccination est néanmoins recommandée (immunité hybride infection + vaccination supérieure à l'immunité naturelle seule) à partir de 3 mois après la guérison.</w:t>
      </w:r>
    </w:p>
    <w:p>
      <w:r/>
      <w:r>
        <w:rPr>
          <w:b/>
        </w:rPr>
        <w:t>Notes, Règles d'Or &amp; Pièges au Comptoir :</w:t>
      </w:r>
      <w:r/>
    </w:p>
    <w:p>
      <w:pPr>
        <w:pStyle w:val="ListBullet"/>
      </w:pPr>
      <w:r>
        <w:t xml:space="preserve">Piège classique n°1 : </w:t>
      </w:r>
      <w:r>
        <w:rPr>
          <w:b/>
        </w:rPr>
        <w:t>Le vaccin Gam-COVID-Vac ne provoque PAS la COVID-19</w:t>
      </w:r>
      <w:r>
        <w:t xml:space="preserve"> — le vecteur adénoviral est réplication-incompétent (délétion du gène E1), incapable de se répliquer et de causer une infection adénovirale. Le patient ne peut pas développer la COVID-19 à cause du vaccin.</w:t>
      </w:r>
    </w:p>
    <w:p>
      <w:pPr>
        <w:pStyle w:val="ListBullet"/>
      </w:pPr>
      <w:r>
        <w:t xml:space="preserve">Piège classique n°2 : </w:t>
      </w:r>
      <w:r>
        <w:rPr>
          <w:b/>
        </w:rPr>
        <w:t>Stratégie hétérologue Ad26/Ad5</w:t>
      </w:r>
      <w:r>
        <w:t xml:space="preserve"> — la 1re dose utilise un adénovirus de type 26 (Ad26), la 2e dose un adénovirus de type 5 (Ad5), à 21 jours d'intervalle. Cette stratégie vise à éviter l'immunité anti-vecteur qui pourrait neutraliser la 2e dose. Ne pas intervertir les composants (toujours Ad26 en 1re dose, Ad5 en 2e dose).</w:t>
      </w:r>
    </w:p>
    <w:p>
      <w:pPr>
        <w:pStyle w:val="ListBullet"/>
      </w:pPr>
      <w:r>
        <w:t xml:space="preserve">Piège classique n°3 : </w:t>
      </w:r>
      <w:r>
        <w:rPr>
          <w:b/>
        </w:rPr>
        <w:t>TTS = thrombose-thrombopénie post-vaccinale</w:t>
      </w:r>
      <w:r>
        <w:t xml:space="preserve"> — à suspecter devant toute thrombose inhabituelle (sinus cérébral veineux, veines splanchniques) + thrombopénie à J5–J20 post-vaccination. Pas d'héparine (risque d'aggravation), utiliser danaparoïde ou fondaparinux. Plus fréquente chez les femmes &lt; 50 ans (1/100 000 doses).</w:t>
      </w:r>
    </w:p>
    <w:p>
      <w:pPr>
        <w:pStyle w:val="ListBullet"/>
      </w:pPr>
      <w:r>
        <w:t xml:space="preserve">Piège classique n°4 : </w:t>
      </w:r>
      <w:r>
        <w:rPr>
          <w:b/>
        </w:rPr>
        <w:t>Myocardite/péricardite</w:t>
      </w:r>
      <w:r>
        <w:t xml:space="preserve"> — à suspecter devant douleur thoracique, dyspnée, palpitations à J2–J7 post-vaccination. Plus fréquente chez les jeunes hommes &lt; 30 ans (1/10 000 doses). La plupart des cas sont bénins et résolutifs.</w:t>
      </w:r>
    </w:p>
    <w:p>
      <w:pPr>
        <w:pStyle w:val="ListBullet"/>
      </w:pPr>
      <w:r>
        <w:t xml:space="preserve">Piège classique n°5 : </w:t>
      </w:r>
      <w:r>
        <w:rPr>
          <w:b/>
        </w:rPr>
        <w:t>Allergie au polysorbate 80</w:t>
      </w:r>
      <w:r>
        <w:t xml:space="preserve"> — le polysorbate 80 est un composant du vaccin Gam-COVID-Vac. Les patients allergiques au polysorbate 80 (qui est croisé avec le PEG — polyéthylèneglycol) ne doivent pas recevoir ce vaccin. Orientement vers un vaccin sans polysorbate.</w:t>
      </w:r>
    </w:p>
    <w:p>
      <w:pPr>
        <w:pStyle w:val="ListBullet"/>
      </w:pPr>
      <w:r>
        <w:t xml:space="preserve">Piège classique n°6 : </w:t>
      </w:r>
      <w:r>
        <w:rPr>
          <w:b/>
        </w:rPr>
        <w:t>Conservation à −20 °C</w:t>
      </w:r>
      <w:r>
        <w:t xml:space="preserve"> — ne pas confondre avec les vaccins réfrigérés à +2 °C à +8 °C. Le vaccin Gam-COVID-Vac doit être conservé congelé ; après décongélation au réfrigérateur, stable 30 jours. Ne pas recongeler.</w:t>
      </w:r>
    </w:p>
    <w:p>
      <w:pPr>
        <w:pStyle w:val="ListBullet"/>
      </w:pPr>
      <w:r>
        <w:t xml:space="preserve">Piège classique n°7 : </w:t>
      </w:r>
      <w:r>
        <w:rPr>
          <w:b/>
        </w:rPr>
        <w:t>Ne pas intervertir les composants I et II</w:t>
      </w:r>
      <w:r>
        <w:t xml:space="preserve"> — composant I = Ad26 (1re dose), composant II = Ad5 (2e dose). Ne jamais administrer le composant II en premier.</w:t>
      </w:r>
    </w:p>
    <w:p>
      <w:pPr>
        <w:pStyle w:val="ListBullet"/>
      </w:pPr>
      <w:r>
        <w:t xml:space="preserve">Piège classique n°8 : </w:t>
      </w:r>
      <w:r>
        <w:rPr>
          <w:b/>
        </w:rPr>
        <w:t>Vaccination et femme enceinte</w:t>
      </w:r>
      <w:r>
        <w:t xml:space="preserve"> — recommandée à tout trimestre selon le CDC, à partir du 2e trimestre selon l'OMS initiale. Le vaccin à vecteur adénoviral est généralement considéré comme sûr, mais la préférence internationale va aux vaccins ARNm (Pfizer, Moderna) en raison du risque exceptionnel de TTS chez la femme jeune.</w:t>
      </w:r>
    </w:p>
    <w:p>
      <w:pPr>
        <w:pStyle w:val="ListBullet"/>
      </w:pPr>
      <w:r>
        <w:t>Règle de prise : 2 doses IM deltoïde (0,5 mL) à 21 jours d'intervalle (Ad26 + Ad5) ; rappel à 6 mois (ou 3 mois pour les immunodéprimés) ; chaîne du froid −20 °C ou +2 °C à +8 °C (après décongélation) ; surveillance 15–30 minutes.</w:t>
      </w:r>
    </w:p>
    <w:p>
      <w:pPr>
        <w:pStyle w:val="ListBullet"/>
      </w:pPr>
      <w:r>
        <w:t>Préparation et Conservation : flacon congelé −20 °C jusqu'à péremption (6–9 mois) ; décongélation au réfrigérateur +2 °C à +8 °C (24 h avant utilisation), stable 30 jours ; ne pas recongeler ; agiter doucement avant emploi ; utiliser dans les 6 heures après ouverture (selon AMM).</w:t>
      </w:r>
    </w:p>
    <w:p>
      <w:pPr>
        <w:pStyle w:val="ListBullet"/>
      </w:pPr>
      <w:r>
        <w:t>Piège du surdosage / Substitution : (a) Surdosage (double dose) : pas de toxicité significative, surveillance de la fièvre et des réactions locales 24–48 h. (b) Substitution Gam-COVID-Vac ↔ autres vaccins anti-COVID-19 (Pfizer-BioNTech, Moderna, AstraZeneca, J&amp;J) : possible pour les doses de rappel (stratégie hétérologue possible selon les recommandations HAS 2022), mais ces vaccins ne sont pas référencés comme ACTIFS en Algérie. (c) Ne pas confondre vaccin à vecteur adénoviral (Gam-COVID-Vac, AstraZeneca, J&amp;J) et vaccin ARNm (Pfizer-BioNTech, Moderna) — technologies différentes mais cible antigénique identique (protéine Spike). (d) Ne pas confondre vaccin à vecteur viral et vaccin inactivé (Sinovac CoronaVac, Sinopharm BBIBP-CorV) — technologies différentes (le vaccin inactivé contient le virus entier tué, le vaccin à vecteur contient l'adénovirus modifié porteur du gène Spike). (e) Le vaccin Gam-COVID-Vac est la seule spécialité anti-COVID-19 ACTIF dans la nomenclature algérienne Avril 2026.</w:t>
      </w:r>
    </w:p>
    <w:p>
      <w:pPr>
        <w:pStyle w:val="Heading2"/>
      </w:pPr>
      <w:r>
        <w:t>174.8 Tableau comparatif des 7 DCI vaccinales de la section</w:t>
      </w:r>
    </w:p>
    <w:tbl>
      <w:tblPr>
        <w:tblStyle w:val="LightGrid-Accent1"/>
        <w:tblW w:type="auto" w:w="0"/>
        <w:tblLook w:firstColumn="1" w:firstRow="1" w:lastColumn="0" w:lastRow="0" w:noHBand="0" w:noVBand="1" w:val="04A0"/>
      </w:tblPr>
      <w:tblGrid>
        <w:gridCol w:w="935"/>
        <w:gridCol w:w="935"/>
        <w:gridCol w:w="935"/>
        <w:gridCol w:w="935"/>
        <w:gridCol w:w="935"/>
        <w:gridCol w:w="935"/>
        <w:gridCol w:w="935"/>
        <w:gridCol w:w="935"/>
        <w:gridCol w:w="935"/>
        <w:gridCol w:w="935"/>
      </w:tblGrid>
      <w:tr>
        <w:tc>
          <w:tcPr>
            <w:tcW w:type="dxa" w:w="935"/>
          </w:tcPr>
          <w:p>
            <w:r>
              <w:rPr>
                <w:b/>
                <w:sz w:val="20"/>
              </w:rPr>
              <w:t>DCI</w:t>
            </w:r>
          </w:p>
        </w:tc>
        <w:tc>
          <w:tcPr>
            <w:tcW w:type="dxa" w:w="935"/>
          </w:tcPr>
          <w:p>
            <w:r>
              <w:rPr>
                <w:b/>
                <w:sz w:val="20"/>
              </w:rPr>
              <w:t>Sous-classe</w:t>
            </w:r>
          </w:p>
        </w:tc>
        <w:tc>
          <w:tcPr>
            <w:tcW w:type="dxa" w:w="935"/>
          </w:tcPr>
          <w:p>
            <w:r>
              <w:rPr>
                <w:b/>
                <w:sz w:val="20"/>
              </w:rPr>
              <w:t>Type antigène</w:t>
            </w:r>
          </w:p>
        </w:tc>
        <w:tc>
          <w:tcPr>
            <w:tcW w:type="dxa" w:w="935"/>
          </w:tcPr>
          <w:p>
            <w:r>
              <w:rPr>
                <w:b/>
                <w:sz w:val="20"/>
              </w:rPr>
              <w:t>Cible immune</w:t>
            </w:r>
          </w:p>
        </w:tc>
        <w:tc>
          <w:tcPr>
            <w:tcW w:type="dxa" w:w="935"/>
          </w:tcPr>
          <w:p>
            <w:r>
              <w:rPr>
                <w:b/>
                <w:sz w:val="20"/>
              </w:rPr>
              <w:t>Voie</w:t>
            </w:r>
          </w:p>
        </w:tc>
        <w:tc>
          <w:tcPr>
            <w:tcW w:type="dxa" w:w="935"/>
          </w:tcPr>
          <w:p>
            <w:r>
              <w:rPr>
                <w:b/>
                <w:sz w:val="20"/>
              </w:rPr>
              <w:t>Schéma standard</w:t>
            </w:r>
          </w:p>
        </w:tc>
        <w:tc>
          <w:tcPr>
            <w:tcW w:type="dxa" w:w="935"/>
          </w:tcPr>
          <w:p>
            <w:r>
              <w:rPr>
                <w:b/>
                <w:sz w:val="20"/>
              </w:rPr>
              <w:t>Conservation</w:t>
            </w:r>
          </w:p>
        </w:tc>
        <w:tc>
          <w:tcPr>
            <w:tcW w:type="dxa" w:w="935"/>
          </w:tcPr>
          <w:p>
            <w:r>
              <w:rPr>
                <w:b/>
                <w:sz w:val="20"/>
              </w:rPr>
              <w:t>EI majeur</w:t>
            </w:r>
          </w:p>
        </w:tc>
        <w:tc>
          <w:tcPr>
            <w:tcW w:type="dxa" w:w="935"/>
          </w:tcPr>
          <w:p>
            <w:r>
              <w:rPr>
                <w:b/>
                <w:sz w:val="20"/>
              </w:rPr>
              <w:t>Grossesse</w:t>
            </w:r>
          </w:p>
        </w:tc>
        <w:tc>
          <w:tcPr>
            <w:tcW w:type="dxa" w:w="935"/>
          </w:tcPr>
          <w:p>
            <w:r>
              <w:rPr>
                <w:b/>
                <w:sz w:val="20"/>
              </w:rPr>
              <w:t>Disponibilité Algérie</w:t>
            </w:r>
          </w:p>
        </w:tc>
      </w:tr>
      <w:tr>
        <w:tc>
          <w:tcPr>
            <w:tcW w:type="dxa" w:w="935"/>
          </w:tcPr>
          <w:p>
            <w:r>
              <w:rPr>
                <w:sz w:val="20"/>
              </w:rPr>
              <w:t>**Vaccin antirougeoleux**</w:t>
            </w:r>
          </w:p>
        </w:tc>
        <w:tc>
          <w:tcPr>
            <w:tcW w:type="dxa" w:w="935"/>
          </w:tcPr>
          <w:p>
            <w:r>
              <w:rPr>
                <w:sz w:val="20"/>
              </w:rPr>
              <w:t>Vivant atténué</w:t>
            </w:r>
          </w:p>
        </w:tc>
        <w:tc>
          <w:tcPr>
            <w:tcW w:type="dxa" w:w="935"/>
          </w:tcPr>
          <w:p>
            <w:r>
              <w:rPr>
                <w:sz w:val="20"/>
              </w:rPr>
              <w:t>Virus rougeoleux vivant (souche Edmonston-Zagreb)</w:t>
            </w:r>
          </w:p>
        </w:tc>
        <w:tc>
          <w:tcPr>
            <w:tcW w:type="dxa" w:w="935"/>
          </w:tcPr>
          <w:p>
            <w:r>
              <w:rPr>
                <w:sz w:val="20"/>
              </w:rPr>
              <w:t>Humorale + cellulaire (CD4+, CD8+)</w:t>
            </w:r>
          </w:p>
        </w:tc>
        <w:tc>
          <w:tcPr>
            <w:tcW w:type="dxa" w:w="935"/>
          </w:tcPr>
          <w:p>
            <w:r>
              <w:rPr>
                <w:sz w:val="20"/>
              </w:rPr>
              <w:t>SC profonde</w:t>
            </w:r>
          </w:p>
        </w:tc>
        <w:tc>
          <w:tcPr>
            <w:tcW w:type="dxa" w:w="935"/>
          </w:tcPr>
          <w:p>
            <w:r>
              <w:rPr>
                <w:sz w:val="20"/>
              </w:rPr>
              <w:t>2 doses à 9 et 18 mois</w:t>
            </w:r>
          </w:p>
        </w:tc>
        <w:tc>
          <w:tcPr>
            <w:tcW w:type="dxa" w:w="935"/>
          </w:tcPr>
          <w:p>
            <w:r>
              <w:rPr>
                <w:sz w:val="20"/>
              </w:rPr>
              <w:t>+2 °C à +8 °C (jamais congeler forme liquide)</w:t>
            </w:r>
          </w:p>
        </w:tc>
        <w:tc>
          <w:tcPr>
            <w:tcW w:type="dxa" w:w="935"/>
          </w:tcPr>
          <w:p>
            <w:r>
              <w:rPr>
                <w:sz w:val="20"/>
              </w:rPr>
              <w:t>Fièvre J5–J12, éruption morbilliforme, convulsions fébriles, thrombopénie, encéphalite (1/10⁶)</w:t>
            </w:r>
          </w:p>
        </w:tc>
        <w:tc>
          <w:tcPr>
            <w:tcW w:type="dxa" w:w="935"/>
          </w:tcPr>
          <w:p>
            <w:r>
              <w:rPr>
                <w:sz w:val="20"/>
              </w:rPr>
              <w:t>CI (vivant) — reporter après accouchement</w:t>
            </w:r>
          </w:p>
        </w:tc>
        <w:tc>
          <w:tcPr>
            <w:tcW w:type="dxa" w:w="935"/>
          </w:tcPr>
          <w:p>
            <w:r>
              <w:rPr>
                <w:sz w:val="20"/>
              </w:rPr>
              <w:t>NON_RENOUVELABLE</w:t>
            </w:r>
          </w:p>
        </w:tc>
      </w:tr>
      <w:tr>
        <w:tc>
          <w:tcPr>
            <w:tcW w:type="dxa" w:w="935"/>
          </w:tcPr>
          <w:p>
            <w:r>
              <w:rPr>
                <w:sz w:val="20"/>
              </w:rPr>
              <w:t>**Vaccin anti-hépatite B**</w:t>
            </w:r>
          </w:p>
        </w:tc>
        <w:tc>
          <w:tcPr>
            <w:tcW w:type="dxa" w:w="935"/>
          </w:tcPr>
          <w:p>
            <w:r>
              <w:rPr>
                <w:sz w:val="20"/>
              </w:rPr>
              <w:t>Recombinant</w:t>
            </w:r>
          </w:p>
        </w:tc>
        <w:tc>
          <w:tcPr>
            <w:tcW w:type="dxa" w:w="935"/>
          </w:tcPr>
          <w:p>
            <w:r>
              <w:rPr>
                <w:sz w:val="20"/>
              </w:rPr>
              <w:t>HBsAg recombinant (VLP produite sur levure *S. cerevisiae*)</w:t>
            </w:r>
          </w:p>
        </w:tc>
        <w:tc>
          <w:tcPr>
            <w:tcW w:type="dxa" w:w="935"/>
          </w:tcPr>
          <w:p>
            <w:r>
              <w:rPr>
                <w:sz w:val="20"/>
              </w:rPr>
              <w:t>Humorale T-dépendante (IgG anti-HBs)</w:t>
            </w:r>
          </w:p>
        </w:tc>
        <w:tc>
          <w:tcPr>
            <w:tcW w:type="dxa" w:w="935"/>
          </w:tcPr>
          <w:p>
            <w:r>
              <w:rPr>
                <w:sz w:val="20"/>
              </w:rPr>
              <w:t>IM (deltoïde ou cuisse)</w:t>
            </w:r>
          </w:p>
        </w:tc>
        <w:tc>
          <w:tcPr>
            <w:tcW w:type="dxa" w:w="935"/>
          </w:tcPr>
          <w:p>
            <w:r>
              <w:rPr>
                <w:sz w:val="20"/>
              </w:rPr>
              <w:t>3 doses à 0, 1, 6 mois (ou 0-2-4-6 PEV)</w:t>
            </w:r>
          </w:p>
        </w:tc>
        <w:tc>
          <w:tcPr>
            <w:tcW w:type="dxa" w:w="935"/>
          </w:tcPr>
          <w:p>
            <w:r>
              <w:rPr>
                <w:sz w:val="20"/>
              </w:rPr>
              <w:t>+2 °C à +8 °C (ne pas congeler)</w:t>
            </w:r>
          </w:p>
        </w:tc>
        <w:tc>
          <w:tcPr>
            <w:tcW w:type="dxa" w:w="935"/>
          </w:tcPr>
          <w:p>
            <w:r>
              <w:rPr>
                <w:sz w:val="20"/>
              </w:rPr>
              <w:t>Réaction locale, fièvre modérée, allergie levure (rare)</w:t>
            </w:r>
          </w:p>
        </w:tc>
        <w:tc>
          <w:tcPr>
            <w:tcW w:type="dxa" w:w="935"/>
          </w:tcPr>
          <w:p>
            <w:r>
              <w:rPr>
                <w:sz w:val="20"/>
              </w:rPr>
              <w:t>Compatible (recommandé si risque)</w:t>
            </w:r>
          </w:p>
        </w:tc>
        <w:tc>
          <w:tcPr>
            <w:tcW w:type="dxa" w:w="935"/>
          </w:tcPr>
          <w:p>
            <w:r>
              <w:rPr>
                <w:sz w:val="20"/>
              </w:rPr>
              <w:t>NON_RENOUVELABLE (forme pédiatrique)</w:t>
            </w:r>
          </w:p>
        </w:tc>
      </w:tr>
      <w:tr>
        <w:tc>
          <w:tcPr>
            <w:tcW w:type="dxa" w:w="935"/>
          </w:tcPr>
          <w:p>
            <w:r>
              <w:rPr>
                <w:sz w:val="20"/>
              </w:rPr>
              <w:t>**Vaccin antigrippal**</w:t>
            </w:r>
          </w:p>
        </w:tc>
        <w:tc>
          <w:tcPr>
            <w:tcW w:type="dxa" w:w="935"/>
          </w:tcPr>
          <w:p>
            <w:r>
              <w:rPr>
                <w:sz w:val="20"/>
              </w:rPr>
              <w:t>Inactivé fragmenté</w:t>
            </w:r>
          </w:p>
        </w:tc>
        <w:tc>
          <w:tcPr>
            <w:tcW w:type="dxa" w:w="935"/>
          </w:tcPr>
          <w:p>
            <w:r>
              <w:rPr>
                <w:sz w:val="20"/>
              </w:rPr>
              <w:t>Virion influenza fragmenté (HA + NA, 4 souches)</w:t>
            </w:r>
          </w:p>
        </w:tc>
        <w:tc>
          <w:tcPr>
            <w:tcW w:type="dxa" w:w="935"/>
          </w:tcPr>
          <w:p>
            <w:r>
              <w:rPr>
                <w:sz w:val="20"/>
              </w:rPr>
              <w:t>Humorale T-dépendante (IgG anti-HA)</w:t>
            </w:r>
          </w:p>
        </w:tc>
        <w:tc>
          <w:tcPr>
            <w:tcW w:type="dxa" w:w="935"/>
          </w:tcPr>
          <w:p>
            <w:r>
              <w:rPr>
                <w:sz w:val="20"/>
              </w:rPr>
              <w:t>IM (deltoïde) ou SC</w:t>
            </w:r>
          </w:p>
        </w:tc>
        <w:tc>
          <w:tcPr>
            <w:tcW w:type="dxa" w:w="935"/>
          </w:tcPr>
          <w:p>
            <w:r>
              <w:rPr>
                <w:sz w:val="20"/>
              </w:rPr>
              <w:t>1 dose annuelle (2 doses pour 1re vaccination enfant &lt; 9 ans)</w:t>
            </w:r>
          </w:p>
        </w:tc>
        <w:tc>
          <w:tcPr>
            <w:tcW w:type="dxa" w:w="935"/>
          </w:tcPr>
          <w:p>
            <w:r>
              <w:rPr>
                <w:sz w:val="20"/>
              </w:rPr>
              <w:t>+2 °C à +8 °C (ne pas congeler)</w:t>
            </w:r>
          </w:p>
        </w:tc>
        <w:tc>
          <w:tcPr>
            <w:tcW w:type="dxa" w:w="935"/>
          </w:tcPr>
          <w:p>
            <w:r>
              <w:rPr>
                <w:sz w:val="20"/>
              </w:rPr>
              <w:t>Réaction locale, fièvre, myalgies, céphalées, SGB (1/10⁶)</w:t>
            </w:r>
          </w:p>
        </w:tc>
        <w:tc>
          <w:tcPr>
            <w:tcW w:type="dxa" w:w="935"/>
          </w:tcPr>
          <w:p>
            <w:r>
              <w:rPr>
                <w:sz w:val="20"/>
              </w:rPr>
              <w:t>Compatible (recommandée à tout trimestre)</w:t>
            </w:r>
          </w:p>
        </w:tc>
        <w:tc>
          <w:tcPr>
            <w:tcW w:type="dxa" w:w="935"/>
          </w:tcPr>
          <w:p>
            <w:r>
              <w:rPr>
                <w:sz w:val="20"/>
              </w:rPr>
              <w:t>ACTIF (VAXIGRIP TETRA)</w:t>
            </w:r>
          </w:p>
        </w:tc>
      </w:tr>
      <w:tr>
        <w:tc>
          <w:tcPr>
            <w:tcW w:type="dxa" w:w="935"/>
          </w:tcPr>
          <w:p>
            <w:r>
              <w:rPr>
                <w:sz w:val="20"/>
              </w:rPr>
              <w:t>**Vaccin antiméningococcique ACWY**</w:t>
            </w:r>
          </w:p>
        </w:tc>
        <w:tc>
          <w:tcPr>
            <w:tcW w:type="dxa" w:w="935"/>
          </w:tcPr>
          <w:p>
            <w:r>
              <w:rPr>
                <w:sz w:val="20"/>
              </w:rPr>
              <w:t>Conjugué</w:t>
            </w:r>
          </w:p>
        </w:tc>
        <w:tc>
          <w:tcPr>
            <w:tcW w:type="dxa" w:w="935"/>
          </w:tcPr>
          <w:p>
            <w:r>
              <w:rPr>
                <w:sz w:val="20"/>
              </w:rPr>
              <w:t>Polyosides capsulaires A/C/W/Y conjugués à l'anatoxine tétanique</w:t>
            </w:r>
          </w:p>
        </w:tc>
        <w:tc>
          <w:tcPr>
            <w:tcW w:type="dxa" w:w="935"/>
          </w:tcPr>
          <w:p>
            <w:r>
              <w:rPr>
                <w:sz w:val="20"/>
              </w:rPr>
              <w:t>Humorale T-dépendante (IgG bactéricides + mémoire)</w:t>
            </w:r>
          </w:p>
        </w:tc>
        <w:tc>
          <w:tcPr>
            <w:tcW w:type="dxa" w:w="935"/>
          </w:tcPr>
          <w:p>
            <w:r>
              <w:rPr>
                <w:sz w:val="20"/>
              </w:rPr>
              <w:t>IM (deltoïde)</w:t>
            </w:r>
          </w:p>
        </w:tc>
        <w:tc>
          <w:tcPr>
            <w:tcW w:type="dxa" w:w="935"/>
          </w:tcPr>
          <w:p>
            <w:r>
              <w:rPr>
                <w:sz w:val="20"/>
              </w:rPr>
              <w:t>1 dose unique (2 doses + rappel pour nourrisson &lt; 2 ans)</w:t>
            </w:r>
          </w:p>
        </w:tc>
        <w:tc>
          <w:tcPr>
            <w:tcW w:type="dxa" w:w="935"/>
          </w:tcPr>
          <w:p>
            <w:r>
              <w:rPr>
                <w:sz w:val="20"/>
              </w:rPr>
              <w:t>+2 °C à +8 °C (ne pas congeler)</w:t>
            </w:r>
          </w:p>
        </w:tc>
        <w:tc>
          <w:tcPr>
            <w:tcW w:type="dxa" w:w="935"/>
          </w:tcPr>
          <w:p>
            <w:r>
              <w:rPr>
                <w:sz w:val="20"/>
              </w:rPr>
              <w:t>Réaction locale, fièvre, céphalées, syncope vaso-vagale (adolescent)</w:t>
            </w:r>
          </w:p>
        </w:tc>
        <w:tc>
          <w:tcPr>
            <w:tcW w:type="dxa" w:w="935"/>
          </w:tcPr>
          <w:p>
            <w:r>
              <w:rPr>
                <w:sz w:val="20"/>
              </w:rPr>
              <w:t>Compatible (si indication)</w:t>
            </w:r>
          </w:p>
        </w:tc>
        <w:tc>
          <w:tcPr>
            <w:tcW w:type="dxa" w:w="935"/>
          </w:tcPr>
          <w:p>
            <w:r>
              <w:rPr>
                <w:sz w:val="20"/>
              </w:rPr>
              <w:t>ACTIF (MENQUADFI)</w:t>
            </w:r>
          </w:p>
        </w:tc>
      </w:tr>
      <w:tr>
        <w:tc>
          <w:tcPr>
            <w:tcW w:type="dxa" w:w="935"/>
          </w:tcPr>
          <w:p>
            <w:r>
              <w:rPr>
                <w:sz w:val="20"/>
              </w:rPr>
              <w:t>**Vaccin anti-HPV 9-valent**</w:t>
            </w:r>
          </w:p>
        </w:tc>
        <w:tc>
          <w:tcPr>
            <w:tcW w:type="dxa" w:w="935"/>
          </w:tcPr>
          <w:p>
            <w:r>
              <w:rPr>
                <w:sz w:val="20"/>
              </w:rPr>
              <w:t>Recombinant (HPV)</w:t>
            </w:r>
          </w:p>
        </w:tc>
        <w:tc>
          <w:tcPr>
            <w:tcW w:type="dxa" w:w="935"/>
          </w:tcPr>
          <w:p>
            <w:r>
              <w:rPr>
                <w:sz w:val="20"/>
              </w:rPr>
              <w:t>VLP de protéine L1 des types HPV 6/11/16/18/31/33/45/52/58 (sur levure)</w:t>
            </w:r>
          </w:p>
        </w:tc>
        <w:tc>
          <w:tcPr>
            <w:tcW w:type="dxa" w:w="935"/>
          </w:tcPr>
          <w:p>
            <w:r>
              <w:rPr>
                <w:sz w:val="20"/>
              </w:rPr>
              <w:t>Humorale T-dépendante (IgG neutralisants anti-L1)</w:t>
            </w:r>
          </w:p>
        </w:tc>
        <w:tc>
          <w:tcPr>
            <w:tcW w:type="dxa" w:w="935"/>
          </w:tcPr>
          <w:p>
            <w:r>
              <w:rPr>
                <w:sz w:val="20"/>
              </w:rPr>
              <w:t>IM (deltoïde)</w:t>
            </w:r>
          </w:p>
        </w:tc>
        <w:tc>
          <w:tcPr>
            <w:tcW w:type="dxa" w:w="935"/>
          </w:tcPr>
          <w:p>
            <w:r>
              <w:rPr>
                <w:sz w:val="20"/>
              </w:rPr>
              <w:t>2 doses à 0 et 6–12 mois (9–14 ans) ou 3 doses à 0, 2, 6 mois (&gt; 14 ans)</w:t>
            </w:r>
          </w:p>
        </w:tc>
        <w:tc>
          <w:tcPr>
            <w:tcW w:type="dxa" w:w="935"/>
          </w:tcPr>
          <w:p>
            <w:r>
              <w:rPr>
                <w:sz w:val="20"/>
              </w:rPr>
              <w:t>+2 °C à +8 °C (ne pas congeler)</w:t>
            </w:r>
          </w:p>
        </w:tc>
        <w:tc>
          <w:tcPr>
            <w:tcW w:type="dxa" w:w="935"/>
          </w:tcPr>
          <w:p>
            <w:r>
              <w:rPr>
                <w:sz w:val="20"/>
              </w:rPr>
              <w:t>Réaction locale, syncope (jeune fille), céphalées</w:t>
            </w:r>
          </w:p>
        </w:tc>
        <w:tc>
          <w:tcPr>
            <w:tcW w:type="dxa" w:w="935"/>
          </w:tcPr>
          <w:p>
            <w:r>
              <w:rPr>
                <w:sz w:val="20"/>
              </w:rPr>
              <w:t>Non recommandée (précaution)</w:t>
            </w:r>
          </w:p>
        </w:tc>
        <w:tc>
          <w:tcPr>
            <w:tcW w:type="dxa" w:w="935"/>
          </w:tcPr>
          <w:p>
            <w:r>
              <w:rPr>
                <w:sz w:val="20"/>
              </w:rPr>
              <w:t>ACTIF (GARDASIL 9)</w:t>
            </w:r>
          </w:p>
        </w:tc>
      </w:tr>
      <w:tr>
        <w:tc>
          <w:tcPr>
            <w:tcW w:type="dxa" w:w="935"/>
          </w:tcPr>
          <w:p>
            <w:r>
              <w:rPr>
                <w:sz w:val="20"/>
              </w:rPr>
              <w:t>**Vaccin antipneumococcique 23-valent**</w:t>
            </w:r>
          </w:p>
        </w:tc>
        <w:tc>
          <w:tcPr>
            <w:tcW w:type="dxa" w:w="935"/>
          </w:tcPr>
          <w:p>
            <w:r>
              <w:rPr>
                <w:sz w:val="20"/>
              </w:rPr>
              <w:t>Polyosidique</w:t>
            </w:r>
          </w:p>
        </w:tc>
        <w:tc>
          <w:tcPr>
            <w:tcW w:type="dxa" w:w="935"/>
          </w:tcPr>
          <w:p>
            <w:r>
              <w:rPr>
                <w:sz w:val="20"/>
              </w:rPr>
              <w:t>Polyosides capsulaires purs de 23 sérotypes de *S. pneumoniae*</w:t>
            </w:r>
          </w:p>
        </w:tc>
        <w:tc>
          <w:tcPr>
            <w:tcW w:type="dxa" w:w="935"/>
          </w:tcPr>
          <w:p>
            <w:r>
              <w:rPr>
                <w:sz w:val="20"/>
              </w:rPr>
              <w:t>Humorale T-indépendante (IgM, peu de mémoire)</w:t>
            </w:r>
          </w:p>
        </w:tc>
        <w:tc>
          <w:tcPr>
            <w:tcW w:type="dxa" w:w="935"/>
          </w:tcPr>
          <w:p>
            <w:r>
              <w:rPr>
                <w:sz w:val="20"/>
              </w:rPr>
              <w:t>IM ou SC</w:t>
            </w:r>
          </w:p>
        </w:tc>
        <w:tc>
          <w:tcPr>
            <w:tcW w:type="dxa" w:w="935"/>
          </w:tcPr>
          <w:p>
            <w:r>
              <w:rPr>
                <w:sz w:val="20"/>
              </w:rPr>
              <w:t>1 dose à 65 ans (ou sujet à risque), rappel à 5 ans si risque élevé</w:t>
            </w:r>
          </w:p>
        </w:tc>
        <w:tc>
          <w:tcPr>
            <w:tcW w:type="dxa" w:w="935"/>
          </w:tcPr>
          <w:p>
            <w:r>
              <w:rPr>
                <w:sz w:val="20"/>
              </w:rPr>
              <w:t>+2 °C à +8 °C (ne pas congeler)</w:t>
            </w:r>
          </w:p>
        </w:tc>
        <w:tc>
          <w:tcPr>
            <w:tcW w:type="dxa" w:w="935"/>
          </w:tcPr>
          <w:p>
            <w:r>
              <w:rPr>
                <w:sz w:val="20"/>
              </w:rPr>
              <w:t>Réaction locale (étendue possible), fièvre, myalgies</w:t>
            </w:r>
          </w:p>
        </w:tc>
        <w:tc>
          <w:tcPr>
            <w:tcW w:type="dxa" w:w="935"/>
          </w:tcPr>
          <w:p>
            <w:r>
              <w:rPr>
                <w:sz w:val="20"/>
              </w:rPr>
              <w:t>Non recommandée (par prudence)</w:t>
            </w:r>
          </w:p>
        </w:tc>
        <w:tc>
          <w:tcPr>
            <w:tcW w:type="dxa" w:w="935"/>
          </w:tcPr>
          <w:p>
            <w:r>
              <w:rPr>
                <w:sz w:val="20"/>
              </w:rPr>
              <w:t>ACTIF (PNEUMOVAX)</w:t>
            </w:r>
          </w:p>
        </w:tc>
      </w:tr>
      <w:tr>
        <w:tc>
          <w:tcPr>
            <w:tcW w:type="dxa" w:w="935"/>
          </w:tcPr>
          <w:p>
            <w:r>
              <w:rPr>
                <w:sz w:val="20"/>
              </w:rPr>
              <w:t>**Vaccin anti-COVID-19 (Gam-COVID-Vac)**</w:t>
            </w:r>
          </w:p>
        </w:tc>
        <w:tc>
          <w:tcPr>
            <w:tcW w:type="dxa" w:w="935"/>
          </w:tcPr>
          <w:p>
            <w:r>
              <w:rPr>
                <w:sz w:val="20"/>
              </w:rPr>
              <w:t>ARNm/Vecteur viral</w:t>
            </w:r>
          </w:p>
        </w:tc>
        <w:tc>
          <w:tcPr>
            <w:tcW w:type="dxa" w:w="935"/>
          </w:tcPr>
          <w:p>
            <w:r>
              <w:rPr>
                <w:sz w:val="20"/>
              </w:rPr>
              <w:t>Ad26 (dose 1) + Ad5 (dose 2) porteurs du gène Spike SARS-CoV-2</w:t>
            </w:r>
          </w:p>
        </w:tc>
        <w:tc>
          <w:tcPr>
            <w:tcW w:type="dxa" w:w="935"/>
          </w:tcPr>
          <w:p>
            <w:r>
              <w:rPr>
                <w:sz w:val="20"/>
              </w:rPr>
              <w:t>Humorale + cellulaire (CD4+, CD8+ cytotoxiques)</w:t>
            </w:r>
          </w:p>
        </w:tc>
        <w:tc>
          <w:tcPr>
            <w:tcW w:type="dxa" w:w="935"/>
          </w:tcPr>
          <w:p>
            <w:r>
              <w:rPr>
                <w:sz w:val="20"/>
              </w:rPr>
              <w:t>IM (deltoïde)</w:t>
            </w:r>
          </w:p>
        </w:tc>
        <w:tc>
          <w:tcPr>
            <w:tcW w:type="dxa" w:w="935"/>
          </w:tcPr>
          <w:p>
            <w:r>
              <w:rPr>
                <w:sz w:val="20"/>
              </w:rPr>
              <w:t>2 doses à 21 jours + rappel à 6 mois</w:t>
            </w:r>
          </w:p>
        </w:tc>
        <w:tc>
          <w:tcPr>
            <w:tcW w:type="dxa" w:w="935"/>
          </w:tcPr>
          <w:p>
            <w:r>
              <w:rPr>
                <w:sz w:val="20"/>
              </w:rPr>
              <w:t>−20 °C (ou +2 °C à +8 °C après décongélation, stable 30 j)</w:t>
            </w:r>
          </w:p>
        </w:tc>
        <w:tc>
          <w:tcPr>
            <w:tcW w:type="dxa" w:w="935"/>
          </w:tcPr>
          <w:p>
            <w:r>
              <w:rPr>
                <w:sz w:val="20"/>
              </w:rPr>
              <w:t>Fièvre, myalgies, TTS (1/10⁵), myocardite (1/5×10⁴ jeunes hommes)</w:t>
            </w:r>
          </w:p>
        </w:tc>
        <w:tc>
          <w:tcPr>
            <w:tcW w:type="dxa" w:w="935"/>
          </w:tcPr>
          <w:p>
            <w:r>
              <w:rPr>
                <w:sz w:val="20"/>
              </w:rPr>
              <w:t>Compatible (recommandée à tout trimestre)</w:t>
            </w:r>
          </w:p>
        </w:tc>
        <w:tc>
          <w:tcPr>
            <w:tcW w:type="dxa" w:w="935"/>
          </w:tcPr>
          <w:p>
            <w:r>
              <w:rPr>
                <w:sz w:val="20"/>
              </w:rPr>
              <w:t>ACTIF (GAM-COVID-VAC)</w:t>
            </w:r>
          </w:p>
        </w:tc>
      </w:tr>
    </w:tbl>
    <w:p/>
    <w:p>
      <w:pPr>
        <w:pStyle w:val="Heading2"/>
      </w:pPr>
      <w:r>
        <w:t>174.9 Synthèse pédagogique — Messages clés à retenir pour l'étudiant en pharmacie</w:t>
      </w:r>
    </w:p>
    <w:p>
      <w:pPr>
        <w:pStyle w:val="ListNumber"/>
      </w:pPr>
      <w:r/>
      <w:r>
        <w:rPr>
          <w:b/>
        </w:rPr>
        <w:t>Diversité technologique des vaccins</w:t>
      </w:r>
      <w:r>
        <w:t xml:space="preserve"> : Les 7 classes vaccinales abordées dans ce chapitre illustrent l'évolution historique de la vaccinologie : vaccins vivants atténués (rougeole, XIXe siècle), vaccins inactivés fragmentés (grippe, années 1940), vaccins polyosidiques (pneumocoque, années 1970), vaccins recombinants sous-unité (hépatite B 1986, HPV 2006), vaccins conjugués (méningocoque ACWY, 2005), vaccins à ARNm et vecteur viral (COVID-19, 2020). Chaque technologie a ses avantages (immunogénicité, sécurité, facilité de production) et ses limites (immunogénicité réduite chez le nourrisson pour les polyosides, contre-indications chez l'immunodéprimé pour les vivants, coût élevé pour les ARNm). Le pharmacien doit maîtriser ces différences pour informer correctement le patient et orienter le prescripteur.</w:t>
      </w:r>
    </w:p>
    <w:p>
      <w:pPr>
        <w:pStyle w:val="ListNumber"/>
      </w:pPr>
      <w:r/>
      <w:r>
        <w:rPr>
          <w:b/>
        </w:rPr>
        <w:t>Mécanismes immunologiques fondamentaux</w:t>
      </w:r>
      <w:r>
        <w:t xml:space="preserve"> : La distinction clé entre vaccins T-indépendants (polyosides purs — pneumocoque 23-valent : réponse IgM sans mémoire, inefficace chez le nourrisson &lt; 2 ans, pas d'effet sur le portage) et vaccins T-dépendants (vaccins conjugués, recombinants, inactivés, vivants : réponse IgG + mémoire + effet sur le portage pour les conjugués) est essentielle pour comprendre les indications et les limites de chaque vaccin. Les vaccins vivants atténués induisent la réponse la plus complète (humorale + cellulaire CD4+/CD8+) mais sont contre-indiqués chez l'immunodéprimé et la femme enceinte. Les vaccins à ARNm/vecteur viral induisent également une double réponse humorale et cellulaire, avec l'avantage d'être utilisables chez l'immunodéprimé (pas de réplication).</w:t>
      </w:r>
    </w:p>
    <w:p>
      <w:pPr>
        <w:pStyle w:val="ListNumber"/>
      </w:pPr>
      <w:r/>
      <w:r>
        <w:rPr>
          <w:b/>
        </w:rPr>
        <w:t>Chaîne du froid : règle absolue</w:t>
      </w:r>
      <w:r>
        <w:t xml:space="preserve"> : Tous les vaccins doivent être conservés à +2 °C à +8 °C (réfrigérateur, jamais dans le compart congélateur sauf AMM spécifique), à l'abri de la lumière. Le vaccin anti-COVID-19 Gam-COVID-Vac fait exception (conservation à −20 °C, décongélation au réfrigérateur 24 h avant usage, stable 30 jours après décongélation, ne pas recongeler). La rupture de chaîne du froid entraîne une perte d'efficacité vaccinale (les antigènes protéiques sont dénaturés par la congélation, surtout pour les vaccins adsorbés sur aluminium). Le pharmacien d'officine doit vérifier la température du réfrigérateur chaque jour avec un thermomètre dédié, disposer d'un thermomètre à min/max, et utiliser des sacoches isothermes avec accumulateurs de froid pour le transport vers le lieu d'injection.</w:t>
      </w:r>
    </w:p>
    <w:p>
      <w:pPr>
        <w:pStyle w:val="ListNumber"/>
      </w:pPr>
      <w:r/>
      <w:r>
        <w:rPr>
          <w:b/>
        </w:rPr>
        <w:t>Vaccins vivants atténués = CI absolue chez l'immunodéprimé et la femme enceinte</w:t>
      </w:r>
      <w:r>
        <w:t xml:space="preserve"> : Le vaccin antirougeoleux (et par extension les vaccins ROR, BCG, fièvre jaune, varicelle) ne doit JAMAIS être administré à un patient immunodéprimé (corticothérapie &gt; 15 mg/j &gt; 2 semaines, chimiothérapie, radiothérapie, transplantation, anti-TNF, anti-CD20, VIH avec CD4 &lt; 200/mm³) ni à une femme enceinte (risque théorique de transmission fœtale, non documenté mais principe de précaution). Interroger systématiquement le patient sur son statut immunitaire et une éventuelle grossesse avant toute vaccination vivante.</w:t>
      </w:r>
    </w:p>
    <w:p>
      <w:pPr>
        <w:pStyle w:val="ListNumber"/>
      </w:pPr>
      <w:r/>
      <w:r>
        <w:rPr>
          <w:b/>
        </w:rPr>
        <w:t>Vaccin antirougeoleux : 2 doses obligatoires</w:t>
      </w:r>
      <w:r>
        <w:t xml:space="preserve"> : La première dose à 9 mois offre une protection de 85 % (interférence avec les anticorps maternels) ; la deuxième dose à 18 mois est indispensable pour vacciner les 5–10 % de non-répondeurs et atteindre une protection &gt; 95 %. La rougeole reste une cause majeure de mortalité infantile dans les pays à faible couverture vaccinale ; le pharmacien doit promouvoir la vaccination systématique des nourrissons. En Algérie, le vaccin antirougeoleux monovalent est NON_RENOUVELABLE dans la nomenclature (orientation vers les centres PEV publics ou les vaccins combinés ROR si disponibles à l'importation).</w:t>
      </w:r>
    </w:p>
    <w:p>
      <w:pPr>
        <w:pStyle w:val="ListNumber"/>
      </w:pPr>
      <w:r/>
      <w:r>
        <w:rPr>
          <w:b/>
        </w:rPr>
        <w:t>Vaccin anti-hépatite B : schéma 0-1-6 et dose de naissance</w:t>
      </w:r>
      <w:r>
        <w:t xml:space="preserve"> : Le schéma standard comprend 3 doses à 0, 1 et 6 mois (ou 0-2-4-6 mois selon le calendrier PEV algérien, avec dose de naissance). La dose de naissance (≤ 24 h, idéalement ≤ 12 h) chez le nouveau-né de mère AgHBs positive, associée aux immunoglobulines anti-HBs (IgHB), réduit le risque de transmission verticale de 90 % à 5–10 %. Le vaccin est compatible avec la grossesse et l'allaitement (à la différence des vaccins vivants). Le contrôle sérologique (anti-HBs ≥ 10 mUI/mL) n'est pas systématique chez le sujet immunocompétent, mais obligatoire chez les professionnels de santé, les dialysés et les immunodéprimés.</w:t>
      </w:r>
    </w:p>
    <w:p>
      <w:pPr>
        <w:pStyle w:val="ListNumber"/>
      </w:pPr>
      <w:r/>
      <w:r>
        <w:rPr>
          <w:b/>
        </w:rPr>
        <w:t>Vaccin antigrippal : campagne annuelle et sujets à risque</w:t>
      </w:r>
      <w:r>
        <w:t xml:space="preserve"> : La grippe saisonnière mute chaque année (drift antigénique), imposant une mise à jour annuelle de la composition du vaccin (selon les recommandations OMS) et une vaccination annuelle. Le vaccin VAXIGRIP TETRA (quadrivalent, Sanofi Pasteur) est le seul vaccin antigrippal ACTIF en Algérie. La vaccination est recommandée pour les sujets à risque : âge ≥ 65 ans, résidents en EHPAD, femmes enceintes (à partir du 2e trimestre selon l'OMS, à tout trimestre selon le CDC), patients atteints de maladies chroniques (respiratoires, cardiaques, rénales, hépatiques, diabète), immunodéprimés, personnel de santé, entourage familial de nourrissons &lt; 6 mois (cocooning), pèlerins du Hadj (obligation saoudienne), voyageurs en zone épidémique.</w:t>
      </w:r>
    </w:p>
    <w:p>
      <w:pPr>
        <w:pStyle w:val="ListNumber"/>
      </w:pPr>
      <w:r/>
      <w:r>
        <w:rPr>
          <w:b/>
        </w:rPr>
        <w:t>Vaccin anti-HPV : prévention du cancer et schéma adapté</w:t>
      </w:r>
      <w:r>
        <w:t xml:space="preserve"> : Le vaccin GARDASIL 9 (9-valent, Merck) couvre 90 % des types d'HPV oncogènes responsables des cancers du col, des cancers oropharyngés, anaux, vulvaires, vaginaux et péniens, ainsi que 90 % des verrues génitales (HPV 6, 11). Le schéma comporte 2 doses à 0 et 6–12 mois pour les 9–14 ans (avant le début de l'activité sexuelle — réponse immune optimale), 3 doses à 0, 2, 6 mois pour les 15–45 ans et les immunodéprimés. La vaccination des deux sexes (filles et garçons) est recommandée pour optimiser la couverture et l'immunité de groupe. La vaccination ne remplace pas le dépistage cytologique (frottis cervico-utérin), qui doit être poursuivi chez les femmes vaccinées.</w:t>
      </w:r>
    </w:p>
    <w:p>
      <w:pPr>
        <w:pStyle w:val="ListNumber"/>
      </w:pPr>
      <w:r/>
      <w:r>
        <w:rPr>
          <w:b/>
        </w:rPr>
        <w:t>Vaccin antiméningococcique ACWY : voyageurs, pèlerins, aspléniques, post-exposition</w:t>
      </w:r>
      <w:r>
        <w:t xml:space="preserve"> : Le vaccin MENQUADFI (conjugué à l'anatoxine tétanique, Sanofi Winthrop) couvre les sérogroupes A, C, W, Y mais PAS le sérogroupe B (cause la plus fréquente de méningite sporadique en Europe et en Algérie). Indications : pèlerins du Hadj (obligation saoudienne, validité 3 ans pour le visa), voyageurs en zone d'endémie (ceinture africaine de la méningite), asplénie, déficit en complément, contacts rapprochés d'un cas. Schéma : 1 dose unique (rappel à 5 ans si risque permanent) chez l'adulte et l'enfant &gt; 2 ans ; 2 doses à 8 semaines + rappel à 12 mois chez le nourrisson &lt; 2 ans. Prophylaxie post-exposition : vaccin + antibiothérapie (rifampicine, ciprofloxacine, ceftriaxone) dans les 24 h.</w:t>
      </w:r>
    </w:p>
    <w:p>
      <w:pPr>
        <w:pStyle w:val="ListNumber"/>
      </w:pPr>
      <w:r/>
      <w:r>
        <w:rPr>
          <w:b/>
        </w:rPr>
        <w:t>Vaccin antipneumococcique polyosidique 23-valent : sujet âgé et patients à risque</w:t>
      </w:r>
      <w:r>
        <w:t xml:space="preserve"> : Le vaccin PNEUMOVAX (polyoside pur, non conjugué, Merck) couvre 23 sérotypes (85–90 % des infections invasives chez l'adulte). Indications : sujet âgé ≥ 65 ans, asplénie, drépanocytose, BPCO, asthme sévère, insuffisance cardiaque, diabète, insuffisance rénale, cirrhose, immunodépression, VIH, néoplasie, splénectomie programmée (≥ 2 semaines avant), avant chimiothérapie. Schéma : 1 dose unique (rappel à 5 ans si risque élevé). Limites : pas d'effet sur le portage rhinopharyngé (pas d'immunité de groupe), pas de réponse chez le nourrisson &lt; 2 ans (utiliser le vaccin conjugué PCV13, non disponible en Algérie). Le vaccin ne remplace pas la vaccination antigrippale annuelle ni la vaccination anti-COVID-19.</w:t>
      </w:r>
    </w:p>
    <w:p>
      <w:pPr>
        <w:pStyle w:val="ListNumber"/>
      </w:pPr>
      <w:r/>
      <w:r>
        <w:rPr>
          <w:b/>
        </w:rPr>
        <w:t>Vaccin anti-COVID-19 : schéma adapté et surveillance des EI rares graves</w:t>
      </w:r>
      <w:r>
        <w:t xml:space="preserve"> : Le vaccin Gam-COVID-Vac (vecteur adénoviral hétérologue Ad26/Ad5, Gamaleya) est le seul vaccin anti-COVID-19 ACTIF en Algérie. Schéma : 2 doses IM à 21 jours (composant I = Ad26 à J0, composant II = Ad5 à J21), rappel à 6 mois (3 mois pour les immunodéprimés). Surveillance des EI rares mais graves : syndrome de thrombose-thrombopénie (TTS, 1/100 000 doses, surtout femmes &lt; 50 ans, à J5–J20, à suspecter devant thrombose inhabituelle + thrombopénie, JAMAIS d'héparine, utiliser danaparoïde ou fondaparinux), myocardite/péricardite (1/50 000 doses, surtout jeunes hommes &lt; 30 ans, à J2–J7, à suspecter devant douleur thoracique + dyspnée). Conservation à −20 °C (ou +2 °C à +8 °C après décongélation, stable 30 jours). Compatible avec la grossesse (recommandée à tout trimestre) et l'allaitement.</w:t>
      </w:r>
    </w:p>
    <w:p>
      <w:pPr>
        <w:pStyle w:val="ListNumber"/>
      </w:pPr>
      <w:r/>
      <w:r>
        <w:rPr>
          <w:b/>
        </w:rPr>
        <w:t>Disponibilité algérienne inégale des vaccins</w:t>
      </w:r>
      <w:r>
        <w:t xml:space="preserve"> : Sur les 7 vaccins abordés, 4 sont ACTIFS dans la nomenclature algérienne Avril 2026 (VAXIGRIP TETRA, MENQUADFI, GARDASIL 9, PNEUMOVAX, GAM-COVID-VAC — en réalité 5) et 2 sont NON_RENOUVELABLES (VACCIN ANTI-ROUGEOLE, HEBERBIOVAC HB PEDIATRIQUE). Le pharmacien doit connaître ces ruptures d'approvisionnement pour orienter les patients vers les centres PEV publics (vaccin antirougeoleux, vaccin anti-hépatite B du PEV) ou vers les structures appropriées. Les vaccins alternatifs non référencés en Algérie (ROR combiné, PCV13 conjugué pneumococcique, vaccin méningocoque B Bexsero, vaccins ARNm Pfizer-BioNTech et Moderna, vaccin AstraZeneca, vaccins adjuvés Fluad pour la grippe) doivent être mentionnés au patient pour information, mais ne peuvent pas être délivrés en officine privée en Algérie.</w:t>
      </w:r>
    </w:p>
    <w:p>
      <w:pPr>
        <w:pStyle w:val="ListNumber"/>
      </w:pPr>
      <w:r/>
      <w:r>
        <w:rPr>
          <w:b/>
        </w:rPr>
        <w:t>Communication au comptoir et éducation du patient</w:t>
      </w:r>
      <w:r>
        <w:t xml:space="preserve"> : Le pharmacien d'officine joue un rôle central dans la promotion de la vaccination, l'information sur les effets indésirables attendus (fièvre, myalgies, céphalées, réaction locale 24–48 h), la détection des signes devant faire consulter en urgence (dyspnée, douleur thoracique, thrombose, troubles neurologiques, éruption grave), la vérification du carnet de vaccination, et la traçabilité de la chaîne du froid. La désinformation vaccinale (peur de l'autisme avec le vaccin ROR, peur de la stérilité avec le vaccin anti-HPV, peur de la micro-puce avec le vaccin anti-COVID-19) doit être combattue par une information factuelle et bienveillante, basée sur les recommandations OMS, HAS, ANSM, CDC et les données scientifiques actualisées.</w:t>
      </w:r>
    </w:p>
    <w:p>
      <w:pPr>
        <w:pStyle w:val="ListNumber"/>
      </w:pPr>
      <w:r/>
      <w:r>
        <w:rPr>
          <w:b/>
        </w:rPr>
        <w:t>Pièges transversaux</w:t>
      </w:r>
      <w:r>
        <w:t xml:space="preserve"> : (a) Vaccins vivants = CI immunodépression et grossesse ; (b) chaîne du froid = +2 °C à +8 °C (sauf Gam-COVID-Vac à −20 °C) ; (c) vaccin polyosidique ≠ vaccin conjugué (pneumocoque 23-valent non immunogène chez le nourrisson &lt; 2 ans) ; (d) vaccin ACWY ne couvre pas le méningocoque B ; (e) vaccin GARDASIL 9 ne remplace pas le frottis cervico-utérin ; (f) vaccin anti-COVID-19 ne provoque pas la COVID-19 ; (g) vaccin antigrippal ne provoque pas la grippe ; (h) vaccin anti-hépatite B est compatible avec la grossesse (à la différence des vaccins vivants) ; (i) Gam-COVID-Vac : TTS = JAMAIS d'héparine ; (j) Vaccin antirougeoleux : prophylaxie post-exposition efficace dans les 72 h ; (k) Vaccin anti-HPV : schéma 2 doses chez les 9–14 ans, 3 doses chez les 15–45 ans ; (l) Vaccin antipneumococcique : rappel à 5 ans (pas de doses rapprochées — pas de booster et risque d'hypo-réponse).</w:t>
      </w:r>
    </w:p>
    <w:p>
      <w:pPr>
        <w:pStyle w:val="ListNumber"/>
      </w:pPr>
      <w:r/>
      <w:r>
        <w:rPr>
          <w:b/>
        </w:rPr>
        <w:t>Conclusion du Fascicule XVIII</w:t>
      </w:r>
      <w:r>
        <w:t xml:space="preserve"> : La vaccination constitue l'aboutissement logique du Fascicule XVIII Immunologie/Transplantation, en complément des immunosuppresseurs (chapitre 171), des anticorps anti-rejet et IgIV (chapitre 172) et des immunoglobulines spécifiques et substituts (chapitre 173). Là où les immunosuppresseurs réduisent l'immunité pour prévenir le rejet de greffe ou les maladies auto-immunes, les vaccins l'augmentent spécifiquement pour prévenir les infections futures. Cette dualité thérapeutique (immunosuppression vs immunostimulation) illustre la maîtrise moderne de l'immunité par la pharmacologie clinique, au service de la santé publique et de la médecine personnalisée. Le pharmacien algérien, en tant que professionnel de santé de proximité, est en première ligne pour promouvoir la vaccination, veiller à la chaîne du froid, détecter les contre-indications, et éduquer les patients à la prévention des maladies infectieuses et des cancers évitables par la vaccination.</w:t>
      </w:r>
    </w:p>
    <w:p>
      <w:r/>
      <w:r>
        <w:rPr>
          <w:b/>
        </w:rPr>
        <w:t>Fin du Chapitre 174 — Vaccins (Fascicule XVIII — Immunologie/Transplantation)</w:t>
      </w:r>
      <w:r/>
    </w:p>
    <w:sectPr w:rsidR="00FC693F" w:rsidRPr="0006063C" w:rsidSect="00034616">
      <w:headerReference w:type="default" r:id="rId9"/>
      <w:footerReference w:type="default" r:id="rId10"/>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06060"/>
        <w:sz w:val="18"/>
      </w:rPr>
      <w:t xml:space="preserve">Page </w:t>
    </w:r>
    <w:r>
      <w:rPr>
        <w:color w:val="606060"/>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0B3D91"/>
      </w:pBdr>
    </w:pPr>
    <w:r>
      <w:rPr>
        <w:rFonts w:ascii="Calibri" w:hAnsi="Calibri"/>
        <w:i/>
        <w:color w:val="606060"/>
        <w:sz w:val="18"/>
      </w:rPr>
      <w:t>Livre Technique de Pharmacologie Clinique — Immunologie/Transplantation en Algérie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3D91"/>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3D9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2E74B5"/>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