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6B2E8C"/>
          <w:sz w:val="56"/>
        </w:rPr>
        <w:t>NEUROLOGIE</w:t>
      </w:r>
    </w:p>
    <w:p>
      <w:pPr>
        <w:jc w:val="center"/>
      </w:pPr>
      <w:r>
        <w:rPr>
          <w:rFonts w:ascii="Calibri" w:hAnsi="Calibri"/>
          <w:b/>
          <w:i w:val="0"/>
          <w:color w:val="808080"/>
          <w:sz w:val="40"/>
        </w:rPr>
        <w:t>&amp;</w:t>
      </w:r>
    </w:p>
    <w:p>
      <w:pPr>
        <w:spacing w:after="120"/>
        <w:jc w:val="center"/>
      </w:pPr>
      <w:r>
        <w:rPr>
          <w:rFonts w:ascii="Calibri" w:hAnsi="Calibri"/>
          <w:b/>
          <w:i w:val="0"/>
          <w:color w:val="1F4E79"/>
          <w:sz w:val="52"/>
        </w:rPr>
        <w:t>ANTIÉPILEPTIQUES</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XI</w:t>
      </w:r>
    </w:p>
    <w:p>
      <w:pPr>
        <w:jc w:val="center"/>
      </w:pPr>
      <w:r>
        <w:rPr>
          <w:rFonts w:ascii="Calibri" w:hAnsi="Calibri"/>
          <w:b w:val="0"/>
          <w:i/>
          <w:color w:val="606060"/>
          <w:sz w:val="28"/>
        </w:rPr>
        <w:t>Neurologie et Antiépileptiques</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28 DCI traitées  •  250+ spécialités commerciales  •  5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ILAE • EAN • ECTRIMS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XI : Neurologie et Antiépileptiques</w:t>
      </w:r>
    </w:p>
    <w:p>
      <w:pPr>
        <w:pStyle w:val="Heading2"/>
      </w:pPr>
      <w:r>
        <w:t>Avant-propos et méthodologie du Fascicule XI</w:t>
      </w:r>
    </w:p>
    <w:p>
      <w:pPr>
        <w:pStyle w:val="Heading3"/>
      </w:pPr>
      <w:r>
        <w:t>1. Objet du fascicule</w:t>
      </w:r>
    </w:p>
    <w:p>
      <w:r>
        <w:t>Le présent fascicule constitue le onzième volet du traité technique de pharmacologie clinique destiné aux étudiants en pharmacie d'officine et aux praticiens exerçant sur le territoire algérien. Il poursuit la démarche engagée dans les Fascicules I-X en traitant de manière exhaustive les classes thérapeutiques neurologiques et antiépileptiques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Heading4"/>
      </w:pPr>
      <w:r>
        <w:t>2.1 Épilepsie</w:t>
      </w:r>
    </w:p>
    <w:p>
      <w:pPr>
        <w:pStyle w:val="ListBullet"/>
      </w:pPr>
      <w:r/>
      <w:r>
        <w:rPr>
          <w:b/>
        </w:rPr>
        <w:t>Prévalence</w:t>
      </w:r>
      <w:r>
        <w:t xml:space="preserve"> : 0.5-1 % de la population générale algérienne</w:t>
      </w:r>
    </w:p>
    <w:p>
      <w:pPr>
        <w:pStyle w:val="ListBullet"/>
      </w:pPr>
      <w:r/>
      <w:r>
        <w:rPr>
          <w:b/>
        </w:rPr>
        <w:t>Incidence</w:t>
      </w:r>
      <w:r>
        <w:t xml:space="preserve"> : 40-70 nouveaux cas/100 000 habitants/an</w:t>
      </w:r>
    </w:p>
    <w:p>
      <w:pPr>
        <w:pStyle w:val="ListBullet"/>
      </w:pPr>
      <w:r/>
      <w:r>
        <w:rPr>
          <w:b/>
        </w:rPr>
        <w:t>Types</w:t>
      </w:r>
      <w:r>
        <w:t xml:space="preserve"> : épilepsies partielles (60-70 %), généralisées (30-40 %), absences (5-10 %)</w:t>
      </w:r>
    </w:p>
    <w:p>
      <w:pPr>
        <w:pStyle w:val="ListBullet"/>
      </w:pPr>
      <w:r/>
      <w:r>
        <w:rPr>
          <w:b/>
        </w:rPr>
        <w:t>Traitement</w:t>
      </w:r>
      <w:r>
        <w:t xml:space="preserve"> : environ 70 % des épileptiques contrôlés par monothérapie ; 30 % épilepsies pharmacorésistantes</w:t>
      </w:r>
    </w:p>
    <w:p>
      <w:pPr>
        <w:pStyle w:val="ListBullet"/>
      </w:pPr>
      <w:r/>
      <w:r>
        <w:rPr>
          <w:b/>
        </w:rPr>
        <w:t>Marché algérien</w:t>
      </w:r>
      <w:r>
        <w:t xml:space="preserve"> : phénytoïne, phénobarbital, clonazépam disponibles (anciens) ; gabapentine, prégabaline, lévétiracétam, topiramate, lacosamide disponibles (modernes) ; oxcarbazépine NON_RENOUVELABLE ; éthosuximide RETIRÉ</w:t>
      </w:r>
    </w:p>
    <w:p>
      <w:pPr>
        <w:pStyle w:val="Heading4"/>
      </w:pPr>
      <w:r>
        <w:t>2.2 Sclérose en Plaques (SEP)</w:t>
      </w:r>
    </w:p>
    <w:p>
      <w:pPr>
        <w:pStyle w:val="ListBullet"/>
      </w:pPr>
      <w:r/>
      <w:r>
        <w:rPr>
          <w:b/>
        </w:rPr>
        <w:t>Prévalence</w:t>
      </w:r>
      <w:r>
        <w:t xml:space="preserve"> : 20-30 cas/100 000 habitants (Algérie = zone de prévalence modérée)</w:t>
      </w:r>
    </w:p>
    <w:p>
      <w:pPr>
        <w:pStyle w:val="ListBullet"/>
      </w:pPr>
      <w:r/>
      <w:r>
        <w:rPr>
          <w:b/>
        </w:rPr>
        <w:t>Sex ratio</w:t>
      </w:r>
      <w:r>
        <w:t xml:space="preserve"> : 2-3 femmes pour 1 homme</w:t>
      </w:r>
    </w:p>
    <w:p>
      <w:pPr>
        <w:pStyle w:val="ListBullet"/>
      </w:pPr>
      <w:r/>
      <w:r>
        <w:rPr>
          <w:b/>
        </w:rPr>
        <w:t>Âge de début</w:t>
      </w:r>
      <w:r>
        <w:t xml:space="preserve"> : 20-40 ans</w:t>
      </w:r>
    </w:p>
    <w:p>
      <w:pPr>
        <w:pStyle w:val="ListBullet"/>
      </w:pPr>
      <w:r/>
      <w:r>
        <w:rPr>
          <w:b/>
        </w:rPr>
        <w:t>Types</w:t>
      </w:r>
      <w:r>
        <w:t xml:space="preserve"> : SEP récurrente-rémittente (85 %), SEP progressive primaire (10-15 %), SEP progressive secondaire</w:t>
      </w:r>
    </w:p>
    <w:p>
      <w:pPr>
        <w:pStyle w:val="ListBullet"/>
      </w:pPr>
      <w:r/>
      <w:r>
        <w:rPr>
          <w:b/>
        </w:rPr>
        <w:t>Marché algérien</w:t>
      </w:r>
      <w:r>
        <w:t xml:space="preserve"> : interférons β, glatiramer, natalizumab, fingolimod, diméthyl fumarate, ocrélizumab, rituximab disponibles ; mitoxantrone NON_RENOUVELABLE ; cladribine absent</w:t>
      </w:r>
    </w:p>
    <w:p>
      <w:pPr>
        <w:pStyle w:val="Heading4"/>
      </w:pPr>
      <w:r>
        <w:t>2.3 Maladies neuromusculaires</w:t>
      </w:r>
    </w:p>
    <w:p>
      <w:pPr>
        <w:pStyle w:val="ListBullet"/>
      </w:pPr>
      <w:r/>
      <w:r>
        <w:rPr>
          <w:b/>
        </w:rPr>
        <w:t>Myasthénie</w:t>
      </w:r>
      <w:r>
        <w:t xml:space="preserve"> : prévalence 20-50 cas/million, traitement anticholinestérasique (pyridostigmine)</w:t>
      </w:r>
    </w:p>
    <w:p>
      <w:pPr>
        <w:pStyle w:val="ListBullet"/>
      </w:pPr>
      <w:r/>
      <w:r>
        <w:rPr>
          <w:b/>
        </w:rPr>
        <w:t>Amyotrophie Spinale (SMA)</w:t>
      </w:r>
      <w:r>
        <w:t xml:space="preserve"> : prévalence 1/10 000, nusinersen et risdiplam disponibles</w:t>
      </w:r>
    </w:p>
    <w:p>
      <w:pPr>
        <w:pStyle w:val="ListBullet"/>
      </w:pPr>
      <w:r/>
      <w:r>
        <w:rPr>
          <w:b/>
        </w:rPr>
        <w:t>Sclérose Latérale Amyotrophique (SLA)</w:t>
      </w:r>
      <w:r>
        <w:t xml:space="preserve"> : prévalence 5-7/100 000 — RILUZOLE NON disponible en Algérie (à signaler)</w:t>
      </w:r>
    </w:p>
    <w:p>
      <w:pPr>
        <w:pStyle w:val="Heading4"/>
      </w:pPr>
      <w:r>
        <w:t>2.4 Autres pathologies neurologiques</w:t>
      </w:r>
    </w:p>
    <w:p>
      <w:pPr>
        <w:pStyle w:val="ListBullet"/>
      </w:pPr>
      <w:r/>
      <w:r>
        <w:rPr>
          <w:b/>
        </w:rPr>
        <w:t>Maladie d'Alzheimer</w:t>
      </w:r>
      <w:r>
        <w:t xml:space="preserve"> : déjà traitée dans Fascicule X (donépézil, rivastigmine, mémantine)</w:t>
      </w:r>
    </w:p>
    <w:p>
      <w:pPr>
        <w:pStyle w:val="ListBullet"/>
      </w:pPr>
      <w:r/>
      <w:r>
        <w:rPr>
          <w:b/>
        </w:rPr>
        <w:t>Maladie de Parkinson</w:t>
      </w:r>
      <w:r>
        <w:t xml:space="preserve"> : déjà traitée dans Fascicule X (lévodopa, ropinirole, entacapone)</w:t>
      </w:r>
    </w:p>
    <w:p>
      <w:pPr>
        <w:pStyle w:val="ListBullet"/>
      </w:pPr>
      <w:r/>
      <w:r>
        <w:rPr>
          <w:b/>
        </w:rPr>
        <w:t>Vertiges</w:t>
      </w:r>
      <w:r>
        <w:t xml:space="preserve"> : bétahistine disponible</w:t>
      </w:r>
    </w:p>
    <w:p>
      <w:pPr>
        <w:pStyle w:val="ListBullet"/>
      </w:pPr>
      <w:r/>
      <w:r>
        <w:rPr>
          <w:b/>
        </w:rPr>
        <w:t>Troubles cognitifs vasculaires</w:t>
      </w:r>
      <w:r>
        <w:t xml:space="preserve"> : ginkgo biloba, citicoline disponibles</w:t>
      </w:r>
    </w:p>
    <w:p>
      <w:pPr>
        <w:pStyle w:val="Heading3"/>
      </w:pPr>
      <w:r>
        <w:t>3. Sources académiques mobilisées</w:t>
      </w:r>
    </w:p>
    <w:p>
      <w:pPr>
        <w:pStyle w:val="ListBullet"/>
      </w:pPr>
      <w:r/>
      <w:r>
        <w:rPr>
          <w:b/>
        </w:rPr>
        <w:t>VIDAL</w:t>
      </w:r>
      <w:r>
        <w:t xml:space="preserve"> : AMM, RCP, interactions</w:t>
      </w:r>
    </w:p>
    <w:p>
      <w:pPr>
        <w:pStyle w:val="ListBullet"/>
      </w:pPr>
      <w:r/>
      <w:r>
        <w:rPr>
          <w:b/>
        </w:rPr>
        <w:t>ANSM</w:t>
      </w:r>
      <w:r>
        <w:t xml:space="preserve"> : recommandations, mises en garde</w:t>
      </w:r>
    </w:p>
    <w:p>
      <w:pPr>
        <w:pStyle w:val="ListBullet"/>
      </w:pPr>
      <w:r/>
      <w:r>
        <w:rPr>
          <w:b/>
        </w:rPr>
        <w:t>Thériaque</w:t>
      </w:r>
      <w:r>
        <w:t xml:space="preserve"> : banque de données pharmaceutiques (CNHIM)</w:t>
      </w:r>
    </w:p>
    <w:p>
      <w:pPr>
        <w:pStyle w:val="ListBullet"/>
      </w:pPr>
      <w:r/>
      <w:r>
        <w:rPr>
          <w:b/>
        </w:rPr>
        <w:t>CRAT</w:t>
      </w:r>
      <w:r>
        <w:t xml:space="preserve"> : données grossesse et allaitement</w:t>
      </w:r>
    </w:p>
    <w:p>
      <w:pPr>
        <w:pStyle w:val="ListBullet"/>
      </w:pPr>
      <w:r/>
      <w:r>
        <w:rPr>
          <w:b/>
        </w:rPr>
        <w:t>ILAE (International League Against Epilepsy)</w:t>
      </w:r>
      <w:r>
        <w:t xml:space="preserve"> : guidelines épilepsie</w:t>
      </w:r>
    </w:p>
    <w:p>
      <w:pPr>
        <w:pStyle w:val="ListBullet"/>
      </w:pPr>
      <w:r/>
      <w:r>
        <w:rPr>
          <w:b/>
        </w:rPr>
        <w:t>EAN (European Academy of Neurology)</w:t>
      </w:r>
      <w:r>
        <w:t xml:space="preserve"> : guidelines SEP, neuromusculaires</w:t>
      </w:r>
    </w:p>
    <w:p>
      <w:pPr>
        <w:pStyle w:val="ListBullet"/>
      </w:pPr>
      <w:r/>
      <w:r>
        <w:rPr>
          <w:b/>
        </w:rPr>
        <w:t>ECTRIMS</w:t>
      </w:r>
      <w:r>
        <w:t xml:space="preserve"> : guidelines SEP</w:t>
      </w:r>
    </w:p>
    <w:p>
      <w:pPr>
        <w:pStyle w:val="ListBullet"/>
      </w:pPr>
      <w:r/>
      <w:r>
        <w:rPr>
          <w:b/>
        </w:rPr>
        <w:t>UpToDate, Micromedex, BMJ Best Practice, HAS</w:t>
      </w:r>
      <w:r>
        <w:t xml:space="preserve"> : référentiels internationaux</w:t>
      </w:r>
    </w:p>
    <w:p>
      <w:pPr>
        <w:pStyle w:val="Heading3"/>
      </w:pPr>
      <w:r>
        <w:t>4. Périmètre de ce fascicule</w:t>
      </w:r>
    </w:p>
    <w:p>
      <w:r>
        <w:t>Ce fascicule couvre les classes neurologiques suivantes :</w:t>
      </w:r>
    </w:p>
    <w:p>
      <w:pPr>
        <w:pStyle w:val="Heading4"/>
      </w:pPr>
      <w:r>
        <w:t>Antiépileptiques anciens et BZD d'urgence (5 DCI)</w:t>
      </w:r>
    </w:p>
    <w:p>
      <w:pPr>
        <w:pStyle w:val="ListNumber"/>
      </w:pPr>
      <w:r>
        <w:t>Sels sodiques (1) : phénytoïne</w:t>
      </w:r>
    </w:p>
    <w:p>
      <w:pPr>
        <w:pStyle w:val="ListNumber"/>
      </w:pPr>
      <w:r>
        <w:t>Barbituriques (1) : phénobarbital</w:t>
      </w:r>
    </w:p>
    <w:p>
      <w:pPr>
        <w:pStyle w:val="ListNumber"/>
      </w:pPr>
      <w:r>
        <w:t>Succinimides (1) : éthosuximide (RETRAIT)</w:t>
      </w:r>
    </w:p>
    <w:p>
      <w:pPr>
        <w:pStyle w:val="ListNumber"/>
      </w:pPr>
      <w:r>
        <w:t>BZD entretien (1) : clonazépam</w:t>
      </w:r>
    </w:p>
    <w:p>
      <w:pPr>
        <w:pStyle w:val="ListNumber"/>
      </w:pPr>
      <w:r>
        <w:t>BZD urgence (1) : diazépam, midazolam, lorazépam</w:t>
      </w:r>
    </w:p>
    <w:p>
      <w:pPr>
        <w:pStyle w:val="Heading4"/>
      </w:pPr>
      <w:r>
        <w:t>Antiépileptiques modernes (7 DCI)</w:t>
      </w:r>
    </w:p>
    <w:p>
      <w:pPr>
        <w:pStyle w:val="ListNumber"/>
      </w:pPr>
      <w:r>
        <w:t>Analogues GABA (1) : gabapentine</w:t>
      </w:r>
    </w:p>
    <w:p>
      <w:pPr>
        <w:pStyle w:val="ListNumber"/>
      </w:pPr>
      <w:r>
        <w:t>Analogues α2δ (1) : prégabaline</w:t>
      </w:r>
    </w:p>
    <w:p>
      <w:pPr>
        <w:pStyle w:val="ListNumber"/>
      </w:pPr>
      <w:r>
        <w:t>Analogues SV2A (1) : lévétiracétam</w:t>
      </w:r>
    </w:p>
    <w:p>
      <w:pPr>
        <w:pStyle w:val="ListNumber"/>
      </w:pPr>
      <w:r>
        <w:t>Multi-cibles (1) : topiramate</w:t>
      </w:r>
    </w:p>
    <w:p>
      <w:pPr>
        <w:pStyle w:val="ListNumber"/>
      </w:pPr>
      <w:r>
        <w:t>Dérivés carbamazépine (1) : oxcarbazépine (NON_RENOUVELABLE)</w:t>
      </w:r>
    </w:p>
    <w:p>
      <w:pPr>
        <w:pStyle w:val="ListNumber"/>
      </w:pPr>
      <w:r>
        <w:t>Canaux Na+ lents (1) : lacosamide</w:t>
      </w:r>
    </w:p>
    <w:p>
      <w:pPr>
        <w:pStyle w:val="ListNumber"/>
      </w:pPr>
      <w:r>
        <w:t>Inhibiteurs anhydrase carbonique (1) : acétazolamide</w:t>
      </w:r>
    </w:p>
    <w:p>
      <w:pPr>
        <w:pStyle w:val="Heading4"/>
      </w:pPr>
      <w:r>
        <w:t>Sclérose en Plaques (8 DCI)</w:t>
      </w:r>
    </w:p>
    <w:p>
      <w:pPr>
        <w:pStyle w:val="ListNumber"/>
      </w:pPr>
      <w:r>
        <w:t>Interférons β (1)</w:t>
      </w:r>
    </w:p>
    <w:p>
      <w:pPr>
        <w:pStyle w:val="ListNumber"/>
      </w:pPr>
      <w:r>
        <w:t>Immunomodulateurs (1) : glatiramer acétate</w:t>
      </w:r>
    </w:p>
    <w:p>
      <w:pPr>
        <w:pStyle w:val="ListNumber"/>
      </w:pPr>
      <w:r>
        <w:t>Anti-intégrine α4 (1) : natalizumab</w:t>
      </w:r>
    </w:p>
    <w:p>
      <w:pPr>
        <w:pStyle w:val="ListNumber"/>
      </w:pPr>
      <w:r>
        <w:t>Modulateurs S1P (1) : fingolimod</w:t>
      </w:r>
    </w:p>
    <w:p>
      <w:pPr>
        <w:pStyle w:val="ListNumber"/>
      </w:pPr>
      <w:r>
        <w:t>Fumarates (1) : diméthyl fumarate</w:t>
      </w:r>
    </w:p>
    <w:p>
      <w:pPr>
        <w:pStyle w:val="ListNumber"/>
      </w:pPr>
      <w:r>
        <w:t>Immunosuppresseurs (1) : mitoxantrone (NON_RENOUVELABLE)</w:t>
      </w:r>
    </w:p>
    <w:p>
      <w:pPr>
        <w:pStyle w:val="ListNumber"/>
      </w:pPr>
      <w:r>
        <w:t>Anti-CD20 (2) : ocrélizumab, rituximab</w:t>
      </w:r>
    </w:p>
    <w:p>
      <w:pPr>
        <w:pStyle w:val="Heading4"/>
      </w:pPr>
      <w:r>
        <w:t>Maladies neuromusculaires et immunothérapies (5 DCI)</w:t>
      </w:r>
    </w:p>
    <w:p>
      <w:pPr>
        <w:pStyle w:val="ListNumber"/>
      </w:pPr>
      <w:r>
        <w:t>Myasthénie anticholinestérasiques (2) : pyridostigmine, néostigmine</w:t>
      </w:r>
    </w:p>
    <w:p>
      <w:pPr>
        <w:pStyle w:val="ListNumber"/>
      </w:pPr>
      <w:r>
        <w:t>SMA antisens ARN (1) : nusinersen</w:t>
      </w:r>
    </w:p>
    <w:p>
      <w:pPr>
        <w:pStyle w:val="ListNumber"/>
      </w:pPr>
      <w:r>
        <w:t>SMA modulateurs épissage (1) : risdiplam</w:t>
      </w:r>
    </w:p>
    <w:p>
      <w:pPr>
        <w:pStyle w:val="ListNumber"/>
      </w:pPr>
      <w:r>
        <w:t>Immunoglobulines IV (1) : IgIV</w:t>
      </w:r>
    </w:p>
    <w:p>
      <w:pPr>
        <w:pStyle w:val="Heading4"/>
      </w:pPr>
      <w:r>
        <w:t>Antivertigineux et vasodilatateurs cérébraux (3 DCI)</w:t>
      </w:r>
    </w:p>
    <w:p>
      <w:pPr>
        <w:pStyle w:val="ListNumber"/>
      </w:pPr>
      <w:r>
        <w:t>Histaminergiques (1) : bétahistine</w:t>
      </w:r>
    </w:p>
    <w:p>
      <w:pPr>
        <w:pStyle w:val="ListNumber"/>
      </w:pPr>
      <w:r>
        <w:t>Phytothérapie (1) : ginkgo biloba</w:t>
      </w:r>
    </w:p>
    <w:p>
      <w:pPr>
        <w:pStyle w:val="ListNumber"/>
      </w:pPr>
      <w:r>
        <w:t>Précurseurs membranaires (1) : citicoline</w:t>
      </w:r>
    </w:p>
    <w:p>
      <w:r/>
      <w:r>
        <w:rPr>
          <w:b/>
        </w:rPr>
        <w:t>Total : 28 DCI canoniques</w:t>
      </w:r>
      <w:r>
        <w:t xml:space="preserve"> traitées individuellement, représentant plus de </w:t>
      </w:r>
      <w:r>
        <w:rPr>
          <w:b/>
        </w:rPr>
        <w:t>250 spécialités commerciales</w:t>
      </w:r>
      <w:r>
        <w:t>.</w:t>
      </w:r>
    </w:p>
    <w:p>
      <w:pPr>
        <w:pStyle w:val="Heading2"/>
      </w:pPr>
      <w:r>
        <w:t>Sommaire général du Fascicule XI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91</w:t>
            </w:r>
          </w:p>
        </w:tc>
        <w:tc>
          <w:tcPr>
            <w:tcW w:type="dxa" w:w="3118"/>
          </w:tcPr>
          <w:p>
            <w:r>
              <w:rPr>
                <w:sz w:val="20"/>
              </w:rPr>
              <w:t>Antiépileptiques anciens et benzodiazépines d'urgence</w:t>
            </w:r>
          </w:p>
        </w:tc>
        <w:tc>
          <w:tcPr>
            <w:tcW w:type="dxa" w:w="3118"/>
          </w:tcPr>
          <w:p>
            <w:r>
              <w:rPr>
                <w:sz w:val="20"/>
              </w:rPr>
              <w:t>5</w:t>
            </w:r>
          </w:p>
        </w:tc>
      </w:tr>
      <w:tr>
        <w:tc>
          <w:tcPr>
            <w:tcW w:type="dxa" w:w="3118"/>
          </w:tcPr>
          <w:p>
            <w:r>
              <w:rPr>
                <w:sz w:val="20"/>
              </w:rPr>
              <w:t>92</w:t>
            </w:r>
          </w:p>
        </w:tc>
        <w:tc>
          <w:tcPr>
            <w:tcW w:type="dxa" w:w="3118"/>
          </w:tcPr>
          <w:p>
            <w:r>
              <w:rPr>
                <w:sz w:val="20"/>
              </w:rPr>
              <w:t>Antiépileptiques modernes</w:t>
            </w:r>
          </w:p>
        </w:tc>
        <w:tc>
          <w:tcPr>
            <w:tcW w:type="dxa" w:w="3118"/>
          </w:tcPr>
          <w:p>
            <w:r>
              <w:rPr>
                <w:sz w:val="20"/>
              </w:rPr>
              <w:t>7</w:t>
            </w:r>
          </w:p>
        </w:tc>
      </w:tr>
      <w:tr>
        <w:tc>
          <w:tcPr>
            <w:tcW w:type="dxa" w:w="3118"/>
          </w:tcPr>
          <w:p>
            <w:r>
              <w:rPr>
                <w:sz w:val="20"/>
              </w:rPr>
              <w:t>93</w:t>
            </w:r>
          </w:p>
        </w:tc>
        <w:tc>
          <w:tcPr>
            <w:tcW w:type="dxa" w:w="3118"/>
          </w:tcPr>
          <w:p>
            <w:r>
              <w:rPr>
                <w:sz w:val="20"/>
              </w:rPr>
              <w:t>Sclérose en Plaques (SEP)</w:t>
            </w:r>
          </w:p>
        </w:tc>
        <w:tc>
          <w:tcPr>
            <w:tcW w:type="dxa" w:w="3118"/>
          </w:tcPr>
          <w:p>
            <w:r>
              <w:rPr>
                <w:sz w:val="20"/>
              </w:rPr>
              <w:t>8</w:t>
            </w:r>
          </w:p>
        </w:tc>
      </w:tr>
      <w:tr>
        <w:tc>
          <w:tcPr>
            <w:tcW w:type="dxa" w:w="3118"/>
          </w:tcPr>
          <w:p>
            <w:r>
              <w:rPr>
                <w:sz w:val="20"/>
              </w:rPr>
              <w:t>94</w:t>
            </w:r>
          </w:p>
        </w:tc>
        <w:tc>
          <w:tcPr>
            <w:tcW w:type="dxa" w:w="3118"/>
          </w:tcPr>
          <w:p>
            <w:r>
              <w:rPr>
                <w:sz w:val="20"/>
              </w:rPr>
              <w:t>Maladies neuromusculaires et immunothérapies</w:t>
            </w:r>
          </w:p>
        </w:tc>
        <w:tc>
          <w:tcPr>
            <w:tcW w:type="dxa" w:w="3118"/>
          </w:tcPr>
          <w:p>
            <w:r>
              <w:rPr>
                <w:sz w:val="20"/>
              </w:rPr>
              <w:t>5</w:t>
            </w:r>
          </w:p>
        </w:tc>
      </w:tr>
      <w:tr>
        <w:tc>
          <w:tcPr>
            <w:tcW w:type="dxa" w:w="3118"/>
          </w:tcPr>
          <w:p>
            <w:r>
              <w:rPr>
                <w:sz w:val="20"/>
              </w:rPr>
              <w:t>95</w:t>
            </w:r>
          </w:p>
        </w:tc>
        <w:tc>
          <w:tcPr>
            <w:tcW w:type="dxa" w:w="3118"/>
          </w:tcPr>
          <w:p>
            <w:r>
              <w:rPr>
                <w:sz w:val="20"/>
              </w:rPr>
              <w:t>Antivertigineux et vasodilatateurs cérébraux</w:t>
            </w:r>
          </w:p>
        </w:tc>
        <w:tc>
          <w:tcPr>
            <w:tcW w:type="dxa" w:w="3118"/>
          </w:tcPr>
          <w:p>
            <w:r>
              <w:rPr>
                <w:sz w:val="20"/>
              </w:rPr>
              <w:t>3</w:t>
            </w:r>
          </w:p>
        </w:tc>
      </w:tr>
      <w:tr>
        <w:tc>
          <w:tcPr>
            <w:tcW w:type="dxa" w:w="3118"/>
          </w:tcPr>
          <w:p>
            <w:r>
              <w:rPr>
                <w:sz w:val="20"/>
              </w:rPr>
              <w:t>**Total**</w:t>
            </w:r>
          </w:p>
        </w:tc>
        <w:tc>
          <w:tcPr>
            <w:tcW w:type="dxa" w:w="3118"/>
          </w:tcPr>
          <w:p>
            <w:r>
              <w:rPr>
                <w:sz w:val="20"/>
              </w:rPr>
            </w:r>
          </w:p>
        </w:tc>
        <w:tc>
          <w:tcPr>
            <w:tcW w:type="dxa" w:w="3118"/>
          </w:tcPr>
          <w:p>
            <w:r>
              <w:rPr>
                <w:sz w:val="20"/>
              </w:rPr>
              <w:t>**28**</w:t>
            </w:r>
          </w:p>
        </w:tc>
      </w:tr>
    </w:tbl>
    <w:p/>
    <w:p>
      <w:pPr>
        <w:pStyle w:val="Heading1"/>
      </w:pPr>
      <w:r>
        <w:t>Fascicule XI — Neurologie / Antiépileptiques</w:t>
      </w:r>
    </w:p>
    <w:p>
      <w:pPr>
        <w:pStyle w:val="Heading2"/>
      </w:pPr>
      <w:r>
        <w:t>Chapitre 91 — Antiépileptiques anciens (sels sodiques, barbituriques, succinimides) et Benzodiazépines antiépileptiques (entretien + urgence)</w:t>
      </w:r>
    </w:p>
    <w:p>
      <w:pPr>
        <w:pStyle w:val="Heading2"/>
      </w:pPr>
      <w:r>
        <w:t>Introduction du Chapitre 91</w:t>
      </w:r>
    </w:p>
    <w:p>
      <w:r>
        <w:t>L'épilepsie est l'une des affections neurologiques chroniques les plus fréquentes : sa prévalence mondiale est estimée à environ 0,5 à 1 % de la population générale, et l'Organisation Mondiale de la Santé (OMS) recense près de 50 millions de personnes épileptiques dans le monde. En Algérie, les données épidémiologiques disponibles (registres hospitalo-universitaires d'Alger, Oran et Constantine) suggèrent une prévalence de l'ordre de 5 à 8 pour 1000 habitants, ce qui correspond à environ 200 000 à 300 000 patients épileptiques pris en charge ou non. La prise en charge pharmacologique de l'épilepsie repose sur les antiépileptiques (AE), encore appelés anticonvulsivants ou anticomitiaux, dont l'arsenal thérapeutique s'est considérablement enrichi depuis la synthèse du bromure (1857) et de la phénobarbital (1912, Hauptmann).</w:t>
      </w:r>
    </w:p>
    <w:p>
      <w:r>
        <w:t>Le présent chapitre (Chapitre 91) constitue le premier volet du Fascicule XI dédié aux Antiépileptiques. Il couvre les molécules « historiques » ou « de première génération » ainsi que les benzodiazépines antiépileptiques, à savoir :</w:t>
      </w:r>
    </w:p>
    <w:p>
      <w:pPr>
        <w:pStyle w:val="ListNumber"/>
      </w:pPr>
      <w:r/>
      <w:r>
        <w:rPr>
          <w:b/>
        </w:rPr>
        <w:t>Les sels sodiques anciens</w:t>
      </w:r>
      <w:r>
        <w:t xml:space="preserve"> : la </w:t>
      </w:r>
      <w:r>
        <w:rPr>
          <w:b/>
        </w:rPr>
        <w:t>phénytoïne</w:t>
      </w:r>
      <w:r>
        <w:t xml:space="preserve"> (hydantoïne), introduite en 1938 par Merritt et Putnam, paradigme de la cinétique de Michaelis-Menten (cinétique non linéaire d'ordre zéro) et du blocage use-dependent des canaux sodiques voltage-dépendants.</w:t>
      </w:r>
    </w:p>
    <w:p>
      <w:pPr>
        <w:pStyle w:val="ListNumber"/>
      </w:pPr>
      <w:r/>
      <w:r>
        <w:rPr>
          <w:b/>
        </w:rPr>
        <w:t>Les barbituriques anciens</w:t>
      </w:r>
      <w:r>
        <w:t xml:space="preserve"> : le </w:t>
      </w:r>
      <w:r>
        <w:rPr>
          <w:b/>
        </w:rPr>
        <w:t>phénobarbital</w:t>
      </w:r>
      <w:r>
        <w:t xml:space="preserve"> (1912), structurellement dérivé de l'acide barbiturique, agoniste modulateur allostérique du récepteur GABA-A (site distinct de celui des benzodiazépines, à hauteur du channel pore du chlorure) et puissant inducteur enzymatique à large spectre (CYP3A4, CYP2C9, CYP2C19, UGT1A4, ALA-synthétase).</w:t>
      </w:r>
    </w:p>
    <w:p>
      <w:pPr>
        <w:pStyle w:val="ListNumber"/>
      </w:pPr>
      <w:r/>
      <w:r>
        <w:rPr>
          <w:b/>
        </w:rPr>
        <w:t>Les succinimides</w:t>
      </w:r>
      <w:r>
        <w:t xml:space="preserve"> : l'</w:t>
      </w:r>
      <w:r>
        <w:rPr>
          <w:b/>
        </w:rPr>
        <w:t>éthosuximide</w:t>
      </w:r>
      <w:r>
        <w:t xml:space="preserve"> (1958, Pfizer), bloqueur spécifique des canaux calciques voltage-dépendants de type T (thalamiques) — molécule *historiquement* de choix pour les épilepsies-absences de l'enfant, mais aujourd'hui </w:t>
      </w:r>
      <w:r>
        <w:rPr>
          <w:b/>
        </w:rPr>
        <w:t>retirée du marché algérien</w:t>
      </w:r>
      <w:r>
        <w:t>, ce qui impose le recours aux alternatives (acide valproïque, lamotrigine).</w:t>
      </w:r>
    </w:p>
    <w:p>
      <w:pPr>
        <w:pStyle w:val="ListNumber"/>
      </w:pPr>
      <w:r/>
      <w:r>
        <w:rPr>
          <w:b/>
        </w:rPr>
        <w:t>Les benzodiazépines antiépileptiques d'entretien</w:t>
      </w:r>
      <w:r>
        <w:t xml:space="preserve"> : le </w:t>
      </w:r>
      <w:r>
        <w:rPr>
          <w:b/>
        </w:rPr>
        <w:t>clonazépam</w:t>
      </w:r>
      <w:r>
        <w:t xml:space="preserve"> (Rivotril®, Roche 1969), BZD à longue demi-vie d'élimination (20-50 h) et à courte demi-vie d'action centrale, indiqué dans les épilepsies partielles et généralisées résistantes, les myoclonies et les crises myocloniques progressives, ainsi que dans les troubles anxieux (hors-sujet ici).</w:t>
      </w:r>
    </w:p>
    <w:p>
      <w:pPr>
        <w:pStyle w:val="ListNumber"/>
      </w:pPr>
      <w:r/>
      <w:r>
        <w:rPr>
          <w:b/>
        </w:rPr>
        <w:t>Les benzodiazépines antiépileptiques d'urgence</w:t>
      </w:r>
      <w:r>
        <w:t xml:space="preserve"> : le groupe </w:t>
      </w:r>
      <w:r>
        <w:rPr>
          <w:b/>
        </w:rPr>
        <w:t>diazépam, midazolam, lorazépam</w:t>
      </w:r>
      <w:r>
        <w:t xml:space="preserve">, qui constituent le traitement de </w:t>
      </w:r>
      <w:r>
        <w:rPr>
          <w:b/>
        </w:rPr>
        <w:t>première intention de l'état de mal épileptique</w:t>
      </w:r>
      <w:r>
        <w:t xml:space="preserve"> (EME) — urgence vitale absolue engageant le pronostic fonctionnel et vital, avec une mortalité à 30 jours atteignant 10-20 % chez l'adulte et jusqu'à 30 % chez le sujet âgé.</w:t>
      </w:r>
    </w:p>
    <w:p>
      <w:r>
        <w:t xml:space="preserve">Ce chapitre s'inscrit dans la continuité des Fascicules IX et X (Psychiatrie/Psychotropes — dont anxiolytiques/hypnotiques qui couvrent déjà les benzodiazépines dans leur composante « anxiolytique »), mais s'en distingue par la focalisation </w:t>
      </w:r>
      <w:r>
        <w:rPr>
          <w:b/>
        </w:rPr>
        <w:t>antiépileptique</w:t>
      </w:r>
      <w:r>
        <w:t xml:space="preserve"> du clonazépam et des BZD d'urgence. Les chapitres suivants (Chapitre 92 — AE modernes : acide valproïque, carbamazépine, oxcarbazépine, lamotrigine, gabapentine, prégabaline, lévétiracétam, topiramate, zonisamide, etc. ; Chapitre 93 — sclérose en plaques ; Chapitre 94 — neuromusculaires ; Chapitre 95 — vertiges/vaso-cérébraux) prolongeront l'exploration de la neuropharmacologie clinique.</w:t>
      </w:r>
    </w:p>
    <w:p>
      <w:r>
        <w:t>Sources principales : VIDAL 2026, ANSM (résumés des caractéristiques du produit — RCP), Thériaque, CRAT (Centre Renseignements sur les Agents Tératogènes), ILAE (International League Against Epilepsy), NICE (National Institute for Health and Care Excellence — CG137), AAN (American Academy of Neurology), EMEA/EMA assessment reports, UpToDate, Micromedex, Goodman &amp; Gilman 13e éd., Katzung 15e éd., Stahl 5e éd., nomenclature algérienne Avril 2026.</w:t>
      </w:r>
    </w:p>
    <w:p>
      <w:pPr>
        <w:pStyle w:val="Heading2"/>
      </w:pPr>
      <w:r>
        <w:t>Sous-classe 1 — Antiépileptiques anciens (sels sodiques) — Phénytoïne</w:t>
      </w:r>
    </w:p>
    <w:p>
      <w:r>
        <w:t xml:space="preserve">La sous-classe des </w:t>
      </w:r>
      <w:r>
        <w:rPr>
          <w:b/>
        </w:rPr>
        <w:t>antiépileptiques anciens de type sels sodiques</w:t>
      </w:r>
      <w:r>
        <w:t xml:space="preserve"> est dominée historiquement par la </w:t>
      </w:r>
      <w:r>
        <w:rPr>
          <w:b/>
        </w:rPr>
        <w:t>phénytoïne</w:t>
      </w:r>
      <w:r>
        <w:t xml:space="preserve"> (diphénylhydantoïne), introduite en 1938 par Merritt et Putnam à Boston comme alternative non sédative au phénobarbital — propriété révolutionnaire à l'époque et qui explique l'adoption massive de la molécule dans les décennies suivantes. La phénytoïne reste, malgré le développement d'AE plus modernes et mieux tolérés, un outil thérapeutique de référence dans certaines indications spécifiques (crises partielles et généralisées tonico-cloniques de l'adulte, état de mal épileptique après échec des BZD, épilepsie partielle pharmaco-résistante en association). Sa principale caractéristique pharmacocinétique est la </w:t>
      </w:r>
      <w:r>
        <w:rPr>
          <w:b/>
        </w:rPr>
        <w:t>cinétique non linéaire de type Michaelis-Menten</w:t>
      </w:r>
      <w:r>
        <w:t xml:space="preserve"> : au-delà d'un certain seuil de dose (autour de 300 mg/jour chez l'adulte moyen), une augmentation minime de posologie peut provoquer un emballement toxique spectaculaire (encéphalopathie, ataxie sévère, nystagmus) — justifiant le moniteur thérapeutique obligatoire (gamme thérapeutique 10-20 mg/L, soit 40-80 µmol/L). Sa principale caractéristique pharmacodynamique est le blocage </w:t>
      </w:r>
      <w:r>
        <w:rPr>
          <w:b/>
        </w:rPr>
        <w:t>use-dependent</w:t>
      </w:r>
      <w:r>
        <w:t xml:space="preserve"> (dépendant de la fréquence d'ouverture) des canaux sodiques voltage-dépendants, qui explique sa sélectivité d'action pour les neurones en activité paroxystique (crise) avec préservation relative de l'activité de fond. La phénytoïne est aussi un inducteur enzymatique modéré (CYP3A4, CYP2C9, CYP2C19, UGT1A4) à l'origine de très nombreuses interactions médicamenteuses, notamment avec la contraception orale, les anticoagulants oraux (warfarine), les autres antiépileptiques, les antirétroviraux et la chimiothérapie anticancéreuse. Sa tératogénicité (syndrome fœtal de l'hydantoïne — environ 10 % des exposés in utero avec craniofacial dysmorphisme, hypoplasie des phalanges distales, retard psychomoteur) et ses effets indésirables cosmétiques (hyperplasie gingivale dans 30-50 % des cas, hirsutisme, acné, hyperséborrhée) en font aujourd'hui un antiépileptique de deuxième intention chez la femme en âge de procréer. Sa prescription impose un suivi multidimensionnel : clinique (examen neurologique et bucco-dentaire), biologique (NFS, bilan hépatique, ionogramme, calcémie, phosphorémie, 25-OH-vitamine D, phénytoïnémie), et thérapeutique (interactions, observance).</w:t>
      </w:r>
    </w:p>
    <w:p>
      <w:pPr>
        <w:pStyle w:val="Heading3"/>
      </w:pPr>
      <w:r>
        <w:t>1. DCI : Phénytoïne (Seule)</w:t>
      </w:r>
    </w:p>
    <w:p>
      <w:r/>
      <w:r>
        <w:rPr>
          <w:b/>
        </w:rPr>
        <w:t>Liste des Catégories :</w:t>
      </w:r>
      <w:r>
        <w:t xml:space="preserve"> Antiépileptiques — Anciens (sels sodiques) ; Antiépileptiques (générique) ; Liste II (stupéfiants non, mais prescription limitée) ; Médicament à surveillance thérapeutique obligatoire (TDM) ; Inducteur enzymatique modéré ; Tératogène (syndrome fœtal hydantoïne — catégorie D de l'ANCAP / CRAT : « à éviter »).</w:t>
      </w:r>
    </w:p>
    <w:p>
      <w:r>
        <w:t>La phénytoïne (5,5-diphénylimidazolidine-2,4-dione, ou diphénylhydantoïne) est l'antiépileptique historique paradigmatique de la cinétique de Michaelis-Menten (cinétique non linéaire d'ordre zéro — saturation des enzymes de métabolisation hépatique CYP2C9 et CYP2C19). Son index thérapeutique est étroit (10-20 mg/L) ; sa demi-vie d'élimination varie de 7 à 60 h selon la dose et le statut métabolique du patient ; sa liaison aux protéines plasmatiques est élevée (&gt; 90 %, principalement l'albumine) — d'où des interactions par déplacement protéique avec la valproate, l'aspirine à forte dose, les sulfamides antibactériens. C'est un inducteur enzymatique modéré mais cliniquement significatif (CYP3A4, CYP2C9, CYP2C19, UGT1A4, P-glycoprotéine) à l'origine de plus de 200 interactions médicamenteuses décrites. La phénytoïne traverse librement le placenta et est excrétée dans le lait maternel.</w:t>
      </w:r>
    </w:p>
    <w:p>
      <w:r/>
      <w:r>
        <w:rPr>
          <w:b/>
        </w:rPr>
        <w:t>Médicaments disponibles en Algérie (Marques, Laboratoires, Formes et Dosages) :</w:t>
      </w:r>
      <w:r/>
    </w:p>
    <w:p>
      <w:pPr>
        <w:pStyle w:val="ListBullet"/>
      </w:pPr>
      <w:r/>
      <w:r>
        <w:rPr>
          <w:b/>
        </w:rPr>
        <w:t>FENTEX</w:t>
      </w:r>
      <w:r>
        <w:t xml:space="preserve"> (MS PHARMA-JORDAN)</w:t>
      </w:r>
    </w:p>
    <w:p>
      <w:pPr>
        <w:pStyle w:val="ListBullet"/>
      </w:pPr>
      <w:r>
        <w:t>Formes et Dosages : Solution injectable IM/IV, 250 mg/5 mL (50 mg/mL) — conditionnement B/05 flacons 5 mL et B/10 flacons 5 mL</w:t>
      </w:r>
    </w:p>
    <w:p>
      <w:pPr>
        <w:pStyle w:val="ListBullet"/>
      </w:pPr>
      <w:r>
        <w:t xml:space="preserve">Statut : </w:t>
      </w:r>
      <w:r>
        <w:rPr>
          <w:b/>
        </w:rPr>
        <w:t>Actif</w:t>
      </w:r>
      <w:r/>
    </w:p>
    <w:p>
      <w:pPr>
        <w:pStyle w:val="ListBullet"/>
      </w:pPr>
      <w:r/>
      <w:r>
        <w:rPr>
          <w:b/>
        </w:rPr>
        <w:t>DI-HYDAN</w:t>
      </w:r>
      <w:r>
        <w:t xml:space="preserve"> (GENOPHARM)</w:t>
      </w:r>
    </w:p>
    <w:p>
      <w:pPr>
        <w:pStyle w:val="ListBullet"/>
      </w:pPr>
      <w:r>
        <w:t>Formes et Dosages : Comprimé sécable 100 mg — conditionnement B/60</w:t>
      </w:r>
    </w:p>
    <w:p>
      <w:pPr>
        <w:pStyle w:val="ListBullet"/>
      </w:pPr>
      <w:r>
        <w:t xml:space="preserve">Statut : </w:t>
      </w:r>
      <w:r>
        <w:rPr>
          <w:b/>
        </w:rPr>
        <w:t>Non Renouvelable</w:t>
      </w:r>
      <w:r/>
    </w:p>
    <w:p>
      <w:pPr>
        <w:pStyle w:val="ListBullet"/>
      </w:pPr>
      <w:r/>
      <w:r>
        <w:rPr>
          <w:b/>
        </w:rPr>
        <w:t>PHENYTOINE CPCM</w:t>
      </w:r>
      <w:r>
        <w:t xml:space="preserve"> (CHIMIE PHARMACIE COMMERCE MULTIPLE SARL — CPCM)</w:t>
      </w:r>
    </w:p>
    <w:p>
      <w:pPr>
        <w:pStyle w:val="ListBullet"/>
      </w:pPr>
      <w:r>
        <w:t>Formes et Dosages : Comprimé pelliculé 100 mg — conditionnement B/60</w:t>
      </w:r>
    </w:p>
    <w:p>
      <w:pPr>
        <w:pStyle w:val="ListBullet"/>
      </w:pPr>
      <w:r>
        <w:t xml:space="preserve">Statut : </w:t>
      </w:r>
      <w:r>
        <w:rPr>
          <w:b/>
        </w:rPr>
        <w:t>Retiré (R)</w:t>
      </w:r>
      <w:r/>
    </w:p>
    <w:p>
      <w:pPr>
        <w:pStyle w:val="ListBullet"/>
      </w:pPr>
      <w:r/>
      <w:r>
        <w:rPr>
          <w:b/>
        </w:rPr>
        <w:t>EPILAN D</w:t>
      </w:r>
      <w:r>
        <w:t xml:space="preserve"> (GEROT)</w:t>
      </w:r>
    </w:p>
    <w:p>
      <w:pPr>
        <w:pStyle w:val="ListBullet"/>
      </w:pPr>
      <w:r>
        <w:t>Formes et Dosages : Comprimé 100 mg — conditionnement B/100</w:t>
      </w:r>
    </w:p>
    <w:p>
      <w:pPr>
        <w:pStyle w:val="ListBullet"/>
      </w:pPr>
      <w:r>
        <w:t xml:space="preserve">Statut : </w:t>
      </w:r>
      <w:r>
        <w:rPr>
          <w:b/>
        </w:rPr>
        <w:t>Retiré (R)</w:t>
      </w:r>
      <w:r/>
    </w:p>
    <w:p>
      <w:r/>
      <w:r>
        <w:rPr>
          <w:i/>
        </w:rPr>
        <w:t>Note : la phénytoïne injectable (FENTEX, MS Pharma Jordan) est la seule présentation active IV/IM disponible en Algérie ; elle est essentielle pour la prise en charge de l'état de mal épileptique réfractaire après échec des benzodiazépines, et pour la neuro-prophylaxie post-traumatique crânien grave. Les comprimés étant soit non renouvelables (DI-HYDAN Genopharm), soit retirés (PHENYTOINE CPCM, EPILAN D Gerot), l'approvisionnement en forme orale est aujourd'hui précaire en Algérie — toute prescription de phénytoïne orale doit s'assurer de la disponibilité du stock pharmaceutique et anticiper le recours éventuel à l'importation ou à la substitution par un autre antiépileptique moderne (valproate, lamotrigine, lévétiracétam).</w:t>
      </w:r>
      <w:r/>
    </w:p>
    <w:p>
      <w:r/>
      <w:r>
        <w:rPr>
          <w:b/>
        </w:rPr>
        <w:t>Sous-classe et Mécanisme d'action :</w:t>
      </w:r>
      <w:r/>
    </w:p>
    <w:p>
      <w:pPr>
        <w:pStyle w:val="ListBullet"/>
      </w:pPr>
      <w:r>
        <w:t>Sous-classe : Antiépileptiques anciens — hydantoïnes (sels sodiques). Au sein de la classification IA d'efficacité (AE « large spectre » actifs sur crises partielles et généralisées tonico-cloniques), la phénytoïne occupe une place historique de référence mais est aujourd'hui supplantée en première intention par les molécules plus modernes et mieux tolérées (valproate, lamotrigine, lévétiracétam). Elle reste utile en 2e/3e intention et dans des contextes spécifiques (état de mal réfractaire, prophylaxie post-traumatique).</w:t>
      </w:r>
    </w:p>
    <w:p>
      <w:pPr>
        <w:pStyle w:val="ListBullet"/>
      </w:pPr>
      <w:r>
        <w:t xml:space="preserve">Mécanisme d'action : </w:t>
      </w:r>
      <w:r>
        <w:rPr>
          <w:b/>
        </w:rPr>
        <w:t>Blocage use-dependent des canaux sodiques voltage-dépendants (Nav1.1, Nav1.2, Nav1.3, Nav1.6 cérébraux)</w:t>
      </w:r>
      <w:r>
        <w:t>. La phénytoïne se lie préférentiellement à l'état inactivé du canal Na+ (state-dependent binding), ce qui ralentit la phase de récupération (recovery from inactivation) et diminue la capacité du neurone à émettre des décharges paroxystiques répétitives à haute fréquence (typiques de la crise d'épilepsie) tout en préservant l'activité électrique de fond à fréquence physiologique. Cette sélectivité « use-dependent » est le fondement de l'efficacité antiépileptique sans sédation centrale majeure. Mécanismes additionnels : blocage des canaux calciques voltage-dépendants de type L (à forte dose) ; inhibition de la libération présynaptique de glutamate (réduction de l'excitotoxicité) ; modulation des récepteurs GABA-A (potentialisation modeste à faible concentration, inhibition à forte concentration). L'effet net est une stabilisation de la membrane neuronale avec élévation du seuil épileptogène et limitation de la propagation de la décharge.</w:t>
      </w:r>
    </w:p>
    <w:p>
      <w:r/>
      <w:r>
        <w:rPr>
          <w:b/>
        </w:rPr>
        <w:t>Profil Pharmacologique :</w:t>
      </w:r>
      <w:r/>
    </w:p>
    <w:p>
      <w:pPr>
        <w:pStyle w:val="ListBullet"/>
      </w:pPr>
      <w:r>
        <w:t>Indications :</w:t>
      </w:r>
    </w:p>
    <w:p>
      <w:pPr>
        <w:pStyle w:val="ListBullet"/>
      </w:pPr>
      <w:r>
        <w:t>Épilepsies partielles (simples, complexes, secondairement généralisées) de l'adulte et de l'enfant, en monothérapie ou en association.</w:t>
      </w:r>
    </w:p>
    <w:p>
      <w:pPr>
        <w:pStyle w:val="ListBullet"/>
      </w:pPr>
      <w:r>
        <w:t>Épilepsies généralisées tonico-cloniques (grand mal) de l'adulte.</w:t>
      </w:r>
    </w:p>
    <w:p>
      <w:pPr>
        <w:pStyle w:val="ListBullet"/>
      </w:pPr>
      <w:r>
        <w:t>État de mal épileptique réfractaire aux benzodiazépines (phénytoïne IV, après diazépam/midazolam/lorazépam, avant recours à l'anesthésie générale propofol/thiopental).</w:t>
      </w:r>
    </w:p>
    <w:p>
      <w:pPr>
        <w:pStyle w:val="ListBullet"/>
      </w:pPr>
      <w:r>
        <w:t>Prophylaxie des crises post-traumatiques crâniennes graves (schéma européen : 100 mg × 3/jour pendant 7 jours selon la fiche SOFFMER).</w:t>
      </w:r>
    </w:p>
    <w:p>
      <w:pPr>
        <w:pStyle w:val="ListBullet"/>
      </w:pPr>
      <w:r>
        <w:t>Crises partielles pharmaco-résistantes en association (en complément d'un autre AE).</w:t>
      </w:r>
    </w:p>
    <w:p>
      <w:pPr>
        <w:pStyle w:val="ListBullet"/>
      </w:pPr>
      <w:r>
        <w:t>Hors-AMM : névralgie du trijumeau (alternative à la carbamazépine — indication historique), certains troubles du rythme cardiaque (antiarythmique de classe Ib — digitalique, mais usage largement abandonné).</w:t>
      </w:r>
    </w:p>
    <w:p>
      <w:pPr>
        <w:pStyle w:val="ListBullet"/>
      </w:pPr>
      <w:r>
        <w:t>Contre-indications :</w:t>
      </w:r>
    </w:p>
    <w:p>
      <w:pPr>
        <w:pStyle w:val="ListBullet"/>
      </w:pPr>
      <w:r>
        <w:t>Bloc auriculo-ventriculaire (BAV) de haut degré non appareillé.</w:t>
      </w:r>
    </w:p>
    <w:p>
      <w:pPr>
        <w:pStyle w:val="ListBullet"/>
      </w:pPr>
      <w:r>
        <w:t>Bradycardie sinusale sévère (&lt; 40 bpm) — risque de blocage complet.</w:t>
      </w:r>
    </w:p>
    <w:p>
      <w:pPr>
        <w:pStyle w:val="ListBullet"/>
      </w:pPr>
      <w:r>
        <w:t>Insuffisance cardiaque congestive décompensée (effet inotrope négatif de la phénytoïne IV).</w:t>
      </w:r>
    </w:p>
    <w:p>
      <w:pPr>
        <w:pStyle w:val="ListBullet"/>
      </w:pPr>
      <w:r>
        <w:t>Porphyrie intermittente aiguë (induction enzymatique aggrave la maladie).</w:t>
      </w:r>
    </w:p>
    <w:p>
      <w:pPr>
        <w:pStyle w:val="ListBullet"/>
      </w:pPr>
      <w:r>
        <w:t>Grossesse (à éviter sauf impossibilité absolue — syndrome fœtal hydantoïne).</w:t>
      </w:r>
    </w:p>
    <w:p>
      <w:pPr>
        <w:pStyle w:val="ListBullet"/>
      </w:pPr>
      <w:r>
        <w:t>Allaitement (à éviter — excrétion lactée significative).</w:t>
      </w:r>
    </w:p>
    <w:p>
      <w:pPr>
        <w:pStyle w:val="ListBullet"/>
      </w:pPr>
      <w:r>
        <w:t>Hypersensibilité connue à la phénytoïne, aux autres hydantoïnes (fosphytoïne), ou à l'un des excipients (propylène glycol de la forme IV — toxicité propre).</w:t>
      </w:r>
    </w:p>
    <w:p>
      <w:pPr>
        <w:pStyle w:val="ListBullet"/>
      </w:pPr>
      <w:r>
        <w:t>Précautions : insuffisance hépatique (adaptation posologique), insuffisance rénale (surveillance accrue car accumulation du métabolite HPPA), hypoprotidémie (adaptation selon phénytoïnémie libre), sujet âgé (réduction posologique initiale).</w:t>
      </w:r>
    </w:p>
    <w:p>
      <w:pPr>
        <w:pStyle w:val="ListBullet"/>
      </w:pPr>
      <w:r>
        <w:t>Effets indésirables :</w:t>
      </w:r>
    </w:p>
    <w:p>
      <w:pPr>
        <w:pStyle w:val="ListBullet"/>
      </w:pPr>
      <w:r/>
      <w:r>
        <w:rPr>
          <w:b/>
        </w:rPr>
        <w:t>Neurologiques dose-dépendants</w:t>
      </w:r>
      <w:r>
        <w:t xml:space="preserve"> (corrélation directe avec la phénytoïnémie) : nystagmus horizontal (&gt; 20 mg/L), ataxie cérébelleuse (&gt; 30 mg/L — dysmétrie, démarche ébrieuse), dysarthrie, tremblement, confusion, encéphalopathie (&gt; 40 mg/L — possible aggravation paradoxicale des crises à doses toxiques), vertiges, somnolence, diplopie.</w:t>
      </w:r>
    </w:p>
    <w:p>
      <w:pPr>
        <w:pStyle w:val="ListBullet"/>
      </w:pPr>
      <w:r/>
      <w:r>
        <w:rPr>
          <w:b/>
        </w:rPr>
        <w:t>Cutanéo-muqueux et cosmétiques</w:t>
      </w:r>
      <w:r>
        <w:t xml:space="preserve"> : hyperplasie gingivale (30-50 % des traitements prolongés — début à 3 mois, max à 6-9 mois ; prévention par hygiène buccodentaire rigoureuse et massage gingival) ; hirsutisme (5-10 %, particulièrement gênant chez la femme) ; acné exacerbée ; hyperséborrhée ; hyperpigmentation cutanée ; rash maculopapuleux bénin (5-10 %), exceptionnellement Stevens-Johnson (SJS) ou syndrome de Lyell (NET) — l'allèle HLA-B*1502 (populations asiatiques) est associé à un risque accru.</w:t>
      </w:r>
    </w:p>
    <w:p>
      <w:pPr>
        <w:pStyle w:val="ListBullet"/>
      </w:pPr>
      <w:r/>
      <w:r>
        <w:rPr>
          <w:b/>
        </w:rPr>
        <w:t>Hématologiques</w:t>
      </w:r>
      <w:r>
        <w:t xml:space="preserve"> : leucopénie, thrombopénie, anémie mégaloblastique (par antagonisme de l'acide folique — supplémentation systématique), anémie aplasique (rare mais grave), lymphadenopathie, pseudolymphome.</w:t>
      </w:r>
    </w:p>
    <w:p>
      <w:pPr>
        <w:pStyle w:val="ListBullet"/>
      </w:pPr>
      <w:r/>
      <w:r>
        <w:rPr>
          <w:b/>
        </w:rPr>
        <w:t>Métaboliques et endocriniens</w:t>
      </w:r>
      <w:r>
        <w:t xml:space="preserve"> : hypocalcémie, ostéomalacie (par induction du catabolisme de la vitamine D — supplémentation en vitamine D3), hyperglycémie (inhibition de la sécrétion d'insuline), hyponatrémie (SIADH — rare).</w:t>
      </w:r>
    </w:p>
    <w:p>
      <w:pPr>
        <w:pStyle w:val="ListBullet"/>
      </w:pPr>
      <w:r/>
      <w:r>
        <w:rPr>
          <w:b/>
        </w:rPr>
        <w:t>Hépatiques</w:t>
      </w:r>
      <w:r>
        <w:t xml:space="preserve"> : cytolyse (5-10 %), hépatite immuno-allergique (rare, parfois grave avec fièvre, éruption, éosinophilie).</w:t>
      </w:r>
    </w:p>
    <w:p>
      <w:pPr>
        <w:pStyle w:val="ListBullet"/>
      </w:pPr>
      <w:r/>
      <w:r>
        <w:rPr>
          <w:b/>
        </w:rPr>
        <w:t>Immunologiques</w:t>
      </w:r>
      <w:r>
        <w:t xml:space="preserve"> : syndrome d'hypersensibilité médicamenteuse (DRESS — Drug Rash with Eosinophilia and Systemic Symptoms) dans 1/1000 à 1/10 000 ; lupus induit (rare).</w:t>
      </w:r>
    </w:p>
    <w:p>
      <w:pPr>
        <w:pStyle w:val="ListBullet"/>
      </w:pPr>
      <w:r/>
      <w:r>
        <w:rPr>
          <w:b/>
        </w:rPr>
        <w:t>Cardiovasculaires (forme IV)</w:t>
      </w:r>
      <w:r>
        <w:t xml:space="preserve"> : hypotension (propylène glycol comme solvant), bradycardie sinusale, troubles de la conduction (élargissement du QRS, allongement du PR), arrêt cardiaque si injection trop rapide (règle stricte : &lt; 50 mg/min IV adulte, &lt; 1-3 mg/kg/min enfant).</w:t>
      </w:r>
    </w:p>
    <w:p>
      <w:pPr>
        <w:pStyle w:val="ListBullet"/>
      </w:pPr>
      <w:r/>
      <w:r>
        <w:rPr>
          <w:b/>
        </w:rPr>
        <w:t>Tératogénicité</w:t>
      </w:r>
      <w:r>
        <w:t xml:space="preserve"> : syndrome fœtal de l'hydantoïne — environ 5-10 % de malformations majeures (fente labio-palatine, malformations cardiaques, hypoplasie des phalanges distales) et 30 % de traits dysmorphiques mineurs (craniofacial dysmorphisme, hypoplasie du nez, céphalées occipitales).</w:t>
      </w:r>
    </w:p>
    <w:p>
      <w:r/>
      <w:r>
        <w:rPr>
          <w:b/>
        </w:rPr>
        <w:t>Prévention et Gestion des Effets Indésirables :</w:t>
      </w:r>
      <w:r/>
    </w:p>
    <w:p>
      <w:pPr>
        <w:pStyle w:val="ListBullet"/>
      </w:pPr>
      <w:r>
        <w:t>Mesures préventives :</w:t>
      </w:r>
    </w:p>
    <w:p>
      <w:pPr>
        <w:pStyle w:val="ListBullet"/>
      </w:pPr>
      <w:r>
        <w:t>Surveillance thérapeutique (TDM) systématique : phénytoïnémie à l'équilibre (5 demi-vies soit environ 7-15 jours après initiation ou changement de dose), gamme thérapeutique 10-20 mg/L (40-80 µmol/L). Renforcement de la surveillance en cas d'association à la valproate (déplacement protéique), en cas de modification de posologie, en cas d'ajout/retrait d'un médicament interacting, en cas de grossesse (chute de la phénytoïnémie par expansion volémique — augmentation des doses nécessaires), chez le sujet âgé et l'insuffisant rénal/hépatique.</w:t>
      </w:r>
    </w:p>
    <w:p>
      <w:pPr>
        <w:pStyle w:val="ListBullet"/>
      </w:pPr>
      <w:r>
        <w:t>Bilan pré-thérapeutique : NFS-plaquettes, bilan hépatique (ALAT/ASAT/GGT/palidité), ionogramme, calcémie, phosphorémie, 25-OH-vitamine D, parathormone, ECG (détection BAV, bradycardie), examen dentaire pré-thérapeutique avec détartrage.</w:t>
      </w:r>
    </w:p>
    <w:p>
      <w:pPr>
        <w:pStyle w:val="ListBullet"/>
      </w:pPr>
      <w:r>
        <w:t xml:space="preserve">Supplémentation systématique en </w:t>
      </w:r>
      <w:r>
        <w:rPr>
          <w:b/>
        </w:rPr>
        <w:t>acide folique 5 mg/jour</w:t>
      </w:r>
      <w:r>
        <w:t xml:space="preserve"> chez toute femme en âge de procréer (prévention anémie mégaloblastique et tératogénicité), et en </w:t>
      </w:r>
      <w:r>
        <w:rPr>
          <w:b/>
        </w:rPr>
        <w:t>vitamine D3 800-2000 UI/jour</w:t>
      </w:r>
      <w:r>
        <w:t xml:space="preserve"> (prévention ostéomalacie).</w:t>
      </w:r>
    </w:p>
    <w:p>
      <w:pPr>
        <w:pStyle w:val="ListBullet"/>
      </w:pPr>
      <w:r>
        <w:t>Examen dentaire tous les 6 mois avec détartrage ; hygiène buccodentaire rigoureuse (brossage après chaque repas, brossette interdentaire) ; massage gingival quotidien ; consultation parodontologique précoce si début d'hyperplasie.</w:t>
      </w:r>
    </w:p>
    <w:p>
      <w:pPr>
        <w:pStyle w:val="ListBullet"/>
      </w:pPr>
      <w:r>
        <w:t>Éviter l'injection IV trop rapide (risque cardiaque : bradycardie, hypotension, arrêt cardiaque — règle : &lt; 50 mg/min soit 1 mg/kg/min chez l'adulte, perfusion diluée dans NaCl 0,9 % — jamais en glucose 5 % car précipitation immédiate).</w:t>
      </w:r>
    </w:p>
    <w:p>
      <w:pPr>
        <w:pStyle w:val="ListBullet"/>
      </w:pPr>
      <w:r>
        <w:t>Conduite à tenir :</w:t>
      </w:r>
    </w:p>
    <w:p>
      <w:pPr>
        <w:pStyle w:val="ListBullet"/>
      </w:pPr>
      <w:r>
        <w:t>En cas d'ataxie/nystagmus/confusion : dosage urgent de la phénytoïnémie (résultat en 2-4 h), diminution posologique de 25-50 %, surveillance clinique en milieu hospitalier.</w:t>
      </w:r>
    </w:p>
    <w:p>
      <w:pPr>
        <w:pStyle w:val="ListBullet"/>
      </w:pPr>
      <w:r>
        <w:t>En cas de DRESS : arrêt immédiat et définitif (cross-réaction possible avec fosphytoïne — ne pas réintroduire), hospitalisation en dermatologie/médecine interne, corticothérapie générale discutée.</w:t>
      </w:r>
    </w:p>
    <w:p>
      <w:pPr>
        <w:pStyle w:val="ListBullet"/>
      </w:pPr>
      <w:r>
        <w:t>En cas de rush cutané bénin : arrêt transitoire, réintroduction prudente à dose réduite avec surveillance ; en cas de récidive ou de signe de sévérité (bulles, décollement, fièvre) — arrêt définitif.</w:t>
      </w:r>
    </w:p>
    <w:p>
      <w:pPr>
        <w:pStyle w:val="ListBullet"/>
      </w:pPr>
      <w:r>
        <w:t>En cas d'hyperplasie gingivale débutante : renforcement hygiène, chlorhexidine 0,12 % bain de bouche, consultation parodontologique ; en cas de gêne fonctionnelle ou esthétique : gingivectomie chirurgicale ; arrêt du traitement si possible (switch vers un AE moderne sans effet gingival).</w:t>
      </w:r>
    </w:p>
    <w:p>
      <w:pPr>
        <w:pStyle w:val="ListBullet"/>
      </w:pPr>
      <w:r>
        <w:t>En cas de grossesse planifiée : switch thérapeutique pré-conceptionnel vers lamotrigine ou lévétiracétam (profil tératogène plus favorable) ; si grossesse survenue sous phénytoïne : ne pas arrêter brutalement (risque de mal convulsif), orienter en consultation spécialisée neurologie-périnatale, supplementation acide folique 5 mg/j, surveillance échographique spécialisée.</w:t>
      </w:r>
    </w:p>
    <w:p>
      <w:pPr>
        <w:pStyle w:val="ListBullet"/>
      </w:pPr>
      <w:r>
        <w:t>En cas de surdosage massif (phénytoïnémie &gt; 40 mg/L) : hospitalisation USI/réanimation, arrêt transitoire, réintroduction à dose réduite après normalisation ; hemodialysis inefficace (liaison protéique élevée).</w:t>
      </w:r>
    </w:p>
    <w:p>
      <w:r/>
      <w:r>
        <w:rPr>
          <w:b/>
        </w:rPr>
        <w:t>Interactions Importantes :</w:t>
      </w:r>
      <w:r/>
    </w:p>
    <w:p>
      <w:pPr>
        <w:pStyle w:val="ListBullet"/>
      </w:pPr>
      <w:r/>
      <w:r>
        <w:rPr>
          <w:b/>
        </w:rPr>
        <w:t>Phénytoïne + inducteurs enzymatiques</w:t>
      </w:r>
      <w:r>
        <w:t xml:space="preserve"> : rifampicine, rifabutine, isoniazide (attention, l'INH peut aussi INHIBER le métabolisme de la phénytoïne — effet biphasique), carbamazépine, phénobarbital, alcool chronique, millepertuis (Hypericum perforatum) → </w:t>
      </w:r>
      <w:r>
        <w:rPr>
          <w:b/>
        </w:rPr>
        <w:t>baisse de la phénytoïnémie</w:t>
      </w:r>
      <w:r>
        <w:t xml:space="preserve"> et risque de récidive des crises. Surveiller la phénytoïnémie, adapter les doses.</w:t>
      </w:r>
    </w:p>
    <w:p>
      <w:pPr>
        <w:pStyle w:val="ListBullet"/>
      </w:pPr>
      <w:r/>
      <w:r>
        <w:rPr>
          <w:b/>
        </w:rPr>
        <w:t>Phénytoïne + inhibiteurs enzymatiques</w:t>
      </w:r>
      <w:r>
        <w:t xml:space="preserve"> (CYP2C9 / CYP2C19) : amiodarone, fluconazole, itraconazole, voriconazole, kétoconazole, miconazole, fluvoxamine, fluoxétine, paroxétine, sertraline, isoniazide (effet inhibiteur dominant), chloramphénicol, sulfamides antibactériens, sulfasalazine, triméthoprime-sulfaméthoxazole, valproate (déplacement protéique + inhibition métabolique — augmentation très marquée), kétoconazole, cimétidine, oméprazole, ésoméprazole, modafinil, stiripentol → </w:t>
      </w:r>
      <w:r>
        <w:rPr>
          <w:b/>
        </w:rPr>
        <w:t>augmentation de la phénytoïnémie</w:t>
      </w:r>
      <w:r>
        <w:t xml:space="preserve"> et risque toxique. Surveiller cliniquement et biologiquement, réduire la dose de 25-50 %.</w:t>
      </w:r>
    </w:p>
    <w:p>
      <w:pPr>
        <w:pStyle w:val="ListBullet"/>
      </w:pPr>
      <w:r/>
      <w:r>
        <w:rPr>
          <w:b/>
        </w:rPr>
        <w:t>Phénytoïne + valproate</w:t>
      </w:r>
      <w:r>
        <w:t xml:space="preserve"> : interaction complexe et BIDIRECTIONNELLE — (i) déplacement de la phénytoïne de ses liaisons protéiques (augmentation transitoire de la forme libre), (ii) inhibition du métabolisme hépatique de la phénytoïne (CYP2C9/19). Résultat : augmentation de la phénytoïnémie libre avec possible toxicité clinique même avec phénytoïnémie totale normale. Surveillance clinique rapprochée et dosage phénytoïnémie libre si disponible.</w:t>
      </w:r>
    </w:p>
    <w:p>
      <w:pPr>
        <w:pStyle w:val="ListBullet"/>
      </w:pPr>
      <w:r/>
      <w:r>
        <w:rPr>
          <w:b/>
        </w:rPr>
        <w:t>Phénytoïne + contraception orale estroprogestative</w:t>
      </w:r>
      <w:r>
        <w:t xml:space="preserve"> : induction enzymatique (CYP3A4) → baisse d'efficacité contraceptive → grossesse non désirée. Utiliser une méthode non hormonale (préservatif, DIU) ou une contraception microprogestative à dose efficace, ou augmenter le dosage estrogénique (50 µg éthinylestradiol — discutable).</w:t>
      </w:r>
    </w:p>
    <w:p>
      <w:pPr>
        <w:pStyle w:val="ListBullet"/>
      </w:pPr>
      <w:r/>
      <w:r>
        <w:rPr>
          <w:b/>
        </w:rPr>
        <w:t>Phénytoïne + anticoagulants oraux (warfarine, acénocoumarol)</w:t>
      </w:r>
      <w:r>
        <w:t xml:space="preserve"> : interaction complexe — induction du métabolisme (baisse INR) initiale, mais déplacement protéique et inhibition compétitive possible (augmentation INR). Surveillance INR rapprochée pendant 4-6 semaines à chaque modification.</w:t>
      </w:r>
    </w:p>
    <w:p>
      <w:pPr>
        <w:pStyle w:val="ListBullet"/>
      </w:pPr>
      <w:r/>
      <w:r>
        <w:rPr>
          <w:b/>
        </w:rPr>
        <w:t>Phénytoïne + autres antiépileptiques</w:t>
      </w:r>
      <w:r>
        <w:t xml:space="preserve"> : carbamazépine (baisse réciproque des taux — surveillance), phénobarbital (effet variable — généralement baisse de la phénytoïnémie par induction), valproate (cf. supra), lamotrigine (baisse de la lamotrigine par induction UGT1A4), topiramate (interaction modeste), lévétiracétam (pas d'interaction PK significative — association favorable), zonisamide (interactions modestes).</w:t>
      </w:r>
    </w:p>
    <w:p>
      <w:pPr>
        <w:pStyle w:val="ListBullet"/>
      </w:pPr>
      <w:r/>
      <w:r>
        <w:rPr>
          <w:b/>
        </w:rPr>
        <w:t>Phénytoïne + antirétroviraux</w:t>
      </w:r>
      <w:r>
        <w:t xml:space="preserve"> : baisse d'efficacité des inhibiteurs de protéase (IP) et des INNTI par induction enzymatique — contre-indication pratique ; préférer l'étavirenz non concerné mais surveillance.</w:t>
      </w:r>
    </w:p>
    <w:p>
      <w:pPr>
        <w:pStyle w:val="ListBullet"/>
      </w:pPr>
      <w:r/>
      <w:r>
        <w:rPr>
          <w:b/>
        </w:rPr>
        <w:t>Phénytoïne + chimiothérapie anticancéreuse</w:t>
      </w:r>
      <w:r>
        <w:t xml:space="preserve"> : interactions multiples (doxorubicine, méthotrexate, vincristine, paclitaxel) — anticipation oncologique.</w:t>
      </w:r>
    </w:p>
    <w:p>
      <w:pPr>
        <w:pStyle w:val="ListBullet"/>
      </w:pPr>
      <w:r/>
      <w:r>
        <w:rPr>
          <w:b/>
        </w:rPr>
        <w:t>Phénytoïne + théophylline</w:t>
      </w:r>
      <w:r>
        <w:t xml:space="preserve"> : induction enzymatique réciproque (la théophylline diminue la phénytoïnémie ; la phénytoïne augmente le métabolisme de la théophylline) — surveillance double.</w:t>
      </w:r>
    </w:p>
    <w:p>
      <w:pPr>
        <w:pStyle w:val="ListBullet"/>
      </w:pPr>
      <w:r/>
      <w:r>
        <w:rPr>
          <w:b/>
        </w:rPr>
        <w:t>Phénytoïne + alcool</w:t>
      </w:r>
      <w:r>
        <w:t xml:space="preserve"> : alcool aigu = inhibition (augmentation transitoire de la phénytoïnémie) ; alcool chronique = induction (baisse de la phénytoïnémie) — effet biphasique déroutant.</w:t>
      </w:r>
    </w:p>
    <w:p>
      <w:pPr>
        <w:pStyle w:val="ListBullet"/>
      </w:pPr>
      <w:r/>
      <w:r>
        <w:rPr>
          <w:b/>
        </w:rPr>
        <w:t>Phénytoïne + enteral nutrition (sonde)</w:t>
      </w:r>
      <w:r>
        <w:t xml:space="preserve"> : diminution de l'absorption de la phénytoïne par la nutrition entérale (interaction physique avec les protéines du lait ou les fibres) — arrêter la nutrition 1 h avant et 2 h après la prise de phénytoïne.</w:t>
      </w:r>
    </w:p>
    <w:p>
      <w:pPr>
        <w:pStyle w:val="ListBullet"/>
      </w:pPr>
      <w:r/>
      <w:r>
        <w:rPr>
          <w:b/>
        </w:rPr>
        <w:t>Phénytoïne + fluoroquinolones</w:t>
      </w:r>
      <w:r>
        <w:t xml:space="preserve"> : ciprofloxacine, ofloxacine, norfloxacine — inhibition possible du métabolisme (risque toxique).</w:t>
      </w:r>
    </w:p>
    <w:p>
      <w:pPr>
        <w:pStyle w:val="ListBullet"/>
      </w:pPr>
      <w:r/>
      <w:r>
        <w:rPr>
          <w:b/>
        </w:rPr>
        <w:t>Phénytoïne + calcium IV</w:t>
      </w:r>
      <w:r>
        <w:t xml:space="preserve"> : précipitation in vitro (à ne pas mélanger dans la même tubulure).</w:t>
      </w:r>
    </w:p>
    <w:p>
      <w:r/>
      <w:r>
        <w:rPr>
          <w:b/>
        </w:rPr>
        <w:t>Grossesse et Allaitement :</w:t>
      </w:r>
      <w:r/>
    </w:p>
    <w:p>
      <w:pPr>
        <w:pStyle w:val="ListBullet"/>
      </w:pPr>
      <w:r>
        <w:t xml:space="preserve">Grossesse : selon le CRAT, la phénytoïne est classée « à éviter » (équivalent ancien : categorie D). Risque de syndrome fœtal de l'hydantoïne : 5-10 % de malformations majeures (fente labio-palatine x 5-10, malformations cardiaques, hypoplasie des phalanges distales, anomalies du SNC), 30 % de traits dysmorphiques mineurs (craniofacial dysmorphisme : hyperthélorisme, hypoplasie nasale, front bombant). Risque dose-dépendant (mais sans seuil strict — même à dose thérapeutique). Le risque est potentialisé par l'association à d'autres AE inducteurs (valproate, phénobarbital, carbamazépine) et par un déficit en acide folique. </w:t>
      </w:r>
      <w:r>
        <w:rPr>
          <w:b/>
        </w:rPr>
        <w:t>Conduite à tenir</w:t>
      </w:r>
      <w:r>
        <w:t xml:space="preserve"> : (1) </w:t>
      </w:r>
      <w:r>
        <w:rPr>
          <w:b/>
        </w:rPr>
        <w:t>pré-conceptionnel</w:t>
      </w:r>
      <w:r>
        <w:t xml:space="preserve"> : switch vers lamotrigine ou lévétiracétam (profil tératogène plus favorable) ; (2) si grossesse déjà engagée : ne pas arrêter brutalement (risque de mal convulsif), consultation spécialisée neurologie-périnatale, supplémentation acide folique 5 mg/jour dès pré-conceptionnel et pendant toute la grossesse, surveillance échographique spécialisée (18-22 SA), déclaration de grossesse sous phénytoïne à la pharmacovigilance. La phénytoïnémie chute au 2e et 3e trimestre (expansion volémique, induction enzymatique placentaire) — adaptation posologique guidée par la phénytoïnémie.</w:t>
      </w:r>
    </w:p>
    <w:p>
      <w:pPr>
        <w:pStyle w:val="ListBullet"/>
      </w:pPr>
      <w:r>
        <w:t xml:space="preserve">Allaitement : selon le CRAT et l'OMS, </w:t>
      </w:r>
      <w:r>
        <w:rPr>
          <w:b/>
        </w:rPr>
        <w:t>compatible avec surveillance</w:t>
      </w:r>
      <w:r>
        <w:t xml:space="preserve"> (rapport concentration lait/plasma = 0,4-0,6 — dose ingérée par le nourrisson ≈ 1-5 % de la dose maternelle pondérée). Surveillance : sédation, hypotonie, mauvaise succion, troubles de la croissance. Préférer un AE moderne (lamotrigine, lévétiracétam) si allaitement prolongé prévu. La phénytoïne peut être utilisée si le bénéfice maternel l'emporte.</w:t>
      </w:r>
    </w:p>
    <w:p>
      <w:pPr>
        <w:pStyle w:val="ListBullet"/>
      </w:pPr>
      <w:r>
        <w:t>Précisions : supplémentation acide folique 5 mg/jour pré-conceptionnelle et pendant la grossesse (toute la durée) ; supplémentation vitamine D3 800-2000 UI/jour ; surveillance échographique trimestrielle ; accouchement en milieu spécialisé (risque de saignement néonatal — vitamine K1 1 mg IM à la naissance).</w:t>
      </w:r>
    </w:p>
    <w:p>
      <w:r/>
      <w:r>
        <w:rPr>
          <w:b/>
        </w:rPr>
        <w:t>Posologie et Mode d'administration (Standard) :</w:t>
      </w:r>
      <w:r/>
    </w:p>
    <w:p>
      <w:pPr>
        <w:pStyle w:val="ListBullet"/>
      </w:pPr>
      <w:r>
        <w:t>Adulte :</w:t>
      </w:r>
    </w:p>
    <w:p>
      <w:pPr>
        <w:pStyle w:val="ListBullet"/>
      </w:pPr>
      <w:r/>
      <w:r>
        <w:rPr>
          <w:b/>
        </w:rPr>
        <w:t>Initiation</w:t>
      </w:r>
      <w:r>
        <w:t xml:space="preserve"> (orale) : 100 mg × 3/jour (soit 4-5 mg/kg/jour), à adapter secondairement selon la phénytoïnémie à 7-14 jours. Paliers d'ajustement de 25-50 mg maximum toutes les 2-4 semaines (en raison de la cinétique non linéaire, ne JAMAIS augmenter brutalement).</w:t>
      </w:r>
    </w:p>
    <w:p>
      <w:pPr>
        <w:pStyle w:val="ListBullet"/>
      </w:pPr>
      <w:r/>
      <w:r>
        <w:rPr>
          <w:b/>
        </w:rPr>
        <w:t>Dose d'entretien habituelle</w:t>
      </w:r>
      <w:r>
        <w:t xml:space="preserve"> : 200-500 mg/jour en 1 à 3 prises (la demi-vie longue autorise une monoprise vespérale chez certains patients à l'équilibre).</w:t>
      </w:r>
    </w:p>
    <w:p>
      <w:pPr>
        <w:pStyle w:val="ListBullet"/>
      </w:pPr>
      <w:r/>
      <w:r>
        <w:rPr>
          <w:b/>
        </w:rPr>
        <w:t>Dose maximale</w:t>
      </w:r>
      <w:r>
        <w:t xml:space="preserve"> : 600 mg/jour (au-delà, toxicité quasi-certaine).</w:t>
      </w:r>
    </w:p>
    <w:p>
      <w:pPr>
        <w:pStyle w:val="ListBullet"/>
      </w:pPr>
      <w:r/>
      <w:r>
        <w:rPr>
          <w:b/>
        </w:rPr>
        <w:t>État de mal épileptique</w:t>
      </w:r>
      <w:r>
        <w:t xml:space="preserve"> (IV) : 15-20 mg/kg en perfusion lente (≤ 50 mg/min, soit 1 mg/kg/min) dans NaCl 0,9 % (jamais G5 % — précipitation), sous monitoring ECG et tensionnel continu. Dose supplémentaire 5 mg/kg possible à 30 min si persistance des crises (sans dépasser 30 mg/kg total).</w:t>
      </w:r>
    </w:p>
    <w:p>
      <w:pPr>
        <w:pStyle w:val="ListBullet"/>
      </w:pPr>
      <w:r/>
      <w:r>
        <w:rPr>
          <w:b/>
        </w:rPr>
        <w:t>Prophylaxie post-traumatique crânienne</w:t>
      </w:r>
      <w:r>
        <w:t xml:space="preserve"> : 100 mg × 3/jour pendant 7 jours (selon SOFFMER).</w:t>
      </w:r>
    </w:p>
    <w:p>
      <w:pPr>
        <w:pStyle w:val="ListBullet"/>
      </w:pPr>
      <w:r>
        <w:t>Enfant :</w:t>
      </w:r>
    </w:p>
    <w:p>
      <w:pPr>
        <w:pStyle w:val="ListBullet"/>
      </w:pPr>
      <w:r/>
      <w:r>
        <w:rPr>
          <w:b/>
        </w:rPr>
        <w:t>Initiation orale</w:t>
      </w:r>
      <w:r>
        <w:t xml:space="preserve"> : 5 mg/kg/jour en 2-3 prises.</w:t>
      </w:r>
    </w:p>
    <w:p>
      <w:pPr>
        <w:pStyle w:val="ListBullet"/>
      </w:pPr>
      <w:r/>
      <w:r>
        <w:rPr>
          <w:b/>
        </w:rPr>
        <w:t>Dose d'entretien</w:t>
      </w:r>
      <w:r>
        <w:t xml:space="preserve"> : 4-8 mg/kg/jour (jusqu'à 12 mg/kg/j chez le nourrisson), ajustée selon phénytoïnémie.</w:t>
      </w:r>
    </w:p>
    <w:p>
      <w:pPr>
        <w:pStyle w:val="ListBullet"/>
      </w:pPr>
      <w:r/>
      <w:r>
        <w:rPr>
          <w:b/>
        </w:rPr>
        <w:t>État de mal IV</w:t>
      </w:r>
      <w:r>
        <w:t xml:space="preserve"> : 15-20 mg/kg en perfusion lente (≤ 1 mg/kg/min chez l'enfant, ≤ 0,5 mg/kg/min chez le nourrisson).</w:t>
      </w:r>
    </w:p>
    <w:p>
      <w:pPr>
        <w:pStyle w:val="ListBullet"/>
      </w:pPr>
      <w:r>
        <w:t>Durée : au long cours pour l'épilepsie (traitement de fond prolongé, plusieurs années, parfois à vie si épilepsie结构nelle sous-jacente non curable chirurgicalement). Forme IV : traitement d'attaque de l'état de mal ou prophylaxie de courte durée.</w:t>
      </w:r>
    </w:p>
    <w:p>
      <w:pPr>
        <w:pStyle w:val="ListBullet"/>
      </w:pPr>
      <w:r>
        <w:t>Moment de la prise : pendant ou après les repas (améliore la tolérance digestive), preferably au soir en monoprise (demi-vie longue). Prise à heure fixe pour maintenir des concentrations stables (observance +++).</w:t>
      </w:r>
    </w:p>
    <w:p>
      <w:pPr>
        <w:pStyle w:val="ListBullet"/>
      </w:pPr>
      <w:r>
        <w:t>Adaptation posologique : insuffisance hépatique — réduction de 25-50 % initiale, surveillance phénytoïnémie libre ; insuffisance rénale — surveillance accrue, considérer la phénytoïnémie libre (forme non liée aux protéines, reflet de l'effet pharmacologique) ; hypoprotidémie (albumine &lt; 30 g/L) — adaptation posologique et/ou dosage de la phénytoïnémie libre ; sujet âgé — réduction initiale de 25-50 %.</w:t>
      </w:r>
    </w:p>
    <w:p>
      <w:r/>
      <w:r>
        <w:rPr>
          <w:b/>
        </w:rPr>
        <w:t>Arbitrage et Bénéfices des Formes Galéniques :</w:t>
      </w:r>
      <w:r/>
    </w:p>
    <w:p>
      <w:pPr>
        <w:pStyle w:val="ListBullet"/>
      </w:pPr>
      <w:r/>
      <w:r>
        <w:rPr>
          <w:b/>
        </w:rPr>
        <w:t>Comprimés 100 mg</w:t>
      </w:r>
      <w:r>
        <w:t xml:space="preserve"> (DI-HYDAN non renouvelable, EPILAN D retiré, PHENYTOINE CPCM retiré) : galénique orale de référence, sécable pour adaptation posologique fine (demi-comprimé = 50 mg). Pratique pour le traitement d'entretien au long cours. </w:t>
      </w:r>
      <w:r>
        <w:rPr>
          <w:b/>
        </w:rPr>
        <w:t>Problème algérien</w:t>
      </w:r>
      <w:r>
        <w:t xml:space="preserve"> : aucun comprimé de phénytoïne orale n'est actuellement disponible en statut « Actif » — situation préoccupante qui doit alerter le prescripteur et le pharmacien d'officine pour anticipation (switch thérapeutique vers valproate ou lamotrigine en coordination avec neurologue).</w:t>
      </w:r>
    </w:p>
    <w:p>
      <w:pPr>
        <w:pStyle w:val="ListBullet"/>
      </w:pPr>
      <w:r/>
      <w:r>
        <w:rPr>
          <w:b/>
        </w:rPr>
        <w:t>Solution injectable IM/IV</w:t>
      </w:r>
      <w:r>
        <w:t xml:space="preserve"> (FENTEX MS Pharma Jordan 250 mg/5 mL) : galénique essentielle pour l'urgence (état de mal épileptique), la prophylaxie post-traumatique, et l'impossibilité temporaire de voie orale. À conserver en milieu hospitalier (réanimation, urgences, neurologie). La forme IM est moins utilisée (absorption lente et imprévisible, préférer voie IV en urgence). Précaution de manipulation : ne JAMAIS diluer dans une solution glucosée (précipitation immédiate) — utiliser exclusivement NaCl 0,9 %. Pas de conservation au-delà de 24 h après dilution.</w:t>
      </w:r>
    </w:p>
    <w:p>
      <w:pPr>
        <w:pStyle w:val="ListBullet"/>
      </w:pPr>
      <w:r/>
      <w:r>
        <w:rPr>
          <w:b/>
        </w:rPr>
        <w:t>Solution pour perfusion IV</w:t>
      </w:r>
      <w:r>
        <w:t xml:space="preserve"> : préparation extemporanée à partir de la forme injectable, diluée dans 50-100 mL NaCl 0,9 %, à perfuser en 20-30 min (état de mal), en perfusion continue pour la maintenance (rarement utilisée).</w:t>
      </w:r>
    </w:p>
    <w:p>
      <w:r/>
      <w:r>
        <w:rPr>
          <w:b/>
        </w:rPr>
        <w:t>Instructions et Conseils au Patient :</w:t>
      </w:r>
      <w:r/>
    </w:p>
    <w:p>
      <w:pPr>
        <w:pStyle w:val="ListBullet"/>
      </w:pPr>
      <w:r>
        <w:t>Communication au comptoir :</w:t>
      </w:r>
    </w:p>
    <w:p>
      <w:pPr>
        <w:pStyle w:val="ListBullet"/>
      </w:pPr>
      <w:r>
        <w:t>« Ce médicament est un antiépileptique puissant qui doit être pris tous les jours à heure fixe, sans jamais l'arrêter brutalement ni manquer une prise — un arrêt brutal peut provoquer un état de mal épileptique, urgence vitale. »</w:t>
      </w:r>
    </w:p>
    <w:p>
      <w:pPr>
        <w:pStyle w:val="ListBullet"/>
      </w:pPr>
      <w:r>
        <w:t>« Ne jamais augmenter la dose de vous-même : ce médicament a une cinétique particulière (effet saturation), une augmentation même minime peut provoquer une intoxication grave (confusion, ataxie, troubles de l'équilibre, vision double). »</w:t>
      </w:r>
    </w:p>
    <w:p>
      <w:pPr>
        <w:pStyle w:val="ListBullet"/>
      </w:pPr>
      <w:r>
        <w:t>« Prévenez votre pharmacien et votre médecin de TOUT nouveau médicament prescrit (y compris en automédication — aspirine, paracétamol à forte dose, antibiotiques sulfamides, antifongiques, antidépresseurs) car les interactions sont extrêmement nombreuses. »</w:t>
      </w:r>
    </w:p>
    <w:p>
      <w:pPr>
        <w:pStyle w:val="ListBullet"/>
      </w:pPr>
      <w:r>
        <w:t>« Si vous êtes une femme en âge de procréer, parlez-en à votre médecin AVANT tout projet de grossesse — ce médicament est tératogène (malformations fœtales) ; une contraception efficace est indispensable tout au long du traitement, et une supplémentation en acide folique 5 mg/jour est recommandée en continu. »</w:t>
      </w:r>
    </w:p>
    <w:p>
      <w:pPr>
        <w:pStyle w:val="ListBullet"/>
      </w:pPr>
      <w:r>
        <w:t>« Surveillez vos gencives : brossez-vous les dents après chaque repas, utilisez une brossette interdentaire, massez vos gencives, et consultez votre dentiste tous les 6 mois. Si vos gencives gonflent, prévenez votre médecin. »</w:t>
      </w:r>
    </w:p>
    <w:p>
      <w:pPr>
        <w:pStyle w:val="ListBullet"/>
      </w:pPr>
      <w:r>
        <w:t>Mode d'utilisation pratique :</w:t>
      </w:r>
    </w:p>
    <w:p>
      <w:pPr>
        <w:pStyle w:val="ListBullet"/>
      </w:pPr>
      <w:r>
        <w:t>Prendre le médicament à heure fixe (par exemple 19 h-20 h le soir en monoprise, ou matin/midi/soir en 3 prises), de préférence pendant ou juste après le repas (réduit la nausea digestive).</w:t>
      </w:r>
    </w:p>
    <w:p>
      <w:pPr>
        <w:pStyle w:val="ListBullet"/>
      </w:pPr>
      <w:r>
        <w:t>En cas d'oubli d'une prise : la prendre dans les 6 h si possible, sinon l'ignorer et reprendre l'horaire habituel — NE JAMAIS doubler la dose suivante.</w:t>
      </w:r>
    </w:p>
    <w:p>
      <w:pPr>
        <w:pStyle w:val="ListBullet"/>
      </w:pPr>
      <w:r>
        <w:t>Tenir un journal des crises (date, heure, circonstances, durée, type — utile pour le suivi neurologique).</w:t>
      </w:r>
    </w:p>
    <w:p>
      <w:pPr>
        <w:pStyle w:val="ListBullet"/>
      </w:pPr>
      <w:r>
        <w:t>Éviter la consommation d'alcool (interaction pharmacocinétique et abaissé le seuil épileptogène).</w:t>
      </w:r>
    </w:p>
    <w:p>
      <w:pPr>
        <w:pStyle w:val="ListBullet"/>
      </w:pPr>
      <w:r>
        <w:t>Prévenir le médecin en cas de fièvre + éruption cutanée (suspicion DRESS — urgence), de saignement anormal (thrombopénie), de fatigue intense (anémie), de confusion/ataxie/vision double (toxicité neurologique).</w:t>
      </w:r>
    </w:p>
    <w:p>
      <w:r/>
      <w:r>
        <w:rPr>
          <w:b/>
        </w:rPr>
        <w:t>Notes, Règles d'Or &amp; Pièges au Comptoir :</w:t>
      </w:r>
      <w:r/>
    </w:p>
    <w:p>
      <w:pPr>
        <w:pStyle w:val="ListBullet"/>
      </w:pPr>
      <w:r>
        <w:t xml:space="preserve">Piège classique : la </w:t>
      </w:r>
      <w:r>
        <w:rPr>
          <w:b/>
        </w:rPr>
        <w:t>cinétique non linéaire de Michaelis-Menten</w:t>
      </w:r>
      <w:r>
        <w:t xml:space="preserve"> — un patient stabilisé à 300 mg/jour avec phénytoïnémie à 15 mg/L peut basculer en intoxication sévère (phénytoïnémie &gt; 40 mg/L) après passage à 350 mg/jour — prudence extrême à toute modification posologique, ne pas dépasser 25-50 mg par palier de 2-4 semaines.</w:t>
      </w:r>
    </w:p>
    <w:p>
      <w:pPr>
        <w:pStyle w:val="ListBullet"/>
      </w:pPr>
      <w:r>
        <w:t xml:space="preserve">Piège classique : </w:t>
      </w:r>
      <w:r>
        <w:rPr>
          <w:b/>
        </w:rPr>
        <w:t>baisse de phénytoïnémie au 2e trimestre de grossesse</w:t>
      </w:r>
      <w:r>
        <w:t xml:space="preserve"> par expansion volémique — augmentation des doses nécessaire, surveillance rapprochée par phénytoïnémie.</w:t>
      </w:r>
    </w:p>
    <w:p>
      <w:pPr>
        <w:pStyle w:val="ListBullet"/>
      </w:pPr>
      <w:r>
        <w:t xml:space="preserve">Piège classique : </w:t>
      </w:r>
      <w:r>
        <w:rPr>
          <w:b/>
        </w:rPr>
        <w:t>précipitation de la phénytoïne dans le G5 %</w:t>
      </w:r>
      <w:r>
        <w:t xml:space="preserve"> (à ne JAMAIS diluer dans le glucose) — toujours utiliser NaCl 0,9 % pour la perfusion IV.</w:t>
      </w:r>
    </w:p>
    <w:p>
      <w:pPr>
        <w:pStyle w:val="ListBullet"/>
      </w:pPr>
      <w:r>
        <w:t xml:space="preserve">Piège classique : </w:t>
      </w:r>
      <w:r>
        <w:rPr>
          <w:b/>
        </w:rPr>
        <w:t>injection IV trop rapide</w:t>
      </w:r>
      <w:r>
        <w:t xml:space="preserve"> (&lt; 1 min pour 50 mg) — risque d'arrêt cardiaque par effet cardiotoxique direct (propylène glycol de la forme IV + effet antiarythmique de classe Ib) — règle stricte : ≤ 50 mg/min adulte, ≤ 1 mg/kg/min enfant, sous monitoring ECG.</w:t>
      </w:r>
    </w:p>
    <w:p>
      <w:pPr>
        <w:pStyle w:val="ListBullet"/>
      </w:pPr>
      <w:r>
        <w:t xml:space="preserve">Piège classique : </w:t>
      </w:r>
      <w:r>
        <w:rPr>
          <w:b/>
        </w:rPr>
        <w:t>phénytoïnémie totale faussement rassurante</w:t>
      </w:r>
      <w:r>
        <w:t xml:space="preserve"> chez le patient hypoprotidémique (albumine &lt; 30 g/L) — demander phénytoïnémie libre (cible : 1-2 mg/L).</w:t>
      </w:r>
    </w:p>
    <w:p>
      <w:pPr>
        <w:pStyle w:val="ListBullet"/>
      </w:pPr>
      <w:r>
        <w:t xml:space="preserve">Piège classique : </w:t>
      </w:r>
      <w:r>
        <w:rPr>
          <w:b/>
        </w:rPr>
        <w:t>interaction avec la nutrition entérale</w:t>
      </w:r>
      <w:r>
        <w:t xml:space="preserve"> (sonde naso-gastrique ou gastrostomie) — arrêter la nutrition 1 h avant et 2 h après chaque prise de phénytoïne (ou utiliser forme IV transitoire).</w:t>
      </w:r>
    </w:p>
    <w:p>
      <w:pPr>
        <w:pStyle w:val="ListBullet"/>
      </w:pPr>
      <w:r>
        <w:t>Règle de prise : pendant ou après repas, à heure fixe, sans oubli — observance stricte supérieure à 95 % requise pour l'efficacité antiépileptique (un seul oubli peut suffire à déclencher une crise).</w:t>
      </w:r>
    </w:p>
    <w:p>
      <w:pPr>
        <w:pStyle w:val="ListBullet"/>
      </w:pPr>
      <w:r>
        <w:t>Préparation et Conservation : comprimés à conserver à température &lt; 25 °C, à l'abri de l'humidité et de la lumière ; solution injectable à conserver à température &lt; 25 °C (ne pas congeler) ; solution diluée pour perfusion à utiliser dans les 4 h (NaCl 0,9 %) ; ne pas utiliser si trouble ou précipité visible.</w:t>
      </w:r>
    </w:p>
    <w:p>
      <w:pPr>
        <w:pStyle w:val="ListBullet"/>
      </w:pPr>
      <w:r>
        <w:t>Piège du surdosage / Substitution : si une marque est non renouvelable (DI-HYDAN Genopharm) ou retirée (PHENYTOINE CPCM, EPILAN D Gerot), ne pas substituer par une autre marque sans vérifier la disponibilité et le statut actuel (situation précaire en Algérie pour la forme orale) ; orienter le patient vers son neurologue pour switch thérapeutique éventuel vers un AE moderne (valproate, lamotrigine, lévétiracétam — cf. chapitre 92).</w:t>
      </w:r>
    </w:p>
    <w:p>
      <w:pPr>
        <w:pStyle w:val="Heading2"/>
      </w:pPr>
      <w:r>
        <w:t>Sous-classe 2 — Antiépileptiques anciens (barbituriques) — Phénobarbital</w:t>
      </w:r>
    </w:p>
    <w:p>
      <w:r>
        <w:t xml:space="preserve">La sous-classe des </w:t>
      </w:r>
      <w:r>
        <w:rPr>
          <w:b/>
        </w:rPr>
        <w:t>barbituriques anciens</w:t>
      </w:r>
      <w:r>
        <w:t xml:space="preserve"> est représentée en Algérie par le </w:t>
      </w:r>
      <w:r>
        <w:rPr>
          <w:b/>
        </w:rPr>
        <w:t>phénobarbital</w:t>
      </w:r>
      <w:r>
        <w:t xml:space="preserve"> (5-éthyl-5-phénylbarbiturique), introduit dès 1912 par Hauptmann comme premier antiépileptique véritablement efficace. Synthétisé dès 1902 par Emil Fischer et Joseph von Mering à partir de l'acide barbiturique (lui-même synthétisé par Adolf von Baeyer en 1864 — prix Nobel 1905), le phénobarbital reste, plus d'un siècle après son introduction, </w:t>
      </w:r>
      <w:r>
        <w:rPr>
          <w:b/>
        </w:rPr>
        <w:t>sur la liste des médicaments essentiels de l'OMS</w:t>
      </w:r>
      <w:r>
        <w:t xml:space="preserve"> pour la prise en charge de l'épilepsie dans les pays à ressources limitées — en raison de son faible coût, de sa longue durée d'action (demi-vie 50-120 h autorisant une monoprise), de son efficacité prouvée et de sa simplicité d'administration. Cependant, le phénobarbital est aujourd'hui </w:t>
      </w:r>
      <w:r>
        <w:rPr>
          <w:b/>
        </w:rPr>
        <w:t>largement supplanté en première intention</w:t>
      </w:r>
      <w:r>
        <w:t xml:space="preserve"> par les antiépileptiques modernes (valproate, lamotrigine, lévétiracétam) en raison de ses effets indésirables neuropsychiatriques (sédation, troubles cognitifs, dépression) et de son induction enzymatique massive (CYP3A4, CYP2C9, CYP2C19, UGT1A4, ALA-synthétase) à l'origine de très nombreuses interactions médicamenteuses — baisse d'efficacité de la contraception orale, des anticoagulants oraux, des antirétroviraux, des corticoïdes, de la doxycycline, etc. Le phénobarbital reste néanmoins utile dans certaines indications spécifiques : épilepsies partielles et généralisées tonico-cloniques de l'adulte (en alternative ou en association), convulsions néonatales (seizures néonatales — indication spécifique avec dosage en mg/kg précis), sevrage alcoolique (prévention des crises convulsives), et exceptionnellement choléstase intrahépatique gravidique (hors indication stricte — discutable). Son mécanisme d'action combine une </w:t>
      </w:r>
      <w:r>
        <w:rPr>
          <w:b/>
        </w:rPr>
        <w:t>potentialisation du GABA</w:t>
      </w:r>
      <w:r>
        <w:t xml:space="preserve"> (fixation au site du récepteur GABA-A distinct de celui des benzodiazépines, à hauteur du channel pore du chlorure — prolongation de l'ouverture du canal Cl- mais sans l'augmenter — effet GABA-mimétique à forte dose) et un </w:t>
      </w:r>
      <w:r>
        <w:rPr>
          <w:b/>
        </w:rPr>
        <w:t>blocage des canaux Na+ voltage-dépendants</w:t>
      </w:r>
      <w:r>
        <w:t xml:space="preserve"> (effet moins marqué que la phénytoïne mais participant à l'efficacité). Sa tératogénicité (syndrome fœtal barbiturique — semblable à celui de la phénytoïne mais avec un risque majoré de malformations cardiaques) et ses effets cognitifs (baisse du QI chez l'enfant exposé chroniquement) en font un antiépileptique à éviter chez la femme enceinte et à utiliser avec prudence chez l'enfant.</w:t>
      </w:r>
    </w:p>
    <w:p>
      <w:pPr>
        <w:pStyle w:val="Heading3"/>
      </w:pPr>
      <w:r>
        <w:t>2. DCI : Phénobarbital (Seule)</w:t>
      </w:r>
    </w:p>
    <w:p>
      <w:r/>
      <w:r>
        <w:rPr>
          <w:b/>
        </w:rPr>
        <w:t>Liste des Catégories :</w:t>
      </w:r>
      <w:r>
        <w:t xml:space="preserve"> Antiépileptiques — Anciens (barbituriques) ; Antiépileptiques (générique) ; Liste II ( prescription limitée, mais non stupéfiant) ; Inducteur enzymatique massif ; Tératogène (syndrome fœtal barbiturique — catégorie D — CRAT : « à éviter »).</w:t>
      </w:r>
    </w:p>
    <w:p>
      <w:r>
        <w:t xml:space="preserve">Le phénobarbital (5-éthyl-5-phényl-barbiturique) est un antiépileptique barbiturique à très longue demi-vie d'élimination (50-120 h chez l'adulte, 40-70 h chez l'enfant, 80-200 h chez le nouveau-né et le prématuré). Cette caractéristique pharmacocinétique autorise une monoprise vespérale, simplifiant l'observance — atout historique majeur, notamment dans les pays à ressources limitées (figure sur la liste OMS des médicaments essentiels pour l'épilepsie de l'adulte et de l'enfant). Le phénobarbital est métabolisé à 75 % par le CYP2C9 (parahydroxylation) et à environ 25 % par conjugaison hépatique et rénale (N-glucosidation). Moins de 25 % de la dose est excrétée inchangée dans les urines — l'alcalinisation des urines (pH &gt; 7,5) augmente significativement l'excrétion rénale (principe de l'alcalinisation urinaire en cas de surdosage barbiturique). Sa liaison aux protéines plasmatiques est modérée (45-60 %), lui conférant une bonne diffusion tissulaire et cérébrale (rapport LCR/plasma = 0,4-0,6). Le phénobarbital traverse librement le placenta et est excrété dans le lait maternel (rapport lait/plasma = 0,4-0,5). C'est un </w:t>
      </w:r>
      <w:r>
        <w:rPr>
          <w:b/>
        </w:rPr>
        <w:t>inducteur enzymatique massif</w:t>
      </w:r>
      <w:r>
        <w:t xml:space="preserve"> à large spectre (CYP3A4, CYP2C9, CYP2C19, CYP1A2, UGT1A4, époxyde hydrolase, ALA-synthétase — d'où risque de crises de porphyrie aiguë), à l'origine de plus de 200 interactions médicamenteuses cliniquement significatives.</w:t>
      </w:r>
    </w:p>
    <w:p>
      <w:r/>
      <w:r>
        <w:rPr>
          <w:b/>
        </w:rPr>
        <w:t>Médicaments disponibles en Algérie (Marques, Laboratoires, Formes et Dosages) :</w:t>
      </w:r>
      <w:r/>
    </w:p>
    <w:p>
      <w:r>
        <w:t>Formes actives :</w:t>
      </w:r>
    </w:p>
    <w:p>
      <w:pPr>
        <w:pStyle w:val="ListBullet"/>
      </w:pPr>
      <w:r/>
      <w:r>
        <w:rPr>
          <w:b/>
        </w:rPr>
        <w:t>GARDENAL</w:t>
      </w:r>
      <w:r>
        <w:t xml:space="preserve"> (ATNAHS PHARMA France)</w:t>
      </w:r>
    </w:p>
    <w:p>
      <w:pPr>
        <w:pStyle w:val="ListBullet"/>
      </w:pPr>
      <w:r>
        <w:t>Formes et Dosages : Lyophilisat et solvant pour solution injectable, 40 mg/flacon de lyophilisat — conditionnement B/1 flacon de lyophilisat + 1 ampoule de 2 mL de solvant (EPPI)</w:t>
      </w:r>
    </w:p>
    <w:p>
      <w:pPr>
        <w:pStyle w:val="ListBullet"/>
      </w:pPr>
      <w:r>
        <w:t xml:space="preserve">Statut : </w:t>
      </w:r>
      <w:r>
        <w:rPr>
          <w:b/>
        </w:rPr>
        <w:t>Actif</w:t>
      </w:r>
      <w:r>
        <w:t xml:space="preserve"> — forme injectable IM/IV lente</w:t>
      </w:r>
    </w:p>
    <w:p>
      <w:pPr>
        <w:pStyle w:val="ListBullet"/>
      </w:pPr>
      <w:r/>
      <w:r>
        <w:rPr>
          <w:b/>
        </w:rPr>
        <w:t>SEVENAL</w:t>
      </w:r>
      <w:r>
        <w:t xml:space="preserve"> (LAD PHARMA)</w:t>
      </w:r>
    </w:p>
    <w:p>
      <w:pPr>
        <w:pStyle w:val="ListBullet"/>
      </w:pPr>
      <w:r>
        <w:t>Formes et Dosages : Comprimé sécable 50 mg — B/20 ; Comprimé 100 mg — B/20</w:t>
      </w:r>
    </w:p>
    <w:p>
      <w:pPr>
        <w:pStyle w:val="ListBullet"/>
      </w:pPr>
      <w:r>
        <w:t xml:space="preserve">Statut : </w:t>
      </w:r>
      <w:r>
        <w:rPr>
          <w:b/>
        </w:rPr>
        <w:t>Actif</w:t>
      </w:r>
      <w:r/>
    </w:p>
    <w:p>
      <w:pPr>
        <w:pStyle w:val="ListBullet"/>
      </w:pPr>
      <w:r/>
      <w:r>
        <w:rPr>
          <w:b/>
        </w:rPr>
        <w:t>PHENOXAL</w:t>
      </w:r>
      <w:r>
        <w:t xml:space="preserve"> (BIOGALENIC)</w:t>
      </w:r>
    </w:p>
    <w:p>
      <w:pPr>
        <w:pStyle w:val="ListBullet"/>
      </w:pPr>
      <w:r>
        <w:t>Formes et Dosages : Comprimé sécable 100 mg — B/20</w:t>
      </w:r>
    </w:p>
    <w:p>
      <w:pPr>
        <w:pStyle w:val="ListBullet"/>
      </w:pPr>
      <w:r>
        <w:t xml:space="preserve">Statut : </w:t>
      </w:r>
      <w:r>
        <w:rPr>
          <w:b/>
        </w:rPr>
        <w:t>Actif</w:t>
      </w:r>
      <w:r/>
    </w:p>
    <w:p>
      <w:r>
        <w:t>Formes non renouvelables (à ne pas délivrer tant que le statut n'est pas réactivé) :</w:t>
      </w:r>
    </w:p>
    <w:p>
      <w:pPr>
        <w:pStyle w:val="ListBullet"/>
      </w:pPr>
      <w:r/>
      <w:r>
        <w:rPr>
          <w:b/>
        </w:rPr>
        <w:t>PHENOBARBITAL</w:t>
      </w:r>
      <w:r>
        <w:t xml:space="preserve"> (RENAUDIN)</w:t>
      </w:r>
    </w:p>
    <w:p>
      <w:pPr>
        <w:pStyle w:val="ListBullet"/>
      </w:pPr>
      <w:r>
        <w:t>Formes et Dosages : Poudre pour solution injectable 40 mg — B/1 ampoule de 1 mL (sous forme sodique)</w:t>
      </w:r>
    </w:p>
    <w:p>
      <w:pPr>
        <w:pStyle w:val="ListBullet"/>
      </w:pPr>
      <w:r>
        <w:t xml:space="preserve">Statut : </w:t>
      </w:r>
      <w:r>
        <w:rPr>
          <w:b/>
        </w:rPr>
        <w:t>Non Renouvelable</w:t>
      </w:r>
      <w:r/>
    </w:p>
    <w:p>
      <w:pPr>
        <w:pStyle w:val="ListBullet"/>
      </w:pPr>
      <w:r/>
      <w:r>
        <w:rPr>
          <w:b/>
        </w:rPr>
        <w:t>NEUROLAL</w:t>
      </w:r>
      <w:r>
        <w:t xml:space="preserve"> (GROUPE SAIDAL)</w:t>
      </w:r>
    </w:p>
    <w:p>
      <w:pPr>
        <w:pStyle w:val="ListBullet"/>
      </w:pPr>
      <w:r>
        <w:t>Formes et Dosages : Comprimé 50 mg — B/20 ; Comprimé 100 mg — B/20</w:t>
      </w:r>
    </w:p>
    <w:p>
      <w:pPr>
        <w:pStyle w:val="ListBullet"/>
      </w:pPr>
      <w:r>
        <w:t xml:space="preserve">Statut : </w:t>
      </w:r>
      <w:r>
        <w:rPr>
          <w:b/>
        </w:rPr>
        <w:t>Non Renouvelable</w:t>
      </w:r>
      <w:r/>
    </w:p>
    <w:p>
      <w:r>
        <w:t>Formes retirées (plus commercialisées en Algérie) :</w:t>
      </w:r>
    </w:p>
    <w:p>
      <w:pPr>
        <w:pStyle w:val="ListBullet"/>
      </w:pPr>
      <w:r/>
      <w:r>
        <w:rPr>
          <w:b/>
        </w:rPr>
        <w:t>NATISEDINE</w:t>
      </w:r>
      <w:r>
        <w:t xml:space="preserve"> (ELAIAPHARM) — Phénobarbital 25 mg + Extrait sec de passiflore 5 mg, comprimé pelliculé, B/40, Liste II — </w:t>
      </w:r>
      <w:r>
        <w:rPr>
          <w:b/>
        </w:rPr>
        <w:t>Retiré (R)</w:t>
      </w:r>
      <w:r>
        <w:t xml:space="preserve"> (association fixe « phytothérapie + barbiturique », historiquement utilisée comme anxiolytique léger — aujourd'hui obsolète).</w:t>
      </w:r>
    </w:p>
    <w:p>
      <w:pPr>
        <w:pStyle w:val="ListBullet"/>
      </w:pPr>
      <w:r/>
      <w:r>
        <w:rPr>
          <w:b/>
        </w:rPr>
        <w:t>GARDENAL</w:t>
      </w:r>
      <w:r>
        <w:t xml:space="preserve"> (AVENTIS) — Comprimé 50 mg, B/30, Liste II — </w:t>
      </w:r>
      <w:r>
        <w:rPr>
          <w:b/>
        </w:rPr>
        <w:t>Retiré (R)</w:t>
      </w:r>
      <w:r>
        <w:t xml:space="preserve"> (ancienne forme orale du princeps Aventis, supplantée par SEVENAL).</w:t>
      </w:r>
    </w:p>
    <w:p>
      <w:pPr>
        <w:pStyle w:val="ListBullet"/>
      </w:pPr>
      <w:r/>
      <w:r>
        <w:rPr>
          <w:b/>
        </w:rPr>
        <w:t>CALMENAL</w:t>
      </w:r>
      <w:r>
        <w:t xml:space="preserve"> (SANAMED) — Comprimé 50 mg, B/30 ; Comprimé 100 mg, B/30, Liste II — </w:t>
      </w:r>
      <w:r>
        <w:rPr>
          <w:b/>
        </w:rPr>
        <w:t>Retiré (R)</w:t>
      </w:r>
      <w:r>
        <w:t>.</w:t>
      </w:r>
    </w:p>
    <w:p>
      <w:pPr>
        <w:pStyle w:val="ListBullet"/>
      </w:pPr>
      <w:r/>
      <w:r>
        <w:rPr>
          <w:b/>
        </w:rPr>
        <w:t>NERVAL</w:t>
      </w:r>
      <w:r>
        <w:t xml:space="preserve"> (GROUPE SANTE) — Comprimé sécable 100 mg, B/20, Liste II — </w:t>
      </w:r>
      <w:r>
        <w:rPr>
          <w:b/>
        </w:rPr>
        <w:t>Retiré (R)</w:t>
      </w:r>
      <w:r>
        <w:t>.</w:t>
      </w:r>
    </w:p>
    <w:p>
      <w:pPr>
        <w:pStyle w:val="ListBullet"/>
      </w:pPr>
      <w:r/>
      <w:r>
        <w:rPr>
          <w:b/>
        </w:rPr>
        <w:t>PHENOBARBITAL</w:t>
      </w:r>
      <w:r>
        <w:t xml:space="preserve"> (MEDICUBA) — Comprimé 100 mg, B/10, Liste II — </w:t>
      </w:r>
      <w:r>
        <w:rPr>
          <w:b/>
        </w:rPr>
        <w:t>Retiré (R)</w:t>
      </w:r>
      <w:r>
        <w:t>.</w:t>
      </w:r>
    </w:p>
    <w:p>
      <w:pPr>
        <w:pStyle w:val="ListBullet"/>
      </w:pPr>
      <w:r/>
      <w:r>
        <w:rPr>
          <w:b/>
        </w:rPr>
        <w:t>APAROXAL</w:t>
      </w:r>
      <w:r>
        <w:t xml:space="preserve"> (PIERRE FABRE) — Comprimé sécable 100 mg, B/20, Liste II — </w:t>
      </w:r>
      <w:r>
        <w:rPr>
          <w:b/>
        </w:rPr>
        <w:t>Retiré (R)</w:t>
      </w:r>
      <w:r>
        <w:t>.</w:t>
      </w:r>
    </w:p>
    <w:p>
      <w:pPr>
        <w:pStyle w:val="ListBullet"/>
      </w:pPr>
      <w:r/>
      <w:r>
        <w:rPr>
          <w:b/>
        </w:rPr>
        <w:t>GARDENAL</w:t>
      </w:r>
      <w:r>
        <w:t xml:space="preserve"> (RHONE POULENC RORER) — Comprimé 100 mg, B/20, Liste II — </w:t>
      </w:r>
      <w:r>
        <w:rPr>
          <w:b/>
        </w:rPr>
        <w:t>Retiré (R)</w:t>
      </w:r>
      <w:r>
        <w:t xml:space="preserve"> (ancienne forme princeps).</w:t>
      </w:r>
    </w:p>
    <w:p>
      <w:r/>
      <w:r>
        <w:rPr>
          <w:i/>
        </w:rPr>
        <w:t>Note : le phénobarbital reste disponible en Algérie sous 3 marques actives (GARDENAL inj ATNAHS, SEVENAL 50/100 mg Lad Pharma, PHENOXAL 100 mg Biogalenic) — approvisionnement stable pour les indications courantes. Les formes retirées (CALMENAL, NERVAL, GARDENAL 100 mg Rhône-Poulenc, etc.) correspondent à d'anciennes présentations historiques, et le switch vers les formes actives (SEVENAL ou PHENOXAL) est trivial (équivalence stricte de dosage en mg).</w:t>
      </w:r>
      <w:r/>
    </w:p>
    <w:p>
      <w:r/>
      <w:r>
        <w:rPr>
          <w:b/>
        </w:rPr>
        <w:t>Sous-classe et Mécanisme d'action :</w:t>
      </w:r>
      <w:r/>
    </w:p>
    <w:p>
      <w:pPr>
        <w:pStyle w:val="ListBullet"/>
      </w:pPr>
      <w:r>
        <w:t>Sous-classe : Antiépileptiques anciens — barbituriques à longue durée d'action (long-acting barbiturates). Au sein de la classification IA, le phénobarbital a une efficacité prouvée sur les crises partielles et généralisées tonico-cloniques ; il est moins efficace sur les absences et les myoclonies (où il peut même aggraver certaines formes). Sa place actuelle dans la stratégie thérapeutique est limitée par sa tolérance neuropsychiatrique et son induction enzymatique massive — réservé aux situations de deuxième intention, d'épilepsies pharmaco-résistantes en association, d'urgences spécifiques (convulsions néonatales, sevrage alcoolique).</w:t>
      </w:r>
    </w:p>
    <w:p>
      <w:pPr>
        <w:pStyle w:val="ListBullet"/>
      </w:pPr>
      <w:r>
        <w:t xml:space="preserve">Mécanisme d'action : </w:t>
      </w:r>
      <w:r>
        <w:rPr>
          <w:b/>
        </w:rPr>
        <w:t>Potentialisation du GABA au récepteur GABA-A</w:t>
      </w:r>
      <w:r>
        <w:t xml:space="preserve"> — le phénobarbital se fixe à un site allostérique distinct de celui des benzodiazépines (situé à hauteur du channel pore du chlorure, entre les sous-unités α et β du récepteur pentamérique GABA-A). Cette fixation augmente la </w:t>
      </w:r>
      <w:r>
        <w:rPr>
          <w:b/>
        </w:rPr>
        <w:t>durée moyenne d'ouverture</w:t>
      </w:r>
      <w:r>
        <w:t xml:space="preserve"> du canal Cl- (sans en augmenter la fréquence d'ouverture — ce dernier effet étant propre aux BZD), provoquant une hyperpolarisation post-synaptique et une élévation du seuil épileptogène. À forte dose, le phénobarbital a un effet GABA-mimétique direct (ouverture du canal Cl- même en l'absence de GABA — d'où la toxicité respiratoire à dose massive). Mécanisme additionnel : </w:t>
      </w:r>
      <w:r>
        <w:rPr>
          <w:b/>
        </w:rPr>
        <w:t>blocage use-dependent des canaux Na+ voltage-dépendants</w:t>
      </w:r>
      <w:r>
        <w:t xml:space="preserve"> (effet moins marqué que la phénytoïne mais participant à l'efficacité antiépileptique). Mécanisme secondaire : </w:t>
      </w:r>
      <w:r>
        <w:rPr>
          <w:b/>
        </w:rPr>
        <w:t>inhibition des canaux calciques voltage-dépendants de type L</w:t>
      </w:r>
      <w:r>
        <w:t xml:space="preserve"> (à forte dose). L'effet net est une dépression globale de l'excitabilité neuronale — d'où l'efficacité antiépileptique mais aussi la sédation, les troubles cognitifs et la dépression respiratoire à dose toxique.</w:t>
      </w:r>
    </w:p>
    <w:p>
      <w:r/>
      <w:r>
        <w:rPr>
          <w:b/>
        </w:rPr>
        <w:t>Profil Pharmacologique :</w:t>
      </w:r>
      <w:r/>
    </w:p>
    <w:p>
      <w:pPr>
        <w:pStyle w:val="ListBullet"/>
      </w:pPr>
      <w:r>
        <w:t>Indications :</w:t>
      </w:r>
    </w:p>
    <w:p>
      <w:pPr>
        <w:pStyle w:val="ListBullet"/>
      </w:pPr>
      <w:r>
        <w:t>Épilepsies partielles et généralisées tonico-cloniques de l'adulte (deuxième intention — alternative aux AE modernes).</w:t>
      </w:r>
    </w:p>
    <w:p>
      <w:pPr>
        <w:pStyle w:val="ListBullet"/>
      </w:pPr>
      <w:r>
        <w:t>Convulsions néonatales (seizures néonatales — indication spécifique, dose 20 mg/kg IM/IV).</w:t>
      </w:r>
    </w:p>
    <w:p>
      <w:pPr>
        <w:pStyle w:val="ListBullet"/>
      </w:pPr>
      <w:r>
        <w:t>Prophylaxie des crises convulsives du sevrage alcoolique (en complément des BZD — discutable, ne pas utiliser en première intention).</w:t>
      </w:r>
    </w:p>
    <w:p>
      <w:pPr>
        <w:pStyle w:val="ListBullet"/>
      </w:pPr>
      <w:r>
        <w:t>Épilepsies pharmaco-résistantes en association.</w:t>
      </w:r>
    </w:p>
    <w:p>
      <w:pPr>
        <w:pStyle w:val="ListBullet"/>
      </w:pPr>
      <w:r>
        <w:t>Hors-AMM : choléstase intrahépatique gravidique sévère (alternative à l'acide ursodésoxycholique — discutable en raison de la tératogénicité) ; certains troubles du sommeil sévères (aujourd'hui obsolète, préférer zolpidem/zopiclone).</w:t>
      </w:r>
    </w:p>
    <w:p>
      <w:pPr>
        <w:pStyle w:val="ListBullet"/>
      </w:pPr>
      <w:r>
        <w:t>Contre-indications :</w:t>
      </w:r>
    </w:p>
    <w:p>
      <w:pPr>
        <w:pStyle w:val="ListBullet"/>
      </w:pPr>
      <w:r>
        <w:t>Porphyrie intermittente aiguë, porphyrie variegata, coproporphyrie héréditaire — induction de l'ALA-synthétase et de la ferrochelatase → crises aiguës potentiellement létales.</w:t>
      </w:r>
    </w:p>
    <w:p>
      <w:pPr>
        <w:pStyle w:val="ListBullet"/>
      </w:pPr>
      <w:r>
        <w:t>Myasthénie grave (dépression neuromusculaire).</w:t>
      </w:r>
    </w:p>
    <w:p>
      <w:pPr>
        <w:pStyle w:val="ListBullet"/>
      </w:pPr>
      <w:r>
        <w:t>Insuffisance respiratoire sévère (BPCO décompensé, asthme aigu sévère — dépression respiratoire additive).</w:t>
      </w:r>
    </w:p>
    <w:p>
      <w:pPr>
        <w:pStyle w:val="ListBullet"/>
      </w:pPr>
      <w:r>
        <w:t>Syndrome d'apnée du sommeil sévère.</w:t>
      </w:r>
    </w:p>
    <w:p>
      <w:pPr>
        <w:pStyle w:val="ListBullet"/>
      </w:pPr>
      <w:r>
        <w:t>Hypersensibilité connue aux barbituriques (cross-réactivité possible entre tous les barbituriques).</w:t>
      </w:r>
    </w:p>
    <w:p>
      <w:pPr>
        <w:pStyle w:val="ListBullet"/>
      </w:pPr>
      <w:r>
        <w:t>Grossesse (à éviter sauf nécessité absolue — syndrome fœtal barbiturique).</w:t>
      </w:r>
    </w:p>
    <w:p>
      <w:pPr>
        <w:pStyle w:val="ListBullet"/>
      </w:pPr>
      <w:r>
        <w:t>Précautions : insuffisance hépatique (adaptation posologique), insuffisance rénale (adaptation posologique), sujet âgé (réduction posologique initiale — risque de sédation excessive et de chutes), antécédents psychiatriques (dépression, suicidalité — risque d'aggravation).</w:t>
      </w:r>
    </w:p>
    <w:p>
      <w:pPr>
        <w:pStyle w:val="ListBullet"/>
      </w:pPr>
      <w:r>
        <w:t>Effets indésirables :</w:t>
      </w:r>
    </w:p>
    <w:p>
      <w:pPr>
        <w:pStyle w:val="ListBullet"/>
      </w:pPr>
      <w:r/>
      <w:r>
        <w:rPr>
          <w:b/>
        </w:rPr>
        <w:t>Neurologiques et cognitifs dose-dépendants</w:t>
      </w:r>
      <w:r>
        <w:t xml:space="preserve"> : somnolence, sédation (très fréquente, 30-50 %, surtout en début de traitement — partiellement atténuée après quelques semaines d'adaptation), troubles de la mémoire (à court terme — antérograde), difficultés de concentration, ralentissement idéomoteur, dépression (incidence accrue — surveillance psychiatrique), irritabilité paradoxale chez l'enfant et le sujet âgé (excitation paradoxale — dysinhibition), ataxie, vertiges, nystagmus (à dose toxique), confusion (sujet âgé — souvent méconnue et attribuée à tort à la démence).</w:t>
      </w:r>
    </w:p>
    <w:p>
      <w:pPr>
        <w:pStyle w:val="ListBullet"/>
      </w:pPr>
      <w:r/>
      <w:r>
        <w:rPr>
          <w:b/>
        </w:rPr>
        <w:t>Psychiatriques</w:t>
      </w:r>
      <w:r>
        <w:t xml:space="preserve"> : dépression (incidence multipliée par 2-3 — surveillance clinique, suicidalité), réactions paradoxales (agressivité, agitation — particulièrement chez l'enfant et le sujet âgé).</w:t>
      </w:r>
    </w:p>
    <w:p>
      <w:pPr>
        <w:pStyle w:val="ListBullet"/>
      </w:pPr>
      <w:r/>
      <w:r>
        <w:rPr>
          <w:b/>
        </w:rPr>
        <w:t>Cutanés</w:t>
      </w:r>
      <w:r>
        <w:t xml:space="preserve"> : rash maculopapuleux bénin (5-10 %), Stevens-Johnson (SJS) et syndrome de Lyell (NET) — rares mais graves (cross-réactivité possible avec la phénytoïne et la carbamazépine — phénotype commun d'hypersensibilité aux AE anciens), éruptions fixes pigmentaires.</w:t>
      </w:r>
    </w:p>
    <w:p>
      <w:pPr>
        <w:pStyle w:val="ListBullet"/>
      </w:pPr>
      <w:r/>
      <w:r>
        <w:rPr>
          <w:b/>
        </w:rPr>
        <w:t>Hématologiques</w:t>
      </w:r>
      <w:r>
        <w:t xml:space="preserve"> : thrombopénie, leucopénie, anémie mégaloblastique (par antagonisme de l'acide folique — supplémentation), rarement anémie aplasique.</w:t>
      </w:r>
    </w:p>
    <w:p>
      <w:pPr>
        <w:pStyle w:val="ListBullet"/>
      </w:pPr>
      <w:r/>
      <w:r>
        <w:rPr>
          <w:b/>
        </w:rPr>
        <w:t>Métaboliques et endocriniennes</w:t>
      </w:r>
      <w:r>
        <w:t xml:space="preserve"> : ostéomalacie (induction du catabolisme de la vitamine D — supplémentation vitamine D3 + calcium), hypocalcémie, rachitisme carentiel chez l'enfant, hyperhomocystéinémie (par carence folique), baisse de la T3/T4 (induction de la déiodation périphérique — sans hypothyroïdie clinique en général), augmentation du SHBG (sex hormone-binding globulin — baisse de la testostérone libre et de l'estradiol libre).</w:t>
      </w:r>
    </w:p>
    <w:p>
      <w:pPr>
        <w:pStyle w:val="ListBullet"/>
      </w:pPr>
      <w:r/>
      <w:r>
        <w:rPr>
          <w:b/>
        </w:rPr>
        <w:t>Hépatiques</w:t>
      </w:r>
      <w:r>
        <w:t xml:space="preserve"> : cytolyse modeste (5-10 %), rare hépatite immuno-allergique.</w:t>
      </w:r>
    </w:p>
    <w:p>
      <w:pPr>
        <w:pStyle w:val="ListBullet"/>
      </w:pPr>
      <w:r/>
      <w:r>
        <w:rPr>
          <w:b/>
        </w:rPr>
        <w:t>Immunologiques</w:t>
      </w:r>
      <w:r>
        <w:t xml:space="preserve"> : lymphadenopathie, pseudolymphome, DRESS (rare mais grave — arrêt définitif).</w:t>
      </w:r>
    </w:p>
    <w:p>
      <w:pPr>
        <w:pStyle w:val="ListBullet"/>
      </w:pPr>
      <w:r/>
      <w:r>
        <w:rPr>
          <w:b/>
        </w:rPr>
        <w:t>Tératogénicité</w:t>
      </w:r>
      <w:r>
        <w:t xml:space="preserve"> : syndrome fœtal barbiturique — craniofacial dysmorphisme (semblable à celui de la phénytoïne), fentes labio-palatines, malformations cardiaques (incidence majorée), hypoplasie des phalanges distales, retard psychomoteur. Risque dose-dépendant.</w:t>
      </w:r>
    </w:p>
    <w:p>
      <w:pPr>
        <w:pStyle w:val="ListBullet"/>
      </w:pPr>
      <w:r/>
      <w:r>
        <w:rPr>
          <w:b/>
        </w:rPr>
        <w:t>Dependence et tolerance</w:t>
      </w:r>
      <w:r>
        <w:t xml:space="preserve"> : tolérance pharmacodynamique (baisse de l'effet sédatif mais conservation de l'effet antiépileptique — d'où la possibilité de traitements prolongés sans escalade de dose), dépendance physique (syndrome de sevrage à l'arrêt brutal — crise, état de mal, anxiété, tremblements, insomnie — arrêt TOUJOURS progressif sur plusieurs semaines).</w:t>
      </w:r>
    </w:p>
    <w:p>
      <w:r/>
      <w:r>
        <w:rPr>
          <w:b/>
        </w:rPr>
        <w:t>Prévention et Gestion des Effets Indésirables :</w:t>
      </w:r>
      <w:r/>
    </w:p>
    <w:p>
      <w:pPr>
        <w:pStyle w:val="ListBullet"/>
      </w:pPr>
      <w:r>
        <w:t>Mesures préventives :</w:t>
      </w:r>
    </w:p>
    <w:p>
      <w:pPr>
        <w:pStyle w:val="ListBullet"/>
      </w:pPr>
      <w:r>
        <w:t>Surveillance thérapeutique (TDM) : phénobarbitalémie à l'équilibre (4-5 demi-vies, soit 3-4 semaines après initiation/changement de dose), gamme thérapeutique 15-40 mg/L (60-160 µmol/L). Renforcement de la surveillance en cas de modification de posologie, d'ajout/retrait d'un interacting, chez le sujet âgé, l'insuffisant rénal/hépatique, et chez le nouveau-né (clairance immature).</w:t>
      </w:r>
    </w:p>
    <w:p>
      <w:pPr>
        <w:pStyle w:val="ListBullet"/>
      </w:pPr>
      <w:r>
        <w:t>Bilan pré-thérapeutique : NFS-plaquettes, bilan hépatique (ALAT/ASAT/GGT/palidité), ionogramme, calcémie, phosphorémie, 25-OH-vitamine D, parathormone, ECG (détection troubles du rythme), évaluation psychiatrique initiale (recherche de dépression, suicidalité).</w:t>
      </w:r>
    </w:p>
    <w:p>
      <w:pPr>
        <w:pStyle w:val="ListBullet"/>
      </w:pPr>
      <w:r>
        <w:t xml:space="preserve">Supplémentation systématique : </w:t>
      </w:r>
      <w:r>
        <w:rPr>
          <w:b/>
        </w:rPr>
        <w:t>acide folique 5 mg/jour</w:t>
      </w:r>
      <w:r>
        <w:t xml:space="preserve"> chez la femme en âge de procréer (prévention anémie mégaloblastique et tératogénicité) ; </w:t>
      </w:r>
      <w:r>
        <w:rPr>
          <w:b/>
        </w:rPr>
        <w:t>vitamine D3 800-2000 UI/jour</w:t>
      </w:r>
      <w:r>
        <w:t xml:space="preserve"> (prévention ostéomalacie) + calcium 500-1000 mg/jour.</w:t>
      </w:r>
    </w:p>
    <w:p>
      <w:pPr>
        <w:pStyle w:val="ListBullet"/>
      </w:pPr>
      <w:r>
        <w:t>Information du patient : ne jamais arrêter brutalement (risque de sevrage — état de mal épileptique) ; prévenir en cas de projet de grossesse ; éviter la consommation d'alcool (potentialisation de la sédation et de la dépression respiratoire) ; prévenir en cas de prise d'autres médicaments (interactions multiples).</w:t>
      </w:r>
    </w:p>
    <w:p>
      <w:pPr>
        <w:pStyle w:val="ListBullet"/>
      </w:pPr>
      <w:r>
        <w:t>Conduite à tenir :</w:t>
      </w:r>
    </w:p>
    <w:p>
      <w:pPr>
        <w:pStyle w:val="ListBullet"/>
      </w:pPr>
      <w:r>
        <w:t>En cas de sédation excessive : réduction posologique de 25-50 %, surveillance clinique 2-4 semaines (la tolérance pharmacodynamique se développe en quelques semaines — la dose peut parfois être remontée secondairement sans récidive de la sédation).</w:t>
      </w:r>
    </w:p>
    <w:p>
      <w:pPr>
        <w:pStyle w:val="ListBullet"/>
      </w:pPr>
      <w:r>
        <w:t>En cas de dépression : évaluation psychiatrique, switch vers un AE moderne non dépressogène (lamotrigine, lévétiracétam) si possible ; prise en charge psychiatrique spécialisée.</w:t>
      </w:r>
    </w:p>
    <w:p>
      <w:pPr>
        <w:pStyle w:val="ListBullet"/>
      </w:pPr>
      <w:r>
        <w:t>En cas de DRESS : arrêt immédiat et définitif (cross-réactivité possible avec la phénytoïne et la carbamazépine — ne pas utiliser ces molécules par la suite), hospitalisation, corticothérapie générale discutée.</w:t>
      </w:r>
    </w:p>
    <w:p>
      <w:pPr>
        <w:pStyle w:val="ListBullet"/>
      </w:pPr>
      <w:r>
        <w:t>En cas de rash cutané bénin : arrêt transitoire, réintroduction prudente à dose réduite avec surveillance ; en cas de signe de sévérité (bulles, décollement, fièvre, atteinte muqueuse) — arrêt définitif.</w:t>
      </w:r>
    </w:p>
    <w:p>
      <w:pPr>
        <w:pStyle w:val="ListBullet"/>
      </w:pPr>
      <w:r>
        <w:t>En cas d'ostéomalacie biologique (baisse 25-OH-vitamine D &lt; 20 ng/mL, hypocalcémie, augmentation PAL) : supplémentation vitamine D3 2000-4000 UI/jour + calcium 1000-1500 mg/jour, surveillance biologique trimestrielle.</w:t>
      </w:r>
    </w:p>
    <w:p>
      <w:pPr>
        <w:pStyle w:val="ListBullet"/>
      </w:pPr>
      <w:r>
        <w:t>En cas de grossesse planifiée : switch thérapeutique pré-conceptionnel vers lamotrigine ou lévétiracétam (profil tératogène plus favorable) ; si grossesse déjà engagée : ne pas arrêter brutalement, consultation neurologie-périnatale, supplementation acide folique 5 mg/jour, surveillance échographique spécialisée.</w:t>
      </w:r>
    </w:p>
    <w:p>
      <w:pPr>
        <w:pStyle w:val="ListBullet"/>
      </w:pPr>
      <w:r>
        <w:t>En cas de surdosage massif (phénobarbitalémie &gt; 80 mg/L) : hospitalisation réanimation, intubation-ventilation mécanique si coma, alcalinisation urinaire (bicarbonate de sodium IV pour pH urinaire &gt; 7,5 — augmente l'excrétion rénale du phénobarbital ionisé), hémoperfusion sur charbon actif (efficace — à discuter en cas de coma profond), surveillance continue.</w:t>
      </w:r>
    </w:p>
    <w:p>
      <w:r/>
      <w:r>
        <w:rPr>
          <w:b/>
        </w:rPr>
        <w:t>Interactions Importantes :</w:t>
      </w:r>
      <w:r/>
    </w:p>
    <w:p>
      <w:pPr>
        <w:pStyle w:val="ListBullet"/>
      </w:pPr>
      <w:r/>
      <w:r>
        <w:rPr>
          <w:b/>
        </w:rPr>
        <w:t>Phénobarbital + inducteurs enzymatiques</w:t>
      </w:r>
      <w:r>
        <w:t xml:space="preserve"> : rifampicine, carbamazépine, phénytoïne, alcool chronique, millepertuis (Hypericum perforatum), efavirenz, nevirapine → </w:t>
      </w:r>
      <w:r>
        <w:rPr>
          <w:b/>
        </w:rPr>
        <w:t>induction enzymatique additive</w:t>
      </w:r>
      <w:r>
        <w:t xml:space="preserve"> : effet synergique de baisse des taux de TOUT médicament métabolisé par le CYP3A4/CYP2C9/CYP2C19.</w:t>
      </w:r>
    </w:p>
    <w:p>
      <w:pPr>
        <w:pStyle w:val="ListBullet"/>
      </w:pPr>
      <w:r/>
      <w:r>
        <w:rPr>
          <w:b/>
        </w:rPr>
        <w:t>Phénobarbital + inhibiteurs enzymatiques</w:t>
      </w:r>
      <w:r>
        <w:t xml:space="preserve"> : valproate (inhibition du CYP2C9 + déplacement protéique — augmentation transitoire de la forme libre puis équilibration à la baisse par induction), fluconazole, itraconazole, voriconazole, fluvoxamine, fluoxétine, isoniazide, chloramphénicol, cimétidine, propoxyphène → </w:t>
      </w:r>
      <w:r>
        <w:rPr>
          <w:b/>
        </w:rPr>
        <w:t>augmentation de la phénobarbitalémie</w:t>
      </w:r>
      <w:r>
        <w:t xml:space="preserve"> avec risque toxique (sédation excessive, dépression respiratoire).</w:t>
      </w:r>
    </w:p>
    <w:p>
      <w:pPr>
        <w:pStyle w:val="ListBullet"/>
      </w:pPr>
      <w:r/>
      <w:r>
        <w:rPr>
          <w:b/>
        </w:rPr>
        <w:t>Phénobarbital + contraceptifs oraux estroprogestatifs</w:t>
      </w:r>
      <w:r>
        <w:t xml:space="preserve"> : </w:t>
      </w:r>
      <w:r>
        <w:rPr>
          <w:b/>
        </w:rPr>
        <w:t>induction enzymatique massive (CYP3A4)</w:t>
      </w:r>
      <w:r>
        <w:t xml:space="preserve"> → </w:t>
      </w:r>
      <w:r>
        <w:rPr>
          <w:b/>
        </w:rPr>
        <w:t>baisse d'efficacité contraceptive majeure → grossesse non désirée (et terrain tératogène !)</w:t>
      </w:r>
      <w:r>
        <w:t>. Recommandation : méthode contraceptive non hormonale (DIU cuivre, préservatif) ou contraception microprogestative à dose efficace (desogestrel 75 µg — discutable, préférer DIU) pendant toute la durée du traitement et 4-8 semaines après l'arrêt.</w:t>
      </w:r>
    </w:p>
    <w:p>
      <w:pPr>
        <w:pStyle w:val="ListBullet"/>
      </w:pPr>
      <w:r/>
      <w:r>
        <w:rPr>
          <w:b/>
        </w:rPr>
        <w:t>Phénobarbital + anticoagulants oraux (warfarine, acénocoumarol)</w:t>
      </w:r>
      <w:r>
        <w:t xml:space="preserve"> : induction enzymatique → baisse de l'INR → risque thrombotique. Surveillance INR rapprochée (toutes les 1-2 semaines pendant 4-6 semaines à chaque modification), adaptation posologique de l'anticoagulant (augmentation de 30-100 % possible).</w:t>
      </w:r>
    </w:p>
    <w:p>
      <w:pPr>
        <w:pStyle w:val="ListBullet"/>
      </w:pPr>
      <w:r/>
      <w:r>
        <w:rPr>
          <w:b/>
        </w:rPr>
        <w:t>Phénobarbital + autres antiépileptiques</w:t>
      </w:r>
      <w:r>
        <w:t xml:space="preserve"> : phénytoïne (effet variable — généralement baisse de la phénytoïnémie par induction, mais augmentation possible si inhibition compétitive), carbamazépine (baisse réciproque des taux), valproate (augmentation de la phénobarbitalémie par inhibition CYP2C9 + déplacement protéique — surveillance clinique rapprochée et réduction de 25-50 % de la dose de phénobarbital), lamotrigine (baisse de la lamotrigine par induction UGT1A4 — adaptation posologique à la hausse), topiramate, lévétiracétam (pas d'interaction PK significative — association favorable).</w:t>
      </w:r>
    </w:p>
    <w:p>
      <w:pPr>
        <w:pStyle w:val="ListBullet"/>
      </w:pPr>
      <w:r/>
      <w:r>
        <w:rPr>
          <w:b/>
        </w:rPr>
        <w:t>Phénobarbital + antirétroviraux</w:t>
      </w:r>
      <w:r>
        <w:t xml:space="preserve"> : induction enzymatique massive → baisse d'efficacité des inhibiteurs de protéase (IP), des INNTI (sauf efavirenz et nevirapine — eux-mêmes inducteurs), des INTI ; contre-indication pratique pour de nombreux antirétroviraux.</w:t>
      </w:r>
    </w:p>
    <w:p>
      <w:pPr>
        <w:pStyle w:val="ListBullet"/>
      </w:pPr>
      <w:r/>
      <w:r>
        <w:rPr>
          <w:b/>
        </w:rPr>
        <w:t>Phénobarbital + chimiothérapie anticancéreuse</w:t>
      </w:r>
      <w:r>
        <w:t xml:space="preserve"> : interactions multiples (doxorubicine, méthotrexate, vincristine, paclitaxel, irinotécan) — anticipation oncologique.</w:t>
      </w:r>
    </w:p>
    <w:p>
      <w:pPr>
        <w:pStyle w:val="ListBullet"/>
      </w:pPr>
      <w:r/>
      <w:r>
        <w:rPr>
          <w:b/>
        </w:rPr>
        <w:t>Phénobarbital + corticoïdes</w:t>
      </w:r>
      <w:r>
        <w:t xml:space="preserve"> : induction enzymatique → baisse d'efficacité des corticoïdes (prednisone, dexaméthasone, hydrocortisone) — augmentation des doses nécessaire.</w:t>
      </w:r>
    </w:p>
    <w:p>
      <w:pPr>
        <w:pStyle w:val="ListBullet"/>
      </w:pPr>
      <w:r/>
      <w:r>
        <w:rPr>
          <w:b/>
        </w:rPr>
        <w:t>Phénobarbital + doxycycline, tétracyclines</w:t>
      </w:r>
      <w:r>
        <w:t xml:space="preserve"> : induction enzymatique → baisse d'efficacité antibiotique — préférer une autre classe antibiotique.</w:t>
      </w:r>
    </w:p>
    <w:p>
      <w:pPr>
        <w:pStyle w:val="ListBullet"/>
      </w:pPr>
      <w:r/>
      <w:r>
        <w:rPr>
          <w:b/>
        </w:rPr>
        <w:t>Phénobarbital + théophylline</w:t>
      </w:r>
      <w:r>
        <w:t xml:space="preserve"> : induction enzymatique → baisse de la théophyllinémie — surveillance double, adaptation posologique.</w:t>
      </w:r>
    </w:p>
    <w:p>
      <w:pPr>
        <w:pStyle w:val="ListBullet"/>
      </w:pPr>
      <w:r/>
      <w:r>
        <w:rPr>
          <w:b/>
        </w:rPr>
        <w:t>Phénobarbital + ciclosporine, tacrolimus, sirolimus</w:t>
      </w:r>
      <w:r>
        <w:t xml:space="preserve"> : induction enzymatique → baisse drastique des immunosuppresseurs → risque de rejet de greffe. Contre-indication pratique chez le transplanté.</w:t>
      </w:r>
    </w:p>
    <w:p>
      <w:pPr>
        <w:pStyle w:val="ListBullet"/>
      </w:pPr>
      <w:r/>
      <w:r>
        <w:rPr>
          <w:b/>
        </w:rPr>
        <w:t>Phénobarbital + alcool</w:t>
      </w:r>
      <w:r>
        <w:t xml:space="preserve"> : potentialisation pharmacodynamique (sédation, dépression respiratoire) — contre-indication à la consommation d'alcool.</w:t>
      </w:r>
    </w:p>
    <w:p>
      <w:pPr>
        <w:pStyle w:val="ListBullet"/>
      </w:pPr>
      <w:r/>
      <w:r>
        <w:rPr>
          <w:b/>
        </w:rPr>
        <w:t>Phénobarbital + autres dépresseurs du SNC</w:t>
      </w:r>
      <w:r>
        <w:t xml:space="preserve"> : opioïdes (morphine, codéine, oxycodone — risque de dépression respiratoire), antihistaminiques H1 sédatifs (hydroxyzine, alimémazine), autres BZD, antidépresseurs tricycliques, antipsychotiques — potentialisation pharmacodynamique.</w:t>
      </w:r>
    </w:p>
    <w:p>
      <w:pPr>
        <w:pStyle w:val="ListBullet"/>
      </w:pPr>
      <w:r/>
      <w:r>
        <w:rPr>
          <w:b/>
        </w:rPr>
        <w:t>Phénobarbital + acide valproïque</w:t>
      </w:r>
      <w:r>
        <w:t xml:space="preserve"> : cf. supra — augmentation de la phénobarbitalémie (inhibition + déplacement) — surveillance rapprochée, réduction de 25-50 % de la dose de phénobarbital.</w:t>
      </w:r>
    </w:p>
    <w:p>
      <w:r/>
      <w:r>
        <w:rPr>
          <w:b/>
        </w:rPr>
        <w:t>Grossesse et Allaitement :</w:t>
      </w:r>
      <w:r/>
    </w:p>
    <w:p>
      <w:pPr>
        <w:pStyle w:val="ListBullet"/>
      </w:pPr>
      <w:r>
        <w:t xml:space="preserve">Grossesse : selon le CRAT, le phénobarbital est classé « à éviter » (équivalent ancien : catégorie D). Risque de </w:t>
      </w:r>
      <w:r>
        <w:rPr>
          <w:b/>
        </w:rPr>
        <w:t>syndrome fœtal barbiturique</w:t>
      </w:r>
      <w:r>
        <w:t xml:space="preserve"> : 5-10 % de malformations majeures (fente labio-palatine x 5-10, malformations cardiaques, hypoplasie des phalanges distales, anomalies du SNC), 30 % de traits dysmorphiques mineurs (craniofacial dysmorphisme semblable à celui de la phénytoïne — hyperthélorisme, hypoplasie nasale, front bombant). Risque dose-dépendant (mais sans seuil strict — même à dose thérapeutique). Le risque est majoré en cas de polythérapie (valproate + phénobarbital + phénytoïne). </w:t>
      </w:r>
      <w:r>
        <w:rPr>
          <w:b/>
        </w:rPr>
        <w:t>Syndrome de sevrage néonatal</w:t>
      </w:r>
      <w:r>
        <w:t xml:space="preserve"> : risque d'agitation, tremblements, difficultés d'alimentation, hypertonie, convulsions néonatales dans les 24-72 h post-partum (demi-vie néonatale prolongée 80-200 h). Risque de </w:t>
      </w:r>
      <w:r>
        <w:rPr>
          <w:b/>
        </w:rPr>
        <w:t>saignement néonatal</w:t>
      </w:r>
      <w:r>
        <w:t xml:space="preserve"> (induction du catabolisme de la vitamine K — administration systématique de vitamine K1 1 mg IM à la naissance). Risque de </w:t>
      </w:r>
      <w:r>
        <w:rPr>
          <w:b/>
        </w:rPr>
        <w:t>retard psychomoteur</w:t>
      </w:r>
      <w:r>
        <w:t xml:space="preserve"> chez l'enfant exposé in utero (baisse du QI moyenne 5-10 points selon les cohortes).</w:t>
      </w:r>
    </w:p>
    <w:p>
      <w:pPr>
        <w:pStyle w:val="ListBullet"/>
      </w:pPr>
      <w:r/>
      <w:r>
        <w:rPr>
          <w:b/>
        </w:rPr>
        <w:t>Conduite à tenir</w:t>
      </w:r>
      <w:r>
        <w:t xml:space="preserve"> : (1) </w:t>
      </w:r>
      <w:r>
        <w:rPr>
          <w:b/>
        </w:rPr>
        <w:t>pré-conceptionnel</w:t>
      </w:r>
      <w:r>
        <w:t xml:space="preserve"> : switch vers lamotrigine ou lévétiracétam (profil tératogène plus favorable) si possible ; (2) si grossesse déjà engagée : ne pas arrêter brutalement (risque de mal convulsif), consultation neurologie-périnatale, supplémentation acide folique 5 mg/jour dès pré-conceptionnel et pendant toute la grossesse, surveillance échographique spécialisée (18-22 SA), déclaration de grossesse sous phénobarbital à la pharmacovigilance. La phénobarbitalémie chute au 2e-3e trimestre (expansion volémique) — adaptation posologique guidée par la phénobarbitalémie.</w:t>
      </w:r>
    </w:p>
    <w:p>
      <w:pPr>
        <w:pStyle w:val="ListBullet"/>
      </w:pPr>
      <w:r>
        <w:t xml:space="preserve">Allaitement : selon le CRAT et l'OMS, </w:t>
      </w:r>
      <w:r>
        <w:rPr>
          <w:b/>
        </w:rPr>
        <w:t>compatible avec surveillance stricte</w:t>
      </w:r>
      <w:r>
        <w:t xml:space="preserve"> (rapport concentration lait/plasma = 0,4-0,5 — dose ingérée par le nourrisson ≈ 1-3 % de la dose maternelle pondérée). Surveillance : sédation, hypotonie, mauvaise succion, troubles de la croissance, évaluation du score de sevrage néonatal (Lipsitz). Préférer un AE moderne (lamotrigine, lévétiracétam) si allaitement prolongé prévu. Le phénobarbital peut être utilisé si le bénéfice maternel l'emporte et en cas d'impossibilité de switch.</w:t>
      </w:r>
    </w:p>
    <w:p>
      <w:pPr>
        <w:pStyle w:val="ListBullet"/>
      </w:pPr>
      <w:r>
        <w:t>Précisions : supplémentation acide folique 5 mg/jour pré-conceptionnelle et pendant la grossesse ; supplémentation vitamine D3 800-2000 UI/jour ; vitamine K1 1 mg IM à la naissance (prévention hémorragie néonatale) ; surveillance échographique trimestrielle ; accouchement en milieu spécialisé.</w:t>
      </w:r>
    </w:p>
    <w:p>
      <w:r/>
      <w:r>
        <w:rPr>
          <w:b/>
        </w:rPr>
        <w:t>Posologie et Mode d'administration (Standard) :</w:t>
      </w:r>
      <w:r/>
    </w:p>
    <w:p>
      <w:pPr>
        <w:pStyle w:val="ListBullet"/>
      </w:pPr>
      <w:r>
        <w:t>Adulte :</w:t>
      </w:r>
    </w:p>
    <w:p>
      <w:pPr>
        <w:pStyle w:val="ListBullet"/>
      </w:pPr>
      <w:r/>
      <w:r>
        <w:rPr>
          <w:b/>
        </w:rPr>
        <w:t>Initiation</w:t>
      </w:r>
      <w:r>
        <w:t xml:space="preserve"> (orale) : 50 mg/jour au coucher, augmentation par paliers de 50 mg toutes les 1-2 semaines selon la tolérance et la réponse clinique.</w:t>
      </w:r>
    </w:p>
    <w:p>
      <w:pPr>
        <w:pStyle w:val="ListBullet"/>
      </w:pPr>
      <w:r/>
      <w:r>
        <w:rPr>
          <w:b/>
        </w:rPr>
        <w:t>Dose d'entretien habituelle</w:t>
      </w:r>
      <w:r>
        <w:t xml:space="preserve"> : 50-200 mg/jour en 1 prise (le soir, en raison de la longue demi-vie et de la sédation induite). Certains patients peuvent nécessiter jusqu'à 300 mg/jour.</w:t>
      </w:r>
    </w:p>
    <w:p>
      <w:pPr>
        <w:pStyle w:val="ListBullet"/>
      </w:pPr>
      <w:r/>
      <w:r>
        <w:rPr>
          <w:b/>
        </w:rPr>
        <w:t>Dose maximale</w:t>
      </w:r>
      <w:r>
        <w:t xml:space="preserve"> : 300-400 mg/jour (au-delà, toxicité probable).</w:t>
      </w:r>
    </w:p>
    <w:p>
      <w:pPr>
        <w:pStyle w:val="ListBullet"/>
      </w:pPr>
      <w:r/>
      <w:r>
        <w:rPr>
          <w:b/>
        </w:rPr>
        <w:t>Convulsions néonatales</w:t>
      </w:r>
      <w:r>
        <w:t xml:space="preserve"> : 20 mg/kg IM/IV en dose unique (suivi d'un entretien à 5 mg/kg/jour).</w:t>
      </w:r>
    </w:p>
    <w:p>
      <w:pPr>
        <w:pStyle w:val="ListBullet"/>
      </w:pPr>
      <w:r/>
      <w:r>
        <w:rPr>
          <w:b/>
        </w:rPr>
        <w:t>Sevrage alcoolique</w:t>
      </w:r>
      <w:r>
        <w:t xml:space="preserve"> (prophylaxie des crises) : 200 mg IM/IV toutes les 6 h pendant 24 h (à adapter), en complément d'une BZD (diazépam, lorazépam) — discutable en raison de la tolérance cognitif.</w:t>
      </w:r>
    </w:p>
    <w:p>
      <w:pPr>
        <w:pStyle w:val="ListBullet"/>
      </w:pPr>
      <w:r>
        <w:t>Enfant :</w:t>
      </w:r>
    </w:p>
    <w:p>
      <w:pPr>
        <w:pStyle w:val="ListBullet"/>
      </w:pPr>
      <w:r/>
      <w:r>
        <w:rPr>
          <w:b/>
        </w:rPr>
        <w:t>Initiation orale</w:t>
      </w:r>
      <w:r>
        <w:t xml:space="preserve"> : 1-2 mg/kg/jour en 1-2 prises, augmentation progressive.</w:t>
      </w:r>
    </w:p>
    <w:p>
      <w:pPr>
        <w:pStyle w:val="ListBullet"/>
      </w:pPr>
      <w:r/>
      <w:r>
        <w:rPr>
          <w:b/>
        </w:rPr>
        <w:t>Dose d'entretien</w:t>
      </w:r>
      <w:r>
        <w:t xml:space="preserve"> : 2-6 mg/kg/jour (jusqu'à 8 mg/kg/jour chez le nourrisson), ajustée selon phénobarbitalémie.</w:t>
      </w:r>
    </w:p>
    <w:p>
      <w:pPr>
        <w:pStyle w:val="ListBullet"/>
      </w:pPr>
      <w:r>
        <w:t>Durée : au long cours pour l'épilepsie (traitement de fond prolongé, plusieurs années, parfois à vie si épilepsie structurelle sous-jacente non curable chirurgicalement). Forme injectable : traitement d'attaque des convulsions néonatales ou du sevrage alcoolique.</w:t>
      </w:r>
    </w:p>
    <w:p>
      <w:pPr>
        <w:pStyle w:val="ListBullet"/>
      </w:pPr>
      <w:r>
        <w:t>Moment de la prise : au soir (en raison de la longue demi-vie et de la sédation — facilite le sommeil et minimise l'impact diurne sur la vigilance). Prise à heure fixe pour maintenir des concentrations stables (observance +++).</w:t>
      </w:r>
    </w:p>
    <w:p>
      <w:pPr>
        <w:pStyle w:val="ListBullet"/>
      </w:pPr>
      <w:r>
        <w:t>Adaptation posologique : insuffisance hépatique — réduction de 25-50 % initiale, surveillance phénobarbitalémie ; insuffisance rénale — surveillance accrue, adaptation selon phénobarbitalémie ; sujet âgé — réduction initiale de 25-50 % (risque de sédation excessive, de chutes, de confusion).</w:t>
      </w:r>
    </w:p>
    <w:p>
      <w:r/>
      <w:r>
        <w:rPr>
          <w:b/>
        </w:rPr>
        <w:t>Arbitrage et Bénéfices des Formes Galéniques :</w:t>
      </w:r>
      <w:r/>
    </w:p>
    <w:p>
      <w:pPr>
        <w:pStyle w:val="ListBullet"/>
      </w:pPr>
      <w:r/>
      <w:r>
        <w:rPr>
          <w:b/>
        </w:rPr>
        <w:t>Comprimés 50 mg et 100 mg</w:t>
      </w:r>
      <w:r>
        <w:t xml:space="preserve"> (SEVENAL Lad Pharma 50/100 mg actifs, PHENOXAL Biogalenic 100 mg actif, NEUROLAL Saidal 50/100 mg non renouvelables) : galénique orale de référence, sécable pour adaptation posologique fine (demi-comprimé 25 mg ou 50 mg selon dosage). Pratique pour le traitement d'entretien au long cours en monoprise vespérale.</w:t>
      </w:r>
    </w:p>
    <w:p>
      <w:pPr>
        <w:pStyle w:val="ListBullet"/>
      </w:pPr>
      <w:r/>
      <w:r>
        <w:rPr>
          <w:b/>
        </w:rPr>
        <w:t>Solution injectable IM/IV</w:t>
      </w:r>
      <w:r>
        <w:t xml:space="preserve"> (GARDENAL ATNAHS 40 mg/flacon lyophilisat — à reconstituer avec le solvant fourni EPPI) : galénique essentielle pour les convulsions néonatales (seizures néonatales) et le sevrage alcoolique. À conserver en milieu hospitalier (maternité, néonatologie, urgences, réanimation, psychiatrie). Précaution de manipulation : injection IV lente (≤ 100 mg/min) pour éviter la dépression respiratoire aiguë ; ne pas associer à d'autres dépresseurs du SNC.</w:t>
      </w:r>
    </w:p>
    <w:p>
      <w:r/>
      <w:r>
        <w:rPr>
          <w:b/>
        </w:rPr>
        <w:t>Instructions et Conseils au Patient :</w:t>
      </w:r>
      <w:r/>
    </w:p>
    <w:p>
      <w:pPr>
        <w:pStyle w:val="ListBullet"/>
      </w:pPr>
      <w:r>
        <w:t>Communication au comptoir :</w:t>
      </w:r>
    </w:p>
    <w:p>
      <w:pPr>
        <w:pStyle w:val="ListBullet"/>
      </w:pPr>
      <w:r>
        <w:t>« Ce médicament est un antiépileptique puissant qui doit être pris tous les jours au coucher à heure fixe, sans jamais l'arrêter brutalement ni manquer une prise — un arrêt brutal peut provoquer un état de mal épileptique, urgence vitale. »</w:t>
      </w:r>
    </w:p>
    <w:p>
      <w:pPr>
        <w:pStyle w:val="ListBullet"/>
      </w:pPr>
      <w:r>
        <w:t>« Il peut provoquer une somnolence importante en début de traitement, surtout la première quinzaine — ne pas conduire ni utiliser de machines dangereuses tant que la tolérance n'est pas évaluée. La somnolence s'atténue généralement après quelques semaines. »</w:t>
      </w:r>
    </w:p>
    <w:p>
      <w:pPr>
        <w:pStyle w:val="ListBullet"/>
      </w:pPr>
      <w:r>
        <w:t>« Prévenez votre pharmacien et votre médecin de TOUT nouveau médicament prescrit (y compris en automédication — aspirine, paracétamol, antibiotiques, antifongiques, antidépresseurs, contraception orale) car les interactions sont extrêmement nombreuses. Ce médicament peut rendre inefficace la pilule contraceptive — utilisez une méthode complémentaire (préservatif) ou parlez-en à votre médecin pour adapter. »</w:t>
      </w:r>
    </w:p>
    <w:p>
      <w:pPr>
        <w:pStyle w:val="ListBullet"/>
      </w:pPr>
      <w:r>
        <w:t>« Si vous êtes une femme en âge de procréer, parlez-en à votre médecin AVANT tout projet de grossesse — ce médicament est tératogène (malformations fœtales) ; une contraception efficace est indispensable tout au long du traitement, et une supplémentation en acide folique 5 mg/jour est recommandée en continu. »</w:t>
      </w:r>
    </w:p>
    <w:p>
      <w:pPr>
        <w:pStyle w:val="ListBullet"/>
      </w:pPr>
      <w:r>
        <w:t>« Évitez la consommation d'alcool — potentialisation de la somnolence et risque de dépression respiratoire. »</w:t>
      </w:r>
    </w:p>
    <w:p>
      <w:pPr>
        <w:pStyle w:val="ListBullet"/>
      </w:pPr>
      <w:r>
        <w:t>Mode d'utilisation pratique :</w:t>
      </w:r>
    </w:p>
    <w:p>
      <w:pPr>
        <w:pStyle w:val="ListBullet"/>
      </w:pPr>
      <w:r>
        <w:t>Prendre le médicament le soir (vers 20-21 h), au coucher ou juste après le repas du soir.</w:t>
      </w:r>
    </w:p>
    <w:p>
      <w:pPr>
        <w:pStyle w:val="ListBullet"/>
      </w:pPr>
      <w:r>
        <w:t>En cas d'oubli d'une prise : la prendre dans les 12 h si possible, sinon l'ignorer et reprendre l'horaire habituel le lendemain — NE JAMAIS doubler la dose suivante.</w:t>
      </w:r>
    </w:p>
    <w:p>
      <w:pPr>
        <w:pStyle w:val="ListBullet"/>
      </w:pPr>
      <w:r>
        <w:t>Tenir un journal des crises (date, heure, circonstances, durée, type — utile pour le suivi neurologique).</w:t>
      </w:r>
    </w:p>
    <w:p>
      <w:pPr>
        <w:pStyle w:val="ListBullet"/>
      </w:pPr>
      <w:r>
        <w:t>Prévenir le médecin en cas de fièvre + éruption cutanée (suspicion DRESS — urgence), de saignement anormal (thrombopénie), de fatigue intense (anémie), de dépression ou idées suicidaires (effet indésirable psychiatrique).</w:t>
      </w:r>
    </w:p>
    <w:p>
      <w:pPr>
        <w:pStyle w:val="ListBullet"/>
      </w:pPr>
      <w:r>
        <w:t>Prévenir le médecin en cas de projet d'arrêt — décroissance TOUJOURS progressive sur plusieurs semaines à mois (50 mg toutes les 1-2 semaines — sous surveillance neurologique).</w:t>
      </w:r>
    </w:p>
    <w:p>
      <w:r/>
      <w:r>
        <w:rPr>
          <w:b/>
        </w:rPr>
        <w:t>Notes, Règles d'Or &amp; Pièges au Comptoir :</w:t>
      </w:r>
      <w:r/>
    </w:p>
    <w:p>
      <w:pPr>
        <w:pStyle w:val="ListBullet"/>
      </w:pPr>
      <w:r>
        <w:t xml:space="preserve">Piège classique : </w:t>
      </w:r>
      <w:r>
        <w:rPr>
          <w:b/>
        </w:rPr>
        <w:t>induction enzymatique massive</w:t>
      </w:r>
      <w:r>
        <w:t xml:space="preserve"> → vérifier TOUTES les co-prescriptions à chaque délivrance (contraception orale, anticoagulants oraux, antirétroviraux, corticoïdes, immunosuppresseurs, chimiothérapie, doxycycline, théophylline) — baisse d'efficacité parfois dramatique.</w:t>
      </w:r>
    </w:p>
    <w:p>
      <w:pPr>
        <w:pStyle w:val="ListBullet"/>
      </w:pPr>
      <w:r>
        <w:t xml:space="preserve">Piège classique : </w:t>
      </w:r>
      <w:r>
        <w:rPr>
          <w:b/>
        </w:rPr>
        <w:t>baisse d'efficacité contraceptive orale</w:t>
      </w:r>
      <w:r>
        <w:t xml:space="preserve"> → grossesse non désirée sur terrain tératogène — information systématique, double contraception obligatoire (préservatif + contraception hormonale à dose augmentée, ou DIU cuivre).</w:t>
      </w:r>
    </w:p>
    <w:p>
      <w:pPr>
        <w:pStyle w:val="ListBullet"/>
      </w:pPr>
      <w:r>
        <w:t xml:space="preserve">Piège classique : </w:t>
      </w:r>
      <w:r>
        <w:rPr>
          <w:b/>
        </w:rPr>
        <w:t>porphyrie intermittente aiguë</w:t>
      </w:r>
      <w:r>
        <w:t xml:space="preserve"> — contre-indication absolue (induction de l'ALA-synthétase → crise aiguë potentiellement létale) — à rechercher dans les antécédents familiaux avant prescription.</w:t>
      </w:r>
    </w:p>
    <w:p>
      <w:pPr>
        <w:pStyle w:val="ListBullet"/>
      </w:pPr>
      <w:r>
        <w:t xml:space="preserve">Piège classique : </w:t>
      </w:r>
      <w:r>
        <w:rPr>
          <w:b/>
        </w:rPr>
        <w:t>dépression induite</w:t>
      </w:r>
      <w:r>
        <w:t xml:space="preserve"> — surveiller l'humeur, surtout chez les patients aux antécédents psychiatriques — évaluation psychiatrique à l'initiation et lors des réévaluations.</w:t>
      </w:r>
    </w:p>
    <w:p>
      <w:pPr>
        <w:pStyle w:val="ListBullet"/>
      </w:pPr>
      <w:r>
        <w:t xml:space="preserve">Piège classique : </w:t>
      </w:r>
      <w:r>
        <w:rPr>
          <w:b/>
        </w:rPr>
        <w:t>confusion chez le sujet âgé</w:t>
      </w:r>
      <w:r>
        <w:t xml:space="preserve"> — souvent attribuée à tort à la démence — suspecter l'origine médicamenteuse (intoxication barbiturique masquée).</w:t>
      </w:r>
    </w:p>
    <w:p>
      <w:pPr>
        <w:pStyle w:val="ListBullet"/>
      </w:pPr>
      <w:r>
        <w:t xml:space="preserve">Piège classique : </w:t>
      </w:r>
      <w:r>
        <w:rPr>
          <w:b/>
        </w:rPr>
        <w:t>excitation paradoxale chez l'enfant</w:t>
      </w:r>
      <w:r>
        <w:t xml:space="preserve"> — réaction paradoxale (agressivité, agitation, hyperactivité) — distinguer d'une aggravation de l'épilepsie.</w:t>
      </w:r>
    </w:p>
    <w:p>
      <w:pPr>
        <w:pStyle w:val="ListBullet"/>
      </w:pPr>
      <w:r>
        <w:t xml:space="preserve">Piège classique : </w:t>
      </w:r>
      <w:r>
        <w:rPr>
          <w:b/>
        </w:rPr>
        <w:t>surdosage aigu</w:t>
      </w:r>
      <w:r>
        <w:t xml:space="preserve"> (intentionnel ou accidentel) — coma calme, hyporéflexie, hypoventilation centrale, hypotension — alcalinisation urinaire (bicarbonate IV) + hémoperfusion sur charbon actif si coma profond.</w:t>
      </w:r>
    </w:p>
    <w:p>
      <w:pPr>
        <w:pStyle w:val="ListBullet"/>
      </w:pPr>
      <w:r>
        <w:t>Règle de prise : au coucher, à heure fixe, sans oubli — observance stricte supérieure à 95 % requise pour l'efficacité antiépileptique.</w:t>
      </w:r>
    </w:p>
    <w:p>
      <w:pPr>
        <w:pStyle w:val="ListBullet"/>
      </w:pPr>
      <w:r>
        <w:t>Préparation et Conservation : comprimés à conserver à température &lt; 25 °C, à l'abri de l'humidité et de la lumière ; solution injectable (lyophilisat) à conserver à température &lt; 25 °C (ne pas congeler) ; solution reconstituée à utiliser immédiatement (ne pas conserver au-delà de 24 h).</w:t>
      </w:r>
    </w:p>
    <w:p>
      <w:pPr>
        <w:pStyle w:val="ListBullet"/>
      </w:pPr>
      <w:r>
        <w:t>Piège du surdosage / Substitution : si substitution entre marques (SEVENAL ↔ PHENOXAL ↔ NEUROLAL ↔ GARDENAL), vérifier la stricte équivalence en mg de phénobarbital et la forme galénique (comprimé vs solution injectable). En cas de switch phénobarbital → AE moderne (lamotrigine, lévétiracétam), décroissance progressive sur 4-8 semaines avec chevauchement (introduction du nouvel AE à dose thérapeutique avant décroissance du phénobarbital).</w:t>
      </w:r>
    </w:p>
    <w:p>
      <w:pPr>
        <w:pStyle w:val="Heading2"/>
      </w:pPr>
      <w:r>
        <w:t>Sous-classe 3 — Antiépileptiques anciens (succinimides) — Éthosuximide</w:t>
      </w:r>
    </w:p>
    <w:p>
      <w:r>
        <w:t xml:space="preserve">La sous-classe des </w:t>
      </w:r>
      <w:r>
        <w:rPr>
          <w:b/>
        </w:rPr>
        <w:t>succinimides</w:t>
      </w:r>
      <w:r>
        <w:t xml:space="preserve"> est représentée par l'</w:t>
      </w:r>
      <w:r>
        <w:rPr>
          <w:b/>
        </w:rPr>
        <w:t>éthosuximide</w:t>
      </w:r>
      <w:r>
        <w:t xml:space="preserve"> (2-éthyl-2-méthylsuccinimide), introduit en 1958 par la firme Parke-Davis sous le nom commercial Zarontin®. Cette molécule est historiquement l'antiépileptique de référence pour le traitement des </w:t>
      </w:r>
      <w:r>
        <w:rPr>
          <w:b/>
        </w:rPr>
        <w:t>épilepsies-absences</w:t>
      </w:r>
      <w:r>
        <w:t xml:space="preserve"> (petit mal) de l'enfant — épilepsie généralisée se manifestant par des crises brèves (5-30 secondes) de perte de contact avec vacuité du regard, parfois accompagnées de clonies palpébrales ou d'automatismes, survenant en salves journalières (parfois plusieurs dizaines à centaines par jour). L'efficacité de l'éthosuximide sur les absences est liée à son mécanisme d'action caractéristique : </w:t>
      </w:r>
      <w:r>
        <w:rPr>
          <w:b/>
        </w:rPr>
        <w:t>blocage sélectif des canaux calciques voltage-dépendants de type T (transient, low-threshold) dans les neurones thalamiques</w:t>
      </w:r>
      <w:r>
        <w:t>. Or, les canaux Ca2+ T thalamiques sont précisément les acteurs électrophysiologiques clés des rythmes corticaux synchronisés de spike-and-wave à 3 Hz typiques des absences. L'éthosuximide, en bloquant ces canaux, supprime spécifiquement la décharge paroxystique sans affecter les autres types de crises (partielles, tonico-cloniques) — d'où son spectre d'action très étroit mais son efficacité remarquable sur l'indication cible.</w:t>
      </w:r>
    </w:p>
    <w:p>
      <w:r/>
      <w:r>
        <w:rPr>
          <w:b/>
        </w:rPr>
        <w:t>Cependant, il est crucial de noter que l'éthosuximide n'est plus disponible commercialement en Algérie</w:t>
      </w:r>
      <w:r>
        <w:t xml:space="preserve"> : toutes les présentations (Zarontin® gélules 250 mg Parke-Davis, Zarontin® sirop 250 mg/5 mL Parke-Davis, Petinimid® gélules 250 mg Gerot, Petinimid® sirop 50 mg/mL Gerot) sont aujourd'hui </w:t>
      </w:r>
      <w:r>
        <w:rPr>
          <w:b/>
        </w:rPr>
        <w:t>retirées du marché algérien</w:t>
      </w:r>
      <w:r>
        <w:t xml:space="preserve"> (statut « Retiré (R) » dans la nomenclature Avril 2026). Cette situation impose aux praticiens algériens le recours systématique aux </w:t>
      </w:r>
      <w:r>
        <w:rPr>
          <w:b/>
        </w:rPr>
        <w:t>alternatives thérapeutiques</w:t>
      </w:r>
      <w:r>
        <w:t xml:space="preserve"> reconnues par l'ILAE (International League Against Epilepsy) pour le traitement des épilepsies-absences :</w:t>
      </w:r>
    </w:p>
    <w:p>
      <w:pPr>
        <w:pStyle w:val="ListNumber"/>
      </w:pPr>
      <w:r/>
      <w:r>
        <w:rPr>
          <w:b/>
        </w:rPr>
        <w:t>Acide valproïque</w:t>
      </w:r>
      <w:r>
        <w:t xml:space="preserve"> (Dépakine® et génériques actifs en Algérie — cf. Chapitre 92) — première intention, en particulier si association avec d'autres types de crises (tonico-cloniques, myocloniques), avec une efficacité comparable à l'éthosuximide sur les absences pures. Restrictions : tératogénicité majeure contre-indiquant son usage chez la femme en âge de procréer sans contraception stricte (PPP — Pregnancy Prevention Programme).</w:t>
      </w:r>
    </w:p>
    <w:p>
      <w:pPr>
        <w:pStyle w:val="ListNumber"/>
      </w:pPr>
      <w:r/>
      <w:r>
        <w:rPr>
          <w:b/>
        </w:rPr>
        <w:t>Lamotrigine</w:t>
      </w:r>
      <w:r>
        <w:t xml:space="preserve"> (Lamictal® retiré en Algérie, mais multiples génériques actifs : AMITRAL El Kendi, LAMOTRIGINE BEKER, BIOLAM Biocare, LAMITRIGINE Hupp Pharma, etc. — cf. Chapitre 92) — alternative de choix chez la femme en âge de procréer (profil tératogène favorable), efficace sur les absences pures (mais un peu moins que l'éthosuximide ou le valproate selon l'essai contrôlé randomisé de Glauser et al. NEJM 2010). Restrictions : risque de rash cutané sévère (Stevens-Johnson, DRESS) justifiant une titration très lente sur 8-12 semaines.</w:t>
      </w:r>
    </w:p>
    <w:p>
      <w:pPr>
        <w:pStyle w:val="ListNumber"/>
      </w:pPr>
      <w:r/>
      <w:r>
        <w:rPr>
          <w:b/>
        </w:rPr>
        <w:t>Zonisamide, topiramate, lévétiracétam</w:t>
      </w:r>
      <w:r>
        <w:t xml:space="preserve"> — alternatives de 3e intention, efficacité variable.</w:t>
      </w:r>
    </w:p>
    <w:p>
      <w:r>
        <w:t>L'</w:t>
      </w:r>
      <w:r>
        <w:rPr>
          <w:b/>
        </w:rPr>
        <w:t>éthosuximide reste néanmoins un outil pédagogique essentiel</w:t>
      </w:r>
      <w:r>
        <w:t xml:space="preserve"> dans la formation des pharmaciens algériens : (i) son mécanisme d'action caractéristique (canaux Ca2+ T) en fait le paradigme de la spécificité d'action antiépileptique ; (ii) son statut « retiré » illustre la nécessité d'adapter la stratégie thérapeutique aux disponibilités locales du marché pharmaceutique ; (iii) la reconnaissance de cette molécule est nécessaire pour la lecture de la littérature internationale (essais cliniques de référence comme Glauser 2010).</w:t>
      </w:r>
    </w:p>
    <w:p>
      <w:pPr>
        <w:pStyle w:val="Heading3"/>
      </w:pPr>
      <w:r>
        <w:t>3. DCI : Éthosuximide (Seule) — RETIRÉ DU MARCHÉ ALGÉRIEN</w:t>
      </w:r>
    </w:p>
    <w:p>
      <w:r/>
      <w:r>
        <w:rPr>
          <w:b/>
        </w:rPr>
        <w:t>Liste des Catégories :</w:t>
      </w:r>
      <w:r>
        <w:t xml:space="preserve"> Antiépileptiques — Anciens (succinimides) ; Antiépileptiques (générique) ; Liste II ; Spécifique des épilepsies-absences (petit mal) ; RETIRÉ DU MARCHÉ ALGÉRIEN — toutes les présentations commerciales (Zarontin® Parke-Davis, Petinimid® Gerot) sont aujourd'hui retirées de la nomenclature algérienne (Avril 2026).</w:t>
      </w:r>
    </w:p>
    <w:p>
      <w:r>
        <w:t xml:space="preserve">L'éthosuximide (2-éthyl-2-méthylsuccinimide) est un antiépileptique de la classe des succinimides, historiquement introduit en 1958 par la firme Parke-Davis (Zarontin®) comme traitement de référence des épilepsies-absences de l'enfant. Sa caractéristique pharmacocinétique principale est une </w:t>
      </w:r>
      <w:r>
        <w:rPr>
          <w:b/>
        </w:rPr>
        <w:t>très longue demi-vie d'élimination</w:t>
      </w:r>
      <w:r>
        <w:t xml:space="preserve"> (40-60 h chez l'adulte, 30-40 h chez l'enfant — autorisant une monoprise ou une biprise quotidienne), une </w:t>
      </w:r>
      <w:r>
        <w:rPr>
          <w:b/>
        </w:rPr>
        <w:t>biodisponibilité orale excellente</w:t>
      </w:r>
      <w:r>
        <w:t xml:space="preserve"> (proche de 100 %), une </w:t>
      </w:r>
      <w:r>
        <w:rPr>
          <w:b/>
        </w:rPr>
        <w:t>faible liaison aux protéines plasmatiques</w:t>
      </w:r>
      <w:r>
        <w:t xml:space="preserve"> (0-10 % — peu d'interactions par déplacement protéique) et un </w:t>
      </w:r>
      <w:r>
        <w:rPr>
          <w:b/>
        </w:rPr>
        <w:t>métabolisme hépatique complet</w:t>
      </w:r>
      <w:r>
        <w:t xml:space="preserve"> (oxydation par CYP3A4, principalement en métabolites inactifs hydroxylés). L'éthosuximide traverse le placenta et est excrété dans le lait maternel. Sa caractéristique pharmacodynamique essentielle est le </w:t>
      </w:r>
      <w:r>
        <w:rPr>
          <w:b/>
        </w:rPr>
        <w:t>blocage sélectif des canaux calciques voltage-dépendants de type T</w:t>
      </w:r>
      <w:r>
        <w:t xml:space="preserve"> des neurones thalamiques — mécanisme unique parmi les antiépileptiques, à l'origine de son efficacité spécifique sur les épilepsies-absences. Sa gamne thérapeutique est 40-100 mg/L (300-700 µmol/L).</w:t>
      </w:r>
    </w:p>
    <w:p>
      <w:r/>
      <w:r>
        <w:rPr>
          <w:b/>
        </w:rPr>
        <w:t>Médicaments disponibles en Algérie (Marques, Laboratoires, Formes et Dosages) :</w:t>
      </w:r>
      <w:r/>
    </w:p>
    <w:p>
      <w:r/>
      <w:r>
        <w:rPr>
          <w:b/>
        </w:rPr>
        <w:t>TOUTES LES FORMES D'ÉTHOSUXIMIDE SONT RETIRÉES DU MARCHÉ ALGÉRIEN</w:t>
      </w:r>
      <w:r>
        <w:t xml:space="preserve"> (statut « Retiré (R) » dans la nomenclature algérienne Avril 2026) :</w:t>
      </w:r>
    </w:p>
    <w:p>
      <w:pPr>
        <w:pStyle w:val="ListBullet"/>
      </w:pPr>
      <w:r/>
      <w:r>
        <w:rPr>
          <w:b/>
        </w:rPr>
        <w:t>ZARONTIN</w:t>
      </w:r>
      <w:r>
        <w:t xml:space="preserve"> (PARKE DAVIS)</w:t>
      </w:r>
    </w:p>
    <w:p>
      <w:pPr>
        <w:pStyle w:val="ListBullet"/>
      </w:pPr>
      <w:r>
        <w:t>Formes et Dosages : Gélules 250 mg — B/50, Liste II</w:t>
      </w:r>
    </w:p>
    <w:p>
      <w:pPr>
        <w:pStyle w:val="ListBullet"/>
      </w:pPr>
      <w:r>
        <w:t xml:space="preserve">Statut : </w:t>
      </w:r>
      <w:r>
        <w:rPr>
          <w:b/>
        </w:rPr>
        <w:t>Retiré (R)</w:t>
      </w:r>
      <w:r>
        <w:t xml:space="preserve"> — plus commercialisé</w:t>
      </w:r>
    </w:p>
    <w:p>
      <w:pPr>
        <w:pStyle w:val="ListBullet"/>
      </w:pPr>
      <w:r/>
      <w:r>
        <w:rPr>
          <w:b/>
        </w:rPr>
        <w:t>ZARONTIN</w:t>
      </w:r>
      <w:r>
        <w:t xml:space="preserve"> (PARKE DAVIS)</w:t>
      </w:r>
    </w:p>
    <w:p>
      <w:pPr>
        <w:pStyle w:val="ListBullet"/>
      </w:pPr>
      <w:r>
        <w:t>Formes et Dosages : Sirop 250 mg/5 mL (50 mg/mL) — flacon 200 mL, Liste II</w:t>
      </w:r>
    </w:p>
    <w:p>
      <w:pPr>
        <w:pStyle w:val="ListBullet"/>
      </w:pPr>
      <w:r>
        <w:t xml:space="preserve">Statut : </w:t>
      </w:r>
      <w:r>
        <w:rPr>
          <w:b/>
        </w:rPr>
        <w:t>Retiré (R)</w:t>
      </w:r>
      <w:r>
        <w:t xml:space="preserve"> — plus commercialisé</w:t>
      </w:r>
    </w:p>
    <w:p>
      <w:pPr>
        <w:pStyle w:val="ListBullet"/>
      </w:pPr>
      <w:r/>
      <w:r>
        <w:rPr>
          <w:b/>
        </w:rPr>
        <w:t>PETINIMID</w:t>
      </w:r>
      <w:r>
        <w:t xml:space="preserve"> (GEROT)</w:t>
      </w:r>
    </w:p>
    <w:p>
      <w:pPr>
        <w:pStyle w:val="ListBullet"/>
      </w:pPr>
      <w:r>
        <w:t>Formes et Dosages : Gélules 250 mg — B/50, Liste II</w:t>
      </w:r>
    </w:p>
    <w:p>
      <w:pPr>
        <w:pStyle w:val="ListBullet"/>
      </w:pPr>
      <w:r>
        <w:t xml:space="preserve">Statut : </w:t>
      </w:r>
      <w:r>
        <w:rPr>
          <w:b/>
        </w:rPr>
        <w:t>Retiré (R)</w:t>
      </w:r>
      <w:r>
        <w:t xml:space="preserve"> — plus commercialisé</w:t>
      </w:r>
    </w:p>
    <w:p>
      <w:pPr>
        <w:pStyle w:val="ListBullet"/>
      </w:pPr>
      <w:r/>
      <w:r>
        <w:rPr>
          <w:b/>
        </w:rPr>
        <w:t>PETINIMID</w:t>
      </w:r>
      <w:r>
        <w:t xml:space="preserve"> (GEROT)</w:t>
      </w:r>
    </w:p>
    <w:p>
      <w:pPr>
        <w:pStyle w:val="ListBullet"/>
      </w:pPr>
      <w:r>
        <w:t>Formes et Dosages : Sirop 50 mg/mL — flacon 250 mL, Liste II</w:t>
      </w:r>
    </w:p>
    <w:p>
      <w:pPr>
        <w:pStyle w:val="ListBullet"/>
      </w:pPr>
      <w:r>
        <w:t xml:space="preserve">Statut : </w:t>
      </w:r>
      <w:r>
        <w:rPr>
          <w:b/>
        </w:rPr>
        <w:t>Retiré (R)</w:t>
      </w:r>
      <w:r>
        <w:t xml:space="preserve"> — plus commercialisé</w:t>
      </w:r>
    </w:p>
    <w:p>
      <w:r/>
      <w:r>
        <w:rPr>
          <w:i/>
        </w:rPr>
        <w:t>Note : le retrait de l'éthosuximide du marché algérien impose le recours systématique aux alternatives thérapeutiques reconnues par l'ILAE pour le traitement des épilepsies-absences — à savoir principalement l'acide valproïque (Dépakine® et génériques actifs, cf. Chapitre 92) en première intention (efficacité comparable, mais tératogénicité majeure chez la femme en âge de procréer) et la lamotrigine (AMITRAL El Kendi et génériques actifs, cf. Chapitre 92) en alternative chez la femme en âge de procréer (profil tératogène favorable, titration lente). L'importation exceptionnelle d'éthosuximide par le biais des ATU (Autorisations Temporaires d'Utilisation) — devenues en France « prescriptions en récupération du médicament de spécialité » — n'est pas une option pratique en Algérie ; la prise en charge doit s'appuyer sur les alternatives locales disponibles.</w:t>
      </w:r>
      <w:r/>
    </w:p>
    <w:p>
      <w:r/>
      <w:r>
        <w:rPr>
          <w:b/>
        </w:rPr>
        <w:t>Sous-classe et Mécanisme d'action :</w:t>
      </w:r>
      <w:r/>
    </w:p>
    <w:p>
      <w:pPr>
        <w:pStyle w:val="ListBullet"/>
      </w:pPr>
      <w:r>
        <w:t xml:space="preserve">Sous-classe : Antiépileptiques anciens — succinimides. Au sein de la classification IA, l'éthosuximide a une efficacité très spécifique (et limitée) sur les </w:t>
      </w:r>
      <w:r>
        <w:rPr>
          <w:b/>
        </w:rPr>
        <w:t>épilepsies-absences</w:t>
      </w:r>
      <w:r>
        <w:t xml:space="preserve"> (petit mal — childhood absence epilepsy) ; il est </w:t>
      </w:r>
      <w:r>
        <w:rPr>
          <w:b/>
        </w:rPr>
        <w:t>inefficace</w:t>
      </w:r>
      <w:r>
        <w:t xml:space="preserve"> sur les crises partielles et les crises généralisées tonico-cloniques (et peut même les aggraver paradoxalement chez certains patients). Sa place théorique (si le médicament était disponible) serait la monothérapie de première intention des absences pures de l'enfant, en alternative ou en association à l'acide valproïque selon le contexte (genre — valproate CI chez la fille en âge de procréer, contexte — association avec d'autres types de crises).</w:t>
      </w:r>
    </w:p>
    <w:p>
      <w:pPr>
        <w:pStyle w:val="ListBullet"/>
      </w:pPr>
      <w:r>
        <w:t xml:space="preserve">Mécanisme d'action : </w:t>
      </w:r>
      <w:r>
        <w:rPr>
          <w:b/>
        </w:rPr>
        <w:t>Blocage sélectif des canaux calciques voltage-dépendants de type T (transient, low-threshold)</w:t>
      </w:r>
      <w:r>
        <w:t xml:space="preserve"> des neurones thalamiques. Les canaux Ca2+ T (Cav3.1, Cav3.2, Cav3.3) sont exprimés préférentiellement dans les noyaux thalamiques relayeurs (spécifiquement les noyaux réticulés et les cellules relayeurs) et jouent un rôle central dans la génération des rythmes corticaux synchronisés de spike-and-wave à 3 Hz typiques des absences. Pendant le sommeil lent et les états de veille réduite, ces canaux Ca2+ T — inactivés à des potentiels de membrane proches du seuil de repos — se réactivent transitoirement à des potentiels hyperpolarisés (low-threshold spike → burst firing), déclenchant des boucles thalamo-corticales oscillantes qui se manifestent à l'EEG par les complexes spike-and-wave caractéristiques. L'éthosuximide, en bloquant ces canaux Ca2+ T, supprime spécifiquement cette activité paroxystique — d'où son efficacité anti-absence. À dose plus élevée, l'éthosuximide a également un effet modeste de blocage des canaux Na+ voltage-dépendants et une faible potentialisation du GABA (mais ces effets ne participent pas significativement à l'efficacité clinique). L'effet net est une suppression spécifique des crises d'absence sans dépression globale de l'activité corticale (pas de sédation significative — différence majeure avec le phénobarbital).</w:t>
      </w:r>
    </w:p>
    <w:p>
      <w:r/>
      <w:r>
        <w:rPr>
          <w:b/>
        </w:rPr>
        <w:t>Profil Pharmacologique :</w:t>
      </w:r>
      <w:r/>
    </w:p>
    <w:p>
      <w:pPr>
        <w:pStyle w:val="ListBullet"/>
      </w:pPr>
      <w:r>
        <w:t>Indications :</w:t>
      </w:r>
    </w:p>
    <w:p>
      <w:pPr>
        <w:pStyle w:val="ListBullet"/>
      </w:pPr>
      <w:r/>
      <w:r>
        <w:rPr>
          <w:b/>
        </w:rPr>
        <w:t>Épilepsies-absences</w:t>
      </w:r>
      <w:r>
        <w:t xml:space="preserve"> (petit mal — childhood absence epilepsy, juvenile absence epilepsy) de l'enfant et de l'adolescent — indication de référence (historique).</w:t>
      </w:r>
    </w:p>
    <w:p>
      <w:pPr>
        <w:pStyle w:val="ListBullet"/>
      </w:pPr>
      <w:r>
        <w:t>Hors indication : absences atypiques (Syndrome de Lennox-Gastaut — efficacité inconstante, préférer valproate ou lamotrigine en association), myoclonies (efficacité variable).</w:t>
      </w:r>
    </w:p>
    <w:p>
      <w:pPr>
        <w:pStyle w:val="ListBullet"/>
      </w:pPr>
      <w:r/>
      <w:r>
        <w:rPr>
          <w:b/>
        </w:rPr>
        <w:t>En pratique clinique algérienne</w:t>
      </w:r>
      <w:r>
        <w:t xml:space="preserve"> : l'éthosuximide n'étant plus disponible, les alternatives à privilégier sont : (1) </w:t>
      </w:r>
      <w:r>
        <w:rPr>
          <w:b/>
        </w:rPr>
        <w:t>acide valproïque</w:t>
      </w:r>
      <w:r>
        <w:t xml:space="preserve"> (Dépakine®) en première intention chez l'enfant et l'homme adulte ; (2) </w:t>
      </w:r>
      <w:r>
        <w:rPr>
          <w:b/>
        </w:rPr>
        <w:t>lamotrigine</w:t>
      </w:r>
      <w:r>
        <w:t xml:space="preserve"> en alternative chez la fille/la femme en âge de procréer (profil tératogène favorable).</w:t>
      </w:r>
    </w:p>
    <w:p>
      <w:pPr>
        <w:pStyle w:val="ListBullet"/>
      </w:pPr>
      <w:r>
        <w:t>Contre-indications :</w:t>
      </w:r>
    </w:p>
    <w:p>
      <w:pPr>
        <w:pStyle w:val="ListBullet"/>
      </w:pPr>
      <w:r>
        <w:t>Hypersensibilité connue aux succinimides.</w:t>
      </w:r>
    </w:p>
    <w:p>
      <w:pPr>
        <w:pStyle w:val="ListBullet"/>
      </w:pPr>
      <w:r>
        <w:t>Porphyrie intermittente aiguë (induction enzymatique modeste — précaution).</w:t>
      </w:r>
    </w:p>
    <w:p>
      <w:pPr>
        <w:pStyle w:val="ListBullet"/>
      </w:pPr>
      <w:r>
        <w:t>Précautions : insuffisance hépatique (adaptation posologique), insuffisance rénale (adaptation posologique), antécédents psychiatriques (risque de réactions psychotiques paradoxales).</w:t>
      </w:r>
    </w:p>
    <w:p>
      <w:pPr>
        <w:pStyle w:val="ListBullet"/>
      </w:pPr>
      <w:r>
        <w:t>Effets indésirables :</w:t>
      </w:r>
    </w:p>
    <w:p>
      <w:pPr>
        <w:pStyle w:val="ListBullet"/>
      </w:pPr>
      <w:r/>
      <w:r>
        <w:rPr>
          <w:b/>
        </w:rPr>
        <w:t>Gastro-intestinaux</w:t>
      </w:r>
      <w:r>
        <w:t xml:space="preserve"> (les plus fréquents, 20-30 %) : nausées, vomissements, douleurs abdominales, diarrhée, anorexie — partiellement atténués par la prise pendant les repas.</w:t>
      </w:r>
    </w:p>
    <w:p>
      <w:pPr>
        <w:pStyle w:val="ListBullet"/>
      </w:pPr>
      <w:r/>
      <w:r>
        <w:rPr>
          <w:b/>
        </w:rPr>
        <w:t>Neurologiques dose-dépendants</w:t>
      </w:r>
      <w:r>
        <w:t xml:space="preserve"> : somnolence (10-15 %), vertiges, céphalées, ataxie, irritabilité, hyperactivité paradoxale chez l'enfant (5-10 %), troubles du sommeil.</w:t>
      </w:r>
    </w:p>
    <w:p>
      <w:pPr>
        <w:pStyle w:val="ListBullet"/>
      </w:pPr>
      <w:r/>
      <w:r>
        <w:rPr>
          <w:b/>
        </w:rPr>
        <w:t>Psychiatriques</w:t>
      </w:r>
      <w:r>
        <w:t xml:space="preserve"> : réactions psychotiques paradoxales (rares mais graves — particulièrement chez l'enfant et le sujet prédisposé), agitation, agressivité, anxiété, dépression.</w:t>
      </w:r>
    </w:p>
    <w:p>
      <w:pPr>
        <w:pStyle w:val="ListBullet"/>
      </w:pPr>
      <w:r/>
      <w:r>
        <w:rPr>
          <w:b/>
        </w:rPr>
        <w:t>Cutanés</w:t>
      </w:r>
      <w:r>
        <w:t xml:space="preserve"> : rash maculopapuleux bénin (5-10 %), Stevens-Johnson (SJS) et syndrome de Lyell (NET) — rares mais graves, éruptions lupiques (rare), photosensibilité, urticaire, prurit.</w:t>
      </w:r>
    </w:p>
    <w:p>
      <w:pPr>
        <w:pStyle w:val="ListBullet"/>
      </w:pPr>
      <w:r/>
      <w:r>
        <w:rPr>
          <w:b/>
        </w:rPr>
        <w:t>Hématologiques</w:t>
      </w:r>
      <w:r>
        <w:t xml:space="preserve"> : leucopénie, thrombopénie, anémie aplasique (rare mais grave — surveillance NFS), éosinophilie (souvent associée au DRESS).</w:t>
      </w:r>
    </w:p>
    <w:p>
      <w:pPr>
        <w:pStyle w:val="ListBullet"/>
      </w:pPr>
      <w:r/>
      <w:r>
        <w:rPr>
          <w:b/>
        </w:rPr>
        <w:t>Hépatiques</w:t>
      </w:r>
      <w:r>
        <w:t xml:space="preserve"> : cytolyse modeste (5-10 %), rare hépatite immuno-allergique.</w:t>
      </w:r>
    </w:p>
    <w:p>
      <w:pPr>
        <w:pStyle w:val="ListBullet"/>
      </w:pPr>
      <w:r/>
      <w:r>
        <w:rPr>
          <w:b/>
        </w:rPr>
        <w:t>Immunologiques</w:t>
      </w:r>
      <w:r>
        <w:t xml:space="preserve"> : DRESS (rare mais grave — arrêt définitif), lupus induit (rare).</w:t>
      </w:r>
    </w:p>
    <w:p>
      <w:pPr>
        <w:pStyle w:val="ListBullet"/>
      </w:pPr>
      <w:r/>
      <w:r>
        <w:rPr>
          <w:b/>
        </w:rPr>
        <w:t>Systémiques</w:t>
      </w:r>
      <w:r>
        <w:t xml:space="preserve"> : syndrome pseudo-lupique (rare), polyarthralgies, fièvre médicamenteuse.</w:t>
      </w:r>
    </w:p>
    <w:p>
      <w:pPr>
        <w:pStyle w:val="ListBullet"/>
      </w:pPr>
      <w:r/>
      <w:r>
        <w:rPr>
          <w:b/>
        </w:rPr>
        <w:t>Tératogénicité</w:t>
      </w:r>
      <w:r>
        <w:t xml:space="preserve"> : données limitées mais suggèrent un risque malformatif mineur (inférieur à celui du valproate ou de la phénytoïne) — cependant à éviter par prudence en grossesse, préférer lamotrigine (données plus rassurantes).</w:t>
      </w:r>
    </w:p>
    <w:p>
      <w:r/>
      <w:r>
        <w:rPr>
          <w:b/>
        </w:rPr>
        <w:t>Prévention et Gestion des Effets Indésirables :</w:t>
      </w:r>
      <w:r/>
    </w:p>
    <w:p>
      <w:pPr>
        <w:pStyle w:val="ListBullet"/>
      </w:pPr>
      <w:r>
        <w:t>Mesures préventives :</w:t>
      </w:r>
    </w:p>
    <w:p>
      <w:pPr>
        <w:pStyle w:val="ListBullet"/>
      </w:pPr>
      <w:r>
        <w:t>Surveillance thérapeutique (TDM) : éthosuximidémie à l'équilibre (5 demi-vies soit 7-15 jours après initiation/changement de dose), gamme thérapeutique 40-100 mg/L (300-700 µmol/L). Renforcement de la surveillance en cas de modification de posologie, d'ajout/retrait d'un interacting, chez le sujet âgé, l'insuffisant rénal/hépatique, et chez l'enfant (clairance accrue).</w:t>
      </w:r>
    </w:p>
    <w:p>
      <w:pPr>
        <w:pStyle w:val="ListBullet"/>
      </w:pPr>
      <w:r>
        <w:t>Bilan pré-thérapeutique : NFS-plaquettes, bilan hépatique (ALAT/ASAT/GGT/palidité), ECG (allongement du QT possible — précaution), examen neurologique et psychiatrique initial.</w:t>
      </w:r>
    </w:p>
    <w:p>
      <w:pPr>
        <w:pStyle w:val="ListBullet"/>
      </w:pPr>
      <w:r>
        <w:t>Information du patient et de l'entourage (parents) : surveillance de l'humeur et du comportement chez l'enfant (risque de réactions psychotiques paradoxales), tenue d'un journal des crises (durée, fréquence, circonstances).</w:t>
      </w:r>
    </w:p>
    <w:p>
      <w:pPr>
        <w:pStyle w:val="ListBullet"/>
      </w:pPr>
      <w:r>
        <w:t>Conduite à tenir :</w:t>
      </w:r>
    </w:p>
    <w:p>
      <w:pPr>
        <w:pStyle w:val="ListBullet"/>
      </w:pPr>
      <w:r>
        <w:t>En cas d'effets indésirables gastro-intestinaux : prise pendant les repas, fractionnement des doses (2 prises par jour au lieu d'une), antiémétiques si nécessaire.</w:t>
      </w:r>
    </w:p>
    <w:p>
      <w:pPr>
        <w:pStyle w:val="ListBullet"/>
      </w:pPr>
      <w:r>
        <w:t>En cas de réaction psychiatrique (agitation, hallucinations, idées délirantes) : arrêt immédiat, consultation psychiatrique urgente, switch vers un autre AE (valproate, lamotrigine).</w:t>
      </w:r>
    </w:p>
    <w:p>
      <w:pPr>
        <w:pStyle w:val="ListBullet"/>
      </w:pPr>
      <w:r>
        <w:t>En cas de DRESS : arrêt immédiat et définitif, hospitalisation, corticothérapie générale discutée.</w:t>
      </w:r>
    </w:p>
    <w:p>
      <w:pPr>
        <w:pStyle w:val="ListBullet"/>
      </w:pPr>
      <w:r>
        <w:t>En cas de rash cutané bénin : arrêt transitoire, réintroduction prudente à dose réduite avec surveillance ; en cas de signe de sévérité (bulles, décollement, fièvre, atteinte muqueuse) — arrêt définitif.</w:t>
      </w:r>
    </w:p>
    <w:p>
      <w:r/>
      <w:r>
        <w:rPr>
          <w:b/>
        </w:rPr>
        <w:t>Interactions Importantes :</w:t>
      </w:r>
      <w:r/>
    </w:p>
    <w:p>
      <w:pPr>
        <w:pStyle w:val="ListBullet"/>
      </w:pPr>
      <w:r/>
      <w:r>
        <w:rPr>
          <w:b/>
        </w:rPr>
        <w:t>Éthosuximide + autres antiépileptiques</w:t>
      </w:r>
      <w:r>
        <w:t xml:space="preserve"> : valproate (augmentation de l'éthosuximidémie par inhibition du CYP3A4 — surveillance clinique et biologique, réduction de 25-50 % de la dose d'éthosuximide), carbamazépine (baisse de l'éthosuximidémie par induction — surveillance), phénobarbital (baisse de l'éthosuximidémie par induction — surveillance), phénytoïne (baisse de l'éthosuximidémie par induction — surveillance), lamotrigine (pas d'interaction PK significative).</w:t>
      </w:r>
    </w:p>
    <w:p>
      <w:pPr>
        <w:pStyle w:val="ListBullet"/>
      </w:pPr>
      <w:r/>
      <w:r>
        <w:rPr>
          <w:b/>
        </w:rPr>
        <w:t>Éthosuximide + inducteurs enzymatiques</w:t>
      </w:r>
      <w:r>
        <w:t xml:space="preserve"> : rifampicine, carbamazépine, phénobarbital, phénytoïne, millepertuis → baisse de l'éthosuximidémie → risque de récidive des absences. Surveiller, adapter les doses.</w:t>
      </w:r>
    </w:p>
    <w:p>
      <w:pPr>
        <w:pStyle w:val="ListBullet"/>
      </w:pPr>
      <w:r/>
      <w:r>
        <w:rPr>
          <w:b/>
        </w:rPr>
        <w:t>Éthosuximide + inhibiteurs enzymatiques</w:t>
      </w:r>
      <w:r>
        <w:t xml:space="preserve"> (CYP3A4) : valproate, fluconazole, itraconazole, voriconazole, fluvoxamine, isoniazide, clarithromycine, érythromycine, cimétidine → augmentation de l'éthosuximidémie → risque toxique. Surveiller, réduire la dose.</w:t>
      </w:r>
    </w:p>
    <w:p>
      <w:r/>
      <w:r>
        <w:rPr>
          <w:b/>
        </w:rPr>
        <w:t>Grossesse et Allaitement :</w:t>
      </w:r>
      <w:r/>
    </w:p>
    <w:p>
      <w:pPr>
        <w:pStyle w:val="ListBullet"/>
      </w:pPr>
      <w:r>
        <w:t xml:space="preserve">Grossesse : selon le CRAT, l'éthosuximide est classé « à éviter par prudence » (équivalent ancien : catégorie C). Les données humaines sont limitées mais ne suggèrent pas de tératogénicité majeure (à la différence du valproate ou de la phénytoïne). Cependant, par prudence et faute de données rassurantes à grande échelle, l'éthosuximide est généralement évité en grossesse au profit de la </w:t>
      </w:r>
      <w:r>
        <w:rPr>
          <w:b/>
        </w:rPr>
        <w:t>lamotrigine</w:t>
      </w:r>
      <w:r>
        <w:t xml:space="preserve"> (profil tératogène plus favorable selon EURAP registry).</w:t>
      </w:r>
    </w:p>
    <w:p>
      <w:pPr>
        <w:pStyle w:val="ListBullet"/>
      </w:pPr>
      <w:r/>
      <w:r>
        <w:rPr>
          <w:b/>
        </w:rPr>
        <w:t>En pratique clinique algérienne</w:t>
      </w:r>
      <w:r>
        <w:t xml:space="preserve"> : compte tenu du retrait de l'éthosuximide du marché algérien et de l'alternative valable de la lamotrigine (qui a un profil tératogène favorable), toute patiente épileptique absente enceinte ou projetant une grossesse doit être orientée vers une consultation neurologie-périnatale pour switch thérapeutique vers la lamotrigine (titration sur 8-12 semaines selon schéma standard).</w:t>
      </w:r>
    </w:p>
    <w:p>
      <w:pPr>
        <w:pStyle w:val="ListBullet"/>
      </w:pPr>
      <w:r>
        <w:t>Allaitement : selon le CRAT et l'OMS, compatible avec surveillance (rapport concentration lait/plasma = 0,8-1,0 — dose ingérée par le nourrisson ≈ 2-5 % de la dose maternelle pondérée). Surveillance : sédation, hypotonie, mauvaise succion, troubles de la croissance.</w:t>
      </w:r>
    </w:p>
    <w:p>
      <w:r/>
      <w:r>
        <w:rPr>
          <w:b/>
        </w:rPr>
        <w:t>Posologie et Mode d'administration (Standard) :</w:t>
      </w:r>
      <w:r/>
    </w:p>
    <w:p>
      <w:pPr>
        <w:pStyle w:val="ListBullet"/>
      </w:pPr>
      <w:r>
        <w:t>Adulte :</w:t>
      </w:r>
    </w:p>
    <w:p>
      <w:pPr>
        <w:pStyle w:val="ListBullet"/>
      </w:pPr>
      <w:r/>
      <w:r>
        <w:rPr>
          <w:b/>
        </w:rPr>
        <w:t>Initiation</w:t>
      </w:r>
      <w:r>
        <w:t xml:space="preserve"> (orale) : 250 mg/jour en 1 prise, augmentation par paliers de 250 mg toutes les 4-7 jours selon la tolérance et la réponse clinique.</w:t>
      </w:r>
    </w:p>
    <w:p>
      <w:pPr>
        <w:pStyle w:val="ListBullet"/>
      </w:pPr>
      <w:r/>
      <w:r>
        <w:rPr>
          <w:b/>
        </w:rPr>
        <w:t>Dose d'entretien habituelle</w:t>
      </w:r>
      <w:r>
        <w:t xml:space="preserve"> : 500-1500 mg/jour en 1 à 2 prises (la longue demi-vie autorise une monoprise vespérale).</w:t>
      </w:r>
    </w:p>
    <w:p>
      <w:pPr>
        <w:pStyle w:val="ListBullet"/>
      </w:pPr>
      <w:r/>
      <w:r>
        <w:rPr>
          <w:b/>
        </w:rPr>
        <w:t>Dose maximale</w:t>
      </w:r>
      <w:r>
        <w:t xml:space="preserve"> : 1500-2000 mg/jour (au-delà, toxicité probable).</w:t>
      </w:r>
    </w:p>
    <w:p>
      <w:pPr>
        <w:pStyle w:val="ListBullet"/>
      </w:pPr>
      <w:r>
        <w:t>Enfant :</w:t>
      </w:r>
    </w:p>
    <w:p>
      <w:pPr>
        <w:pStyle w:val="ListBullet"/>
      </w:pPr>
      <w:r/>
      <w:r>
        <w:rPr>
          <w:b/>
        </w:rPr>
        <w:t>Initiation orale</w:t>
      </w:r>
      <w:r>
        <w:t xml:space="preserve"> : 10-15 mg/kg/jour en 1-2 prises, augmentation progressive.</w:t>
      </w:r>
    </w:p>
    <w:p>
      <w:pPr>
        <w:pStyle w:val="ListBullet"/>
      </w:pPr>
      <w:r/>
      <w:r>
        <w:rPr>
          <w:b/>
        </w:rPr>
        <w:t>Dose d'entretien</w:t>
      </w:r>
      <w:r>
        <w:t xml:space="preserve"> : 15-40 mg/kg/jour (ajustée selon éthosuximidémie et réponse clinique).</w:t>
      </w:r>
    </w:p>
    <w:p>
      <w:pPr>
        <w:pStyle w:val="ListBullet"/>
      </w:pPr>
      <w:r>
        <w:t>Durée : au long cours (traitement de fond prolongé, plusieurs années — souvent 2-5 ans de liberté de crises avant sevrage progressif à l'adolescence). Forme sirop particulièrement adaptée à l'enfant.</w:t>
      </w:r>
    </w:p>
    <w:p>
      <w:pPr>
        <w:pStyle w:val="ListBullet"/>
      </w:pPr>
      <w:r>
        <w:t>Moment de la prise : pendant les repas (améliore la tolérance digestive), preferably au soir en monoprise (demi-vie longue). Prise à heure fixe pour maintenir des concentrations stables.</w:t>
      </w:r>
    </w:p>
    <w:p>
      <w:pPr>
        <w:pStyle w:val="ListBullet"/>
      </w:pPr>
      <w:r>
        <w:t>Adaptation posologique : insuffisance hépatique — réduction de 25-50 % initiale ; insuffisance rénale — surveillance accrue ; sujet âgé — réduction initiale de 25 %.</w:t>
      </w:r>
    </w:p>
    <w:p>
      <w:r/>
      <w:r>
        <w:rPr>
          <w:b/>
        </w:rPr>
        <w:t>Arbitrage et Bénéfices des Formes Galéniques :</w:t>
      </w:r>
      <w:r/>
    </w:p>
    <w:p>
      <w:pPr>
        <w:pStyle w:val="ListBullet"/>
      </w:pPr>
      <w:r/>
      <w:r>
        <w:rPr>
          <w:b/>
        </w:rPr>
        <w:t>Gélules 250 mg</w:t>
      </w:r>
      <w:r>
        <w:t xml:space="preserve"> (Zarontin® Parke-Davis retiré, Petinimid® Gerot retiré) : galénique orale de référence pour l'adulte et le grand enfant, pratique pour la monothérapie d'entretien. </w:t>
      </w:r>
      <w:r>
        <w:rPr>
          <w:b/>
        </w:rPr>
        <w:t>Plus disponible en Algérie</w:t>
      </w:r>
      <w:r>
        <w:t>.</w:t>
      </w:r>
    </w:p>
    <w:p>
      <w:pPr>
        <w:pStyle w:val="ListBullet"/>
      </w:pPr>
      <w:r/>
      <w:r>
        <w:rPr>
          <w:b/>
        </w:rPr>
        <w:t>Sirop 50 mg/mL (250 mg/5 mL)</w:t>
      </w:r>
      <w:r>
        <w:t xml:space="preserve"> (Zarontin® Parke-Davis retiré, Petinimid® Gerot retiré) : galénique pédiatrique par excellence, permet une titration fine selon le poids (1 mL = 50 mg). Particulièrement adaptée à l'enfant de moins de 6-8 ans incapable d'avaler des gélules. </w:t>
      </w:r>
      <w:r>
        <w:rPr>
          <w:b/>
        </w:rPr>
        <w:t>Plus disponible en Algérie</w:t>
      </w:r>
      <w:r>
        <w:t>.</w:t>
      </w:r>
    </w:p>
    <w:p>
      <w:pPr>
        <w:pStyle w:val="ListBullet"/>
      </w:pPr>
      <w:r/>
      <w:r>
        <w:rPr>
          <w:b/>
        </w:rPr>
        <w:t>Alternative pratique en Algérie</w:t>
      </w:r>
      <w:r>
        <w:t xml:space="preserve"> : acide valproïque sirop (Dépakine® sirop 200 mg/mL Sanofi, IPAKINE Inpha-Medis, ISOLEP Isopharm, MEVAKINE LAM, PAKEDAL Pharmidal, PHYSIOLONE Physiopharm, SOPVAL El Kendi — cf. Chapitre 92) ou lamotrigine orodispersible (AMITRAL El Kendi 5/25/100 mg, LAMITOR Sarl Groupe Santé 5 mg, LAMOTRIGINE BEKER 5/25/100 mg, BIOLAM Biocare 25/100 mg, LAMITRIGINE Hupp Pharma 25/50/100 mg — cf. Chapitre 92).</w:t>
      </w:r>
    </w:p>
    <w:p>
      <w:r/>
      <w:r>
        <w:rPr>
          <w:b/>
        </w:rPr>
        <w:t>Instructions et Conseils au Patient :</w:t>
      </w:r>
      <w:r/>
    </w:p>
    <w:p>
      <w:pPr>
        <w:pStyle w:val="ListBullet"/>
      </w:pPr>
      <w:r>
        <w:t>Communication au comptoir :</w:t>
      </w:r>
    </w:p>
    <w:p>
      <w:pPr>
        <w:pStyle w:val="ListBullet"/>
      </w:pPr>
      <w:r>
        <w:t>« Ce médicament n'est plus disponible en Algérie — votre médecin prescripteur doit vous orienter vers une alternative thérapeutique (acide valproïque ou lamotrigine) disponible dans le pays. »</w:t>
      </w:r>
    </w:p>
    <w:p>
      <w:pPr>
        <w:pStyle w:val="ListBullet"/>
      </w:pPr>
      <w:r>
        <w:t>(À titre informatif — éducation du patient sur la molécule historiquement) : « L'éthosuximide est un antiépileptique spécifique des crises d'absence (petit mal) — il ne traite pas les autres types de crises. »</w:t>
      </w:r>
    </w:p>
    <w:p>
      <w:pPr>
        <w:pStyle w:val="ListBullet"/>
      </w:pPr>
      <w:r>
        <w:t>« Prévenez votre pharmacien et votre médecin de TOUT nouveau médicament prescrit (y compris en automédication — antibiotiques, antifongiques, antidépresseurs) car les interactions sont possibles. »</w:t>
      </w:r>
    </w:p>
    <w:p>
      <w:pPr>
        <w:pStyle w:val="ListBullet"/>
      </w:pPr>
      <w:r>
        <w:t>« Si vous êtes une femme en âge de procréer, parlez-en à votre médecin AVANT tout projet de grossesse — ce médicament est déconseillé pendant la grossesse ; une contraception efficace est indispensable tout au long du traitement. »</w:t>
      </w:r>
    </w:p>
    <w:p>
      <w:pPr>
        <w:pStyle w:val="ListBullet"/>
      </w:pPr>
      <w:r>
        <w:t>Mode d'utilisation pratique :</w:t>
      </w:r>
    </w:p>
    <w:p>
      <w:pPr>
        <w:pStyle w:val="ListBullet"/>
      </w:pPr>
      <w:r>
        <w:t>Prendre le médicament pendant les repas, à heure fixe (le soir en monoprise).</w:t>
      </w:r>
    </w:p>
    <w:p>
      <w:pPr>
        <w:pStyle w:val="ListBullet"/>
      </w:pPr>
      <w:r>
        <w:t>En cas d'oubli d'une prise : la prendre dans les 12 h si possible, sinon l'ignorer et reprendre l'horaire habituel — NE JAMAIS doubler la dose suivante.</w:t>
      </w:r>
    </w:p>
    <w:p>
      <w:pPr>
        <w:pStyle w:val="ListBullet"/>
      </w:pPr>
      <w:r>
        <w:t>Tenir un journal des crises (date, heure, circonstances, durée, type).</w:t>
      </w:r>
    </w:p>
    <w:p>
      <w:pPr>
        <w:pStyle w:val="ListBullet"/>
      </w:pPr>
      <w:r>
        <w:t>Prévenir le médecin en cas de fièvre + éruption cutanée (suspicion DRESS — urgence), de saignement anormal (thrombopénie), de fatigue intense (anémie), de troubles psychiatriques (agitation, hallucinations).</w:t>
      </w:r>
    </w:p>
    <w:p>
      <w:r/>
      <w:r>
        <w:rPr>
          <w:b/>
        </w:rPr>
        <w:t>Notes, Règles d'Or &amp; Pièges au Comptoir :</w:t>
      </w:r>
      <w:r/>
    </w:p>
    <w:p>
      <w:pPr>
        <w:pStyle w:val="ListBullet"/>
      </w:pPr>
      <w:r>
        <w:t xml:space="preserve">Piège classique : </w:t>
      </w:r>
      <w:r>
        <w:rPr>
          <w:b/>
        </w:rPr>
        <w:t>prescription d'éthosuximide alors que la molécule est RETIRÉE du marché algérien</w:t>
      </w:r>
      <w:r>
        <w:t xml:space="preserve"> — orientation systématique vers le médecin prescripteur pour switch thérapeutique vers valproate ou lamotrigine (selon genre et contexte).</w:t>
      </w:r>
    </w:p>
    <w:p>
      <w:pPr>
        <w:pStyle w:val="ListBullet"/>
      </w:pPr>
      <w:r>
        <w:t xml:space="preserve">Piège classique : </w:t>
      </w:r>
      <w:r>
        <w:rPr>
          <w:b/>
        </w:rPr>
        <w:t>réaction psychiatrique paradoxale chez l'enfant</w:t>
      </w:r>
      <w:r>
        <w:t xml:space="preserve"> — agitation, agressivité, hallucinations — distinguer d'une aggravation de l'épilepsie.</w:t>
      </w:r>
    </w:p>
    <w:p>
      <w:pPr>
        <w:pStyle w:val="ListBullet"/>
      </w:pPr>
      <w:r>
        <w:t xml:space="preserve">Piège classique : </w:t>
      </w:r>
      <w:r>
        <w:rPr>
          <w:b/>
        </w:rPr>
        <w:t>interaction avec le valproate</w:t>
      </w:r>
      <w:r>
        <w:t xml:space="preserve"> — augmentation de l'éthosuximidémie (inhibition CYP3A4 + déplacement protéique mineur) — surveillance clinique et biologique, réduction de 25-50 % de la dose d'éthosuximide (pertinent uniquement si la molécule était disponible).</w:t>
      </w:r>
    </w:p>
    <w:p>
      <w:pPr>
        <w:pStyle w:val="ListBullet"/>
      </w:pPr>
      <w:r>
        <w:t xml:space="preserve">Piège classique : </w:t>
      </w:r>
      <w:r>
        <w:rPr>
          <w:b/>
        </w:rPr>
        <w:t>échec apparent</w:t>
      </w:r>
      <w:r>
        <w:t xml:space="preserve"> — distinguer l'absence authentique (efficacité attendue de l'éthosuximide) des absences atypiques (Syndrome de Lennox-Gastaut — efficacité inconstante, préférer valproate en association).</w:t>
      </w:r>
    </w:p>
    <w:p>
      <w:pPr>
        <w:pStyle w:val="ListBullet"/>
      </w:pPr>
      <w:r>
        <w:t>Règle de prise : pendant les repas, à heure fixe, sans oubli — observance stricte requise.</w:t>
      </w:r>
    </w:p>
    <w:p>
      <w:pPr>
        <w:pStyle w:val="ListBullet"/>
      </w:pPr>
      <w:r>
        <w:t>Préparation et Conservation : gélules et sirop à conserver à température &lt; 25 °C, à l'abri de l'humidité et de la lumière ; sirop à conserver après ouverture selon les recommandations du fabricant (généralement 1-3 mois).</w:t>
      </w:r>
    </w:p>
    <w:p>
      <w:pPr>
        <w:pStyle w:val="ListBullet"/>
      </w:pPr>
      <w:r>
        <w:t>Piège du surdosage / Substitution : compte tenu du retrait du marché algérien, aucune substitution intra-classe n'est possible — switch vers une autre classe d'AE (valproate, lamotrigine) sous surveillance neurologique.</w:t>
      </w:r>
    </w:p>
    <w:p>
      <w:pPr>
        <w:pStyle w:val="Heading2"/>
      </w:pPr>
      <w:r>
        <w:t>Sous-classe 4 — Antiépileptiques Benzodiazépines — Clonazépam</w:t>
      </w:r>
    </w:p>
    <w:p>
      <w:r>
        <w:t xml:space="preserve">La sous-classe des </w:t>
      </w:r>
      <w:r>
        <w:rPr>
          <w:b/>
        </w:rPr>
        <w:t>benzodiazépines antiépileptiques d'entretien</w:t>
      </w:r>
      <w:r>
        <w:t xml:space="preserve"> est dominée en Algérie par le </w:t>
      </w:r>
      <w:r>
        <w:rPr>
          <w:b/>
        </w:rPr>
        <w:t>clonazépam</w:t>
      </w:r>
      <w:r>
        <w:t xml:space="preserve"> (5-(2-chlorophényl)-7-nitro-1,3-dihydro-2H-1,4-benzodiazépin-2-one), introduit en 1969 par la firme Roche sous le nom commercial Rivotril®. Le clonazépam est une benzodiazépine à </w:t>
      </w:r>
      <w:r>
        <w:rPr>
          <w:b/>
        </w:rPr>
        <w:t>longue durée d'action</w:t>
      </w:r>
      <w:r>
        <w:t xml:space="preserve"> (demi-vie d'élimination 20-50 h — métabolisme hépatique CYP3A4 en norclonazépam inactif) et à </w:t>
      </w:r>
      <w:r>
        <w:rPr>
          <w:b/>
        </w:rPr>
        <w:t>courte durée d'action centrale</w:t>
      </w:r>
      <w:r>
        <w:t xml:space="preserve"> (la durée d'action pharmacodynamique est limitée par la régulation à la baisse du récepteur GABA-A et le développement d'une tolérance pharmacodynamique en quelques semaines à mois). Cette dissociation entre pharmacocinétique (longue) et pharmacodynamie (courte) explique que le clonazépam doive souvent être administré en 2 à 3 prises par jour pour maintenir une efficacité antiépileptique stable, malgré sa longue demi-vie d'élimination. Le clonazépam est un </w:t>
      </w:r>
      <w:r>
        <w:rPr>
          <w:b/>
        </w:rPr>
        <w:t>agoniste positif allostérique du récepteur GABA-A</w:t>
      </w:r>
      <w:r>
        <w:t xml:space="preserve"> (se fixant au site spécifique entre les sous-unités α et γ du récepteur pentamérique) — il augmente la </w:t>
      </w:r>
      <w:r>
        <w:rPr>
          <w:b/>
        </w:rPr>
        <w:t>fréquence d'ouverture</w:t>
      </w:r>
      <w:r>
        <w:t xml:space="preserve"> du canal chlorure en réponse au GABA (alors que le phénobarbital en augmente la durée d'ouverture), provoquant une hyperpolarisation post-synaptique et une élévation du seuil épileptogène. Son spectre d'action antiépileptique est large : efficace sur les crises partielles et généralisées, les myoclonies, les absences atypiques (syndrome de Lennox-Gastaut), et certains troubles spastiques (spasmes infantiles, sclérose en plaques — spasmes musculaires). Cependant, le développement rapide d'une tolérance pharmacodynamique (baisse d'efficacité en quelques semaines à mois — particulièrement sur les crises partielles et généralisées tonico-cloniques) en fait un antiépileptique généralement réservé à la </w:t>
      </w:r>
      <w:r>
        <w:rPr>
          <w:b/>
        </w:rPr>
        <w:t>deuxième ou troisième intention en association</w:t>
      </w:r>
      <w:r>
        <w:t xml:space="preserve"> (rarement en monothérapie), à l'exception de certaines indications spécifiques (myoclonies, syndrome de Lennox-Gastaut, syndrome de West en association). Le clonazépam partage les caractéristiques communes aux benzodiazépines : dépendance physique (syndrome de sevrage à l'arrêt brutal — crise, état de mal, anxiété rebond, tremblements, insomnie), potentialisation par les autres dépresseurs du SNC (alcool, opioïdes, antihistaminiques H1 sédatifs), et risques cognitifs (troubles de la mémoire antérograde, sédation, surtout chez le sujet âgé — risque de chutes). Sa tératogénicité est considérée comme modérée (données limitées — catégorie D selon CRAT, à éviter en grossesse notamment au 1er trimestre pour le risque de fente labio-palatine, et en fin de grossesse pour le risque de syndrome de sevrage néonatal — hypotonie, difficultés d'alimentation, détresse respiratoire).</w:t>
      </w:r>
    </w:p>
    <w:p>
      <w:pPr>
        <w:pStyle w:val="Heading3"/>
      </w:pPr>
      <w:r>
        <w:t>4. DCI : Clonazépam (usage antiépileptique) (Seule)</w:t>
      </w:r>
    </w:p>
    <w:p>
      <w:r/>
      <w:r>
        <w:rPr>
          <w:b/>
        </w:rPr>
        <w:t>Liste des Catégories :</w:t>
      </w:r>
      <w:r>
        <w:t xml:space="preserve"> Antiépileptiques — Benzodiazépines ; Anxiolytiques — Benzodiazépines ; Myorelaxants — Benzodiazépines ; Liste I (prescription limitée — durée maximale 12 semaines pour l'indication anxiolytique selon recommandations HAS, mais au long cours pour l'indication antiépileptique) ; Inducteur / dépendance physique (syndrome de sevrage) ; Tératogène (catégorie D — CRAT : « à éviter »).</w:t>
      </w:r>
    </w:p>
    <w:p>
      <w:r>
        <w:t xml:space="preserve">Le clonazépam (5-(2-chlorophényl)-7-nitro-1,3-dihydro-2H-1,4-benzodiazépin-2-one) est une benzodiazépine de longue durée d'action, historiquement développée et commercialisée par la firme Roche (Rivotril® 1969). Sa caractéristique pharmacocinétique principale est une </w:t>
      </w:r>
      <w:r>
        <w:rPr>
          <w:b/>
        </w:rPr>
        <w:t>longue demi-vie d'élimination</w:t>
      </w:r>
      <w:r>
        <w:t xml:space="preserve"> (20-50 h chez l'adulte, 20-40 h chez l'enfant) — autorisant théoriquement une monoprise, mais en pratique une bi- ou tri-prise est souvent nécessaire en raison de la courte durée d'action centrale pharmacodynamique (développement d'une tolérance rapide). Sa </w:t>
      </w:r>
      <w:r>
        <w:rPr>
          <w:b/>
        </w:rPr>
        <w:t>biodisponibilité orale</w:t>
      </w:r>
      <w:r>
        <w:t xml:space="preserve"> est excellente (&gt; 80 %), sa </w:t>
      </w:r>
      <w:r>
        <w:rPr>
          <w:b/>
        </w:rPr>
        <w:t>liaison aux protéines plasmatiques</w:t>
      </w:r>
      <w:r>
        <w:t xml:space="preserve"> modérée (45-50 % — peu d'interactions par déplacement protéique), et son </w:t>
      </w:r>
      <w:r>
        <w:rPr>
          <w:b/>
        </w:rPr>
        <w:t>métabolisme hépatique</w:t>
      </w:r>
      <w:r>
        <w:t xml:space="preserve"> complet (CYP3A4 → norclonazépam inactif, glucuroconjugaison). Le clonazépam traverse librement le placenta et est excrété dans le lait maternel (rapport lait/plasma = 0,3). Sa caractéristique pharmacodynamique essentielle est l'</w:t>
      </w:r>
      <w:r>
        <w:rPr>
          <w:b/>
        </w:rPr>
        <w:t>agonisme positif allostérique du récepteur GABA-A</w:t>
      </w:r>
      <w:r>
        <w:t xml:space="preserve"> (site de liaison spécifique entre les sous-unités α2-γ2 ou α3-γ2 du récepteur pentamérique GABA-A) — il augmente la fréquence d'ouverture du canal chlorure en réponse au GABA. Sa gamme thérapeutique est large (20-80 µg/L, soit 60-250 nmol/L). Le clonazépam est principalement indiqué dans : (1) les </w:t>
      </w:r>
      <w:r>
        <w:rPr>
          <w:b/>
        </w:rPr>
        <w:t>épilepsies partielles et généralisées</w:t>
      </w:r>
      <w:r>
        <w:t xml:space="preserve"> pharmaco-résistantes en association (deuxième ou troisième intention) ; (2) les </w:t>
      </w:r>
      <w:r>
        <w:rPr>
          <w:b/>
        </w:rPr>
        <w:t>myoclonies</w:t>
      </w:r>
      <w:r>
        <w:t xml:space="preserve"> (épilepsie myoclonique juvénile, myoclonies d'action progressives, myoclonies post-anoxiques) — indication de choix ; (3) les </w:t>
      </w:r>
      <w:r>
        <w:rPr>
          <w:b/>
        </w:rPr>
        <w:t>absences atypiques</w:t>
      </w:r>
      <w:r>
        <w:t xml:space="preserve"> (syndrome de Lennox-Gastaut) en association ; (4) les </w:t>
      </w:r>
      <w:r>
        <w:rPr>
          <w:b/>
        </w:rPr>
        <w:t>spasmes infantiles</w:t>
      </w:r>
      <w:r>
        <w:t xml:space="preserve"> (syndrome de West) en association avec l'ACTH ou le vigabatrin ; (5) certains </w:t>
      </w:r>
      <w:r>
        <w:rPr>
          <w:b/>
        </w:rPr>
        <w:t>troubles spastiques</w:t>
      </w:r>
      <w:r>
        <w:t xml:space="preserve"> (sclérose en plaques — spasmes musculaires, spasticité) — hors indication stricte. À noter que le clonazépam est également indiqué dans les </w:t>
      </w:r>
      <w:r>
        <w:rPr>
          <w:b/>
        </w:rPr>
        <w:t>troubles anxieux</w:t>
      </w:r>
      <w:r>
        <w:t xml:space="preserve"> (anxiété généralisée, panique, phobie sociale) et les </w:t>
      </w:r>
      <w:r>
        <w:rPr>
          <w:b/>
        </w:rPr>
        <w:t>troubles du sommeil</w:t>
      </w:r>
      <w:r>
        <w:t xml:space="preserve"> (insomnie — rarement utilisé aujourd'hui) — mais ces indications relèvent du Fascicule X (Psychiatrie/Psychotropes — chapitre 82 Anxiolytiques/hypnotiques) et ne sont pas traitées ici.</w:t>
      </w:r>
    </w:p>
    <w:p>
      <w:r/>
      <w:r>
        <w:rPr>
          <w:b/>
        </w:rPr>
        <w:t>Médicaments disponibles en Algérie (Marques, Laboratoires, Formes et Dosages) :</w:t>
      </w:r>
      <w:r/>
    </w:p>
    <w:p>
      <w:r>
        <w:t>Formes actives :</w:t>
      </w:r>
    </w:p>
    <w:p>
      <w:pPr>
        <w:pStyle w:val="ListBullet"/>
      </w:pPr>
      <w:r/>
      <w:r>
        <w:rPr>
          <w:b/>
        </w:rPr>
        <w:t>CLONA</w:t>
      </w:r>
      <w:r>
        <w:t xml:space="preserve"> (SARL GROUPE SANTE)</w:t>
      </w:r>
    </w:p>
    <w:p>
      <w:pPr>
        <w:pStyle w:val="ListBullet"/>
      </w:pPr>
      <w:r>
        <w:t>Formes et Dosages : Comprimé 2 mg — B/20, Liste I ; Solution buvable 2,5 mg/mL — flacon 20 mL, Liste I</w:t>
      </w:r>
    </w:p>
    <w:p>
      <w:pPr>
        <w:pStyle w:val="ListBullet"/>
      </w:pPr>
      <w:r>
        <w:t xml:space="preserve">Statut : </w:t>
      </w:r>
      <w:r>
        <w:rPr>
          <w:b/>
        </w:rPr>
        <w:t>Actif</w:t>
      </w:r>
      <w:r/>
    </w:p>
    <w:p>
      <w:pPr>
        <w:pStyle w:val="ListBullet"/>
      </w:pPr>
      <w:r/>
      <w:r>
        <w:rPr>
          <w:b/>
        </w:rPr>
        <w:t>NOVATRIL</w:t>
      </w:r>
      <w:r>
        <w:t xml:space="preserve"> (INDUSTRIA FARMACEUTICA NOVA ARGENTIA SPA)</w:t>
      </w:r>
    </w:p>
    <w:p>
      <w:pPr>
        <w:pStyle w:val="ListBullet"/>
      </w:pPr>
      <w:r>
        <w:t>Formes et Dosages : Comprimé 2 mg — B/40, Liste I</w:t>
      </w:r>
    </w:p>
    <w:p>
      <w:pPr>
        <w:pStyle w:val="ListBullet"/>
      </w:pPr>
      <w:r>
        <w:t xml:space="preserve">Statut : </w:t>
      </w:r>
      <w:r>
        <w:rPr>
          <w:b/>
        </w:rPr>
        <w:t>Actif</w:t>
      </w:r>
      <w:r/>
    </w:p>
    <w:p>
      <w:pPr>
        <w:pStyle w:val="ListBullet"/>
      </w:pPr>
      <w:r/>
      <w:r>
        <w:rPr>
          <w:b/>
        </w:rPr>
        <w:t>RIVOMED</w:t>
      </w:r>
      <w:r>
        <w:t xml:space="preserve"> (SANAMED)</w:t>
      </w:r>
    </w:p>
    <w:p>
      <w:pPr>
        <w:pStyle w:val="ListBullet"/>
      </w:pPr>
      <w:r>
        <w:t>Formes et Dosages : Comprimé quadri-sécable 2 mg — B/40, Liste I</w:t>
      </w:r>
    </w:p>
    <w:p>
      <w:pPr>
        <w:pStyle w:val="ListBullet"/>
      </w:pPr>
      <w:r>
        <w:t xml:space="preserve">Statut : </w:t>
      </w:r>
      <w:r>
        <w:rPr>
          <w:b/>
        </w:rPr>
        <w:t>Actif</w:t>
      </w:r>
      <w:r/>
    </w:p>
    <w:p>
      <w:r>
        <w:t>Formes retirées (plus commercialisées en Algérie) :</w:t>
      </w:r>
    </w:p>
    <w:p>
      <w:pPr>
        <w:pStyle w:val="ListBullet"/>
      </w:pPr>
      <w:r/>
      <w:r>
        <w:rPr>
          <w:b/>
        </w:rPr>
        <w:t>RIVOTRIL</w:t>
      </w:r>
      <w:r>
        <w:t xml:space="preserve"> (ROCHE)</w:t>
      </w:r>
    </w:p>
    <w:p>
      <w:pPr>
        <w:pStyle w:val="ListBullet"/>
      </w:pPr>
      <w:r>
        <w:t>Formes et Dosages : Comprimé quadri-sécable 2 mg — B/40, Liste I ; Solution buvable gouttes 2,5 mg/mL — flacon 20 mL, Liste I</w:t>
      </w:r>
    </w:p>
    <w:p>
      <w:pPr>
        <w:pStyle w:val="ListBullet"/>
      </w:pPr>
      <w:r>
        <w:t xml:space="preserve">Statut : </w:t>
      </w:r>
      <w:r>
        <w:rPr>
          <w:b/>
        </w:rPr>
        <w:t>Retiré (R)</w:t>
      </w:r>
      <w:r>
        <w:t xml:space="preserve"> (princeps Roche — supplanté par les génériques CLONA, NOVATRIL, RIVOMED)</w:t>
      </w:r>
    </w:p>
    <w:p>
      <w:pPr>
        <w:pStyle w:val="ListBullet"/>
      </w:pPr>
      <w:r/>
      <w:r>
        <w:rPr>
          <w:b/>
        </w:rPr>
        <w:t>RIVOMED</w:t>
      </w:r>
      <w:r>
        <w:t xml:space="preserve"> (SANAMED)</w:t>
      </w:r>
    </w:p>
    <w:p>
      <w:pPr>
        <w:pStyle w:val="ListBullet"/>
      </w:pPr>
      <w:r>
        <w:t>Formes et Dosages : Solution buvable gouttes 2,5 mg/mL — flacon 25 mL + pipette 1 mL, Liste I</w:t>
      </w:r>
    </w:p>
    <w:p>
      <w:pPr>
        <w:pStyle w:val="ListBullet"/>
      </w:pPr>
      <w:r>
        <w:t xml:space="preserve">Statut : </w:t>
      </w:r>
      <w:r>
        <w:rPr>
          <w:b/>
        </w:rPr>
        <w:t>Retiré (R)</w:t>
      </w:r>
      <w:r>
        <w:t xml:space="preserve"> (forme sirop retirée, mais la forme comprimé quadri-sécable 2 mg reste active sous la même marque)</w:t>
      </w:r>
    </w:p>
    <w:p>
      <w:r/>
      <w:r>
        <w:rPr>
          <w:i/>
        </w:rPr>
        <w:t>Note : le clonazépam reste disponible en Algérie sous 3 marques actives (CLONA Sarl Groupe Santé comprimé + solution buvable, NOVATRIL Nova Argentia comprimé, RIVOMED Sanamed comprimé quadri-sécable) — approvisionnement stable. Le switch entre marques est trivial (équivalence stricte de dosage en mg). Le princeps Rivotril® Roche est retiré mais les génériques actifs offrent une alternative de qualité équivalente.</w:t>
      </w:r>
      <w:r/>
    </w:p>
    <w:p>
      <w:r/>
      <w:r>
        <w:rPr>
          <w:b/>
        </w:rPr>
        <w:t>Sous-classe et Mécanisme d'action :</w:t>
      </w:r>
      <w:r/>
    </w:p>
    <w:p>
      <w:pPr>
        <w:pStyle w:val="ListBullet"/>
      </w:pPr>
      <w:r>
        <w:t>Sous-classe : Antiépileptiques — benzodiazépines à longue durée d'action. Au sein de la classification des BZD, le clonazépam est classé comme BZD à longue demi-vie d'élimination (20-50 h) — comme le diazépam. Son usage antiépileptique d'entretien se distingue de l'usage des BZD d'urgence (diazépam, midazolam, lorazépam IV/IM) qui sont réservées à l'état de mal épileptique.</w:t>
      </w:r>
    </w:p>
    <w:p>
      <w:pPr>
        <w:pStyle w:val="ListBullet"/>
      </w:pPr>
      <w:r>
        <w:t xml:space="preserve">Mécanisme d'action : </w:t>
      </w:r>
      <w:r>
        <w:rPr>
          <w:b/>
        </w:rPr>
        <w:t>Agonisme positif allostérique du récepteur GABA-A</w:t>
      </w:r>
      <w:r>
        <w:t xml:space="preserve"> — le clonazépam se fixe à un site spécifique (entre les sous-unités α2-γ2 ou α3-γ2 du récepteur pentamérique GABA-A, distinct du site de liaison du GABA lui-même et du site du phénobarbital). Cette fixation allostérique augmente la </w:t>
      </w:r>
      <w:r>
        <w:rPr>
          <w:b/>
        </w:rPr>
        <w:t>fréquence d'ouverture</w:t>
      </w:r>
      <w:r>
        <w:t xml:space="preserve"> du canal chlorure en réponse au GABA (sans activer le canal en l'absence de GABA — différence majeure avec les barbituriques qui sont des agonistes directs à forte dose). L'effet net est une hyperpolarisation post-synaptique (entrée de Cl-), une élévation du seuil épileptogène, et une dépression globale de l'excitabilité neuronale. Le récepteur GABA-A est le récepteur de l'inhibition rapide postsynaptique dans le SNC — sa stimulation par le clonazépam supprime les décharges paroxystiques. Mécanisme additionnel : à forte dose, le clonazépam peut avoir un effet modeste de blocage des canaux Na+ voltage-dépendants (participations mineures à l'efficacité antiépileptique).</w:t>
      </w:r>
    </w:p>
    <w:p>
      <w:r/>
      <w:r>
        <w:rPr>
          <w:b/>
        </w:rPr>
        <w:t>Profil Pharmacologique :</w:t>
      </w:r>
      <w:r/>
    </w:p>
    <w:p>
      <w:pPr>
        <w:pStyle w:val="ListBullet"/>
      </w:pPr>
      <w:r>
        <w:t>Indications :</w:t>
      </w:r>
    </w:p>
    <w:p>
      <w:pPr>
        <w:pStyle w:val="ListBullet"/>
      </w:pPr>
      <w:r/>
      <w:r>
        <w:rPr>
          <w:b/>
        </w:rPr>
        <w:t>Épilepsies partielles et généralisées</w:t>
      </w:r>
      <w:r>
        <w:t xml:space="preserve"> pharmaco-résistantes en association (deuxième ou troisième intention) — efficacité reconnue mais limitée par le développement d'une tolérance pharmacodynamique en quelques semaines à mois.</w:t>
      </w:r>
    </w:p>
    <w:p>
      <w:pPr>
        <w:pStyle w:val="ListBullet"/>
      </w:pPr>
      <w:r/>
      <w:r>
        <w:rPr>
          <w:b/>
        </w:rPr>
        <w:t>Myoclonies</w:t>
      </w:r>
      <w:r>
        <w:t xml:space="preserve"> (épilepsie myoclonique juvénile de Janz, myoclonies d'action progressives, myoclonies post-anoxiques, myoclonies essentielles) — indication de choix, particulièrement efficace.</w:t>
      </w:r>
    </w:p>
    <w:p>
      <w:pPr>
        <w:pStyle w:val="ListBullet"/>
      </w:pPr>
      <w:r/>
      <w:r>
        <w:rPr>
          <w:b/>
        </w:rPr>
        <w:t>Absences atypiques</w:t>
      </w:r>
      <w:r>
        <w:t xml:space="preserve"> (syndrome de Lennox-Gastaut) en association.</w:t>
      </w:r>
    </w:p>
    <w:p>
      <w:pPr>
        <w:pStyle w:val="ListBullet"/>
      </w:pPr>
      <w:r/>
      <w:r>
        <w:rPr>
          <w:b/>
        </w:rPr>
        <w:t>Spasmes infantiles</w:t>
      </w:r>
      <w:r>
        <w:t xml:space="preserve"> (syndrome de West) en association avec l'ACTH ou le vigabatrin (efficacité modeste).</w:t>
      </w:r>
    </w:p>
    <w:p>
      <w:pPr>
        <w:pStyle w:val="ListBullet"/>
      </w:pPr>
      <w:r/>
      <w:r>
        <w:rPr>
          <w:b/>
        </w:rPr>
        <w:t>Troubles spastiques</w:t>
      </w:r>
      <w:r>
        <w:t xml:space="preserve"> (sclérose en plaques — spasmes musculaires, spasticité) — hors indication stricte, parfois utile.</w:t>
      </w:r>
    </w:p>
    <w:p>
      <w:pPr>
        <w:pStyle w:val="ListBullet"/>
      </w:pPr>
      <w:r>
        <w:t>Hors indication antiépileptique : troubles anxieux (anxiété généralisée, trouble panique, phobie sociale), troubles du sommeil (insomnie d'endormissement — rarement utilisé), syndrome des jambes sans repos sévère, tremblement essentiel (alternative au propranolol).</w:t>
      </w:r>
    </w:p>
    <w:p>
      <w:pPr>
        <w:pStyle w:val="ListBullet"/>
      </w:pPr>
      <w:r>
        <w:t>Contre-indications :</w:t>
      </w:r>
    </w:p>
    <w:p>
      <w:pPr>
        <w:pStyle w:val="ListBullet"/>
      </w:pPr>
      <w:r>
        <w:t>Myasthénie grave (dépression neuromusculaire).</w:t>
      </w:r>
    </w:p>
    <w:p>
      <w:pPr>
        <w:pStyle w:val="ListBullet"/>
      </w:pPr>
      <w:r>
        <w:t>Insuffisance respiratoire sévère (BPCO décompensé, asthme aigu sévère — dépression respiratoire additive).</w:t>
      </w:r>
    </w:p>
    <w:p>
      <w:pPr>
        <w:pStyle w:val="ListBullet"/>
      </w:pPr>
      <w:r>
        <w:t>Syndrome d'apnée du sommeil sévère.</w:t>
      </w:r>
    </w:p>
    <w:p>
      <w:pPr>
        <w:pStyle w:val="ListBullet"/>
      </w:pPr>
      <w:r>
        <w:t>Insuffisance hépatique sévère (encéphalopathie hépatique — risque d'aggravation).</w:t>
      </w:r>
    </w:p>
    <w:p>
      <w:pPr>
        <w:pStyle w:val="ListBullet"/>
      </w:pPr>
      <w:r>
        <w:t>Hypersensibilité connue aux benzodiazépines.</w:t>
      </w:r>
    </w:p>
    <w:p>
      <w:pPr>
        <w:pStyle w:val="ListBullet"/>
      </w:pPr>
      <w:r>
        <w:t>Grossesse (à éviter sauf nécessité absolue — catégorie D).</w:t>
      </w:r>
    </w:p>
    <w:p>
      <w:pPr>
        <w:pStyle w:val="ListBullet"/>
      </w:pPr>
      <w:r>
        <w:t>Allaitement (à éviter si doses élevées).</w:t>
      </w:r>
    </w:p>
    <w:p>
      <w:pPr>
        <w:pStyle w:val="ListBullet"/>
      </w:pPr>
      <w:r>
        <w:t>Précautions : sujet âgé (réduction posologique initiale — risque de sédation excessive et de chutes), antécédents psychiatriques (dépression, suicidalité — surveillance), antécédents d'addiction (alcool, opioïdes — risque d'abus), insuffisance rénale (adaptation posologique).</w:t>
      </w:r>
    </w:p>
    <w:p>
      <w:pPr>
        <w:pStyle w:val="ListBullet"/>
      </w:pPr>
      <w:r>
        <w:t>Effets indésirables :</w:t>
      </w:r>
    </w:p>
    <w:p>
      <w:pPr>
        <w:pStyle w:val="ListBullet"/>
      </w:pPr>
      <w:r/>
      <w:r>
        <w:rPr>
          <w:b/>
        </w:rPr>
        <w:t>Neurologiques et cognitifs dose-dépendants</w:t>
      </w:r>
      <w:r>
        <w:t xml:space="preserve"> : somnolence (très fréquente, 30-50 %, surtout en début de traitement — partiellement atténuée après quelques semaines), troubles de la mémoire antérograde (amnésie antérograde — fréquente, dose-dépendante, particulièrement marquée chez le sujet âgé), confusion (sujet âgé — souvent méconnue), ataxie, vertiges, dysarthrie, tremblement, céphalées, diplopie.</w:t>
      </w:r>
    </w:p>
    <w:p>
      <w:pPr>
        <w:pStyle w:val="ListBullet"/>
      </w:pPr>
      <w:r/>
      <w:r>
        <w:rPr>
          <w:b/>
        </w:rPr>
        <w:t>Psychiatriques</w:t>
      </w:r>
      <w:r>
        <w:t xml:space="preserve"> : dépression (incidence accrue), réactions paradoxales (agressivité, agitation, colère — particulièrement chez l'enfant et le sujet âgé — dysinhibition), anxiété rebond à l'arrêt, dépendance psychologique (recherche de l'effet anxiolytique), tolérance pharmacodynamique (baisse d'efficacité en quelques semaines à mois — particulièrement sur les crises partielles et généralisées tonico-cloniques).</w:t>
      </w:r>
    </w:p>
    <w:p>
      <w:pPr>
        <w:pStyle w:val="ListBullet"/>
      </w:pPr>
      <w:r/>
      <w:r>
        <w:rPr>
          <w:b/>
        </w:rPr>
        <w:t>Musculaires</w:t>
      </w:r>
      <w:r>
        <w:t xml:space="preserve"> : hypotonie musculaire, asthénie, faiblesse musculaire (particulièrement marquée chez le sujet âgé — risque de chutes et de fractures de hanche).</w:t>
      </w:r>
    </w:p>
    <w:p>
      <w:pPr>
        <w:pStyle w:val="ListBullet"/>
      </w:pPr>
      <w:r/>
      <w:r>
        <w:rPr>
          <w:b/>
        </w:rPr>
        <w:t>Respiratoires</w:t>
      </w:r>
      <w:r>
        <w:t xml:space="preserve"> : hypoventilation centrale (à dose élevée, surtout en IV — risque de dépression respiratoire aiguë), hypersécrétion bronchique (rare).</w:t>
      </w:r>
    </w:p>
    <w:p>
      <w:pPr>
        <w:pStyle w:val="ListBullet"/>
      </w:pPr>
      <w:r/>
      <w:r>
        <w:rPr>
          <w:b/>
        </w:rPr>
        <w:t>Cutanés</w:t>
      </w:r>
      <w:r>
        <w:t xml:space="preserve"> : rash maculopapuleux bénin (5-10 %), urticaire, prurit, exceptionnellement Stevens-Johnson (SJS) ou syndrome de Lyell (NET).</w:t>
      </w:r>
    </w:p>
    <w:p>
      <w:pPr>
        <w:pStyle w:val="ListBullet"/>
      </w:pPr>
      <w:r/>
      <w:r>
        <w:rPr>
          <w:b/>
        </w:rPr>
        <w:t>Gastro-intestinaux</w:t>
      </w:r>
      <w:r>
        <w:t xml:space="preserve"> : nausées, vomissements, constipation, sécheresse buccale.</w:t>
      </w:r>
    </w:p>
    <w:p>
      <w:pPr>
        <w:pStyle w:val="ListBullet"/>
      </w:pPr>
      <w:r/>
      <w:r>
        <w:rPr>
          <w:b/>
        </w:rPr>
        <w:t>Endocriniens</w:t>
      </w:r>
      <w:r>
        <w:t xml:space="preserve"> : baisse de la libido, troubles de l'érection, dysménorrhée.</w:t>
      </w:r>
    </w:p>
    <w:p>
      <w:pPr>
        <w:pStyle w:val="ListBullet"/>
      </w:pPr>
      <w:r/>
      <w:r>
        <w:rPr>
          <w:b/>
        </w:rPr>
        <w:t>Hématologiques</w:t>
      </w:r>
      <w:r>
        <w:t xml:space="preserve"> : thrombopénie, leucopénie (rares).</w:t>
      </w:r>
    </w:p>
    <w:p>
      <w:pPr>
        <w:pStyle w:val="ListBullet"/>
      </w:pPr>
      <w:r/>
      <w:r>
        <w:rPr>
          <w:b/>
        </w:rPr>
        <w:t>Tératogénicité</w:t>
      </w:r>
      <w:r>
        <w:t xml:space="preserve"> : catégorie D — risque malformatif (fente labio-palatine, malformations cardiaques — données limitées) + </w:t>
      </w:r>
      <w:r>
        <w:rPr>
          <w:b/>
        </w:rPr>
        <w:t>risque de syndrome de sevrage néonatal</w:t>
      </w:r>
      <w:r>
        <w:t xml:space="preserve"> (hypotonie, difficultés d'alimentation, détresse respiratoire — syndrome du "floppy baby") si prise en fin de grossesse.</w:t>
      </w:r>
    </w:p>
    <w:p>
      <w:pPr>
        <w:pStyle w:val="ListBullet"/>
      </w:pPr>
      <w:r/>
      <w:r>
        <w:rPr>
          <w:b/>
        </w:rPr>
        <w:t>Dépendance et tolérance</w:t>
      </w:r>
      <w:r>
        <w:t xml:space="preserve"> : tolérance pharmacodynamique (baisse de l'effet antiépileptique en quelques semaines à mois), dépendance physique (syndrome de sevrage à l'arrêt brutal — crise, état de mal épileptique, anxiété rebond, tremblements, insomnie, agitation — arrêt TOUJOURS progressif sur plusieurs semaines à mois).</w:t>
      </w:r>
    </w:p>
    <w:p>
      <w:r/>
      <w:r>
        <w:rPr>
          <w:b/>
        </w:rPr>
        <w:t>Prévention et Gestion des Effets Indésirables :</w:t>
      </w:r>
      <w:r/>
    </w:p>
    <w:p>
      <w:pPr>
        <w:pStyle w:val="ListBullet"/>
      </w:pPr>
      <w:r>
        <w:t>Mesures préventives :</w:t>
      </w:r>
    </w:p>
    <w:p>
      <w:pPr>
        <w:pStyle w:val="ListBullet"/>
      </w:pPr>
      <w:r>
        <w:t>Surveillance clinique : examen neurologique (vigilance, ataxie, mémoire), évaluation psychiatrique initiale (recherche de dépression, suicidalité, antécédents d'addiction), surveillance de l'observance et de la consommation concomitante d'alcool ou d'autres psychotropes.</w:t>
      </w:r>
    </w:p>
    <w:p>
      <w:pPr>
        <w:pStyle w:val="ListBullet"/>
      </w:pPr>
      <w:r>
        <w:t>Bilan pré-thérapeutique : NFS-plaquettes, bilan hépatique, ECG, évaluation de la fonction respiratoire (sujet âgé, BPCO, asthme).</w:t>
      </w:r>
    </w:p>
    <w:p>
      <w:pPr>
        <w:pStyle w:val="ListBullet"/>
      </w:pPr>
      <w:r>
        <w:t>Information du patient : ne jamais arrêter brutalement (risque de sevrage — état de mal épileptique), prévenir en cas de projet de grossesse, éviter la consommation d'alcool (potentialisation), éviter la conduite automobile en début de traitement (jusqu'à évaluation de la tolérance), prévenir en cas de prise d'autres médicaments (interactions multiples).</w:t>
      </w:r>
    </w:p>
    <w:p>
      <w:pPr>
        <w:pStyle w:val="ListBullet"/>
      </w:pPr>
      <w:r>
        <w:t>Prescription selon les recommandations HAS (anxiolytiques) : durée maximale 12 semaines pour l'indication anxiolytique (mais au long cours pour l'indication antiépileptique — réévaluation régulière de la nécessité du traitement).</w:t>
      </w:r>
    </w:p>
    <w:p>
      <w:pPr>
        <w:pStyle w:val="ListBullet"/>
      </w:pPr>
      <w:r>
        <w:t>Conduite à tenir :</w:t>
      </w:r>
    </w:p>
    <w:p>
      <w:pPr>
        <w:pStyle w:val="ListBullet"/>
      </w:pPr>
      <w:r>
        <w:t>En cas de sédation excessive : réduction posologique de 25-50 %, surveillance clinique 2-4 semaines.</w:t>
      </w:r>
    </w:p>
    <w:p>
      <w:pPr>
        <w:pStyle w:val="ListBullet"/>
      </w:pPr>
      <w:r>
        <w:t>En cas de troubles mnésiques : évaluation cognitive (MMSE, MATTIS), réduction posologique, switch vers un AE non sédatif (lévétiracétam, lamotrigine) si possible.</w:t>
      </w:r>
    </w:p>
    <w:p>
      <w:pPr>
        <w:pStyle w:val="ListBullet"/>
      </w:pPr>
      <w:r>
        <w:t>En cas de réaction paradoxale (agressivité, agitation) : arrêt immédiat, consultation psychiatrique, switch vers un autre AE.</w:t>
      </w:r>
    </w:p>
    <w:p>
      <w:pPr>
        <w:pStyle w:val="ListBullet"/>
      </w:pPr>
      <w:r>
        <w:t>En cas de dépression : évaluation psychiatrique, switch vers un AE non dépressogène si possible.</w:t>
      </w:r>
    </w:p>
    <w:p>
      <w:pPr>
        <w:pStyle w:val="ListBullet"/>
      </w:pPr>
      <w:r>
        <w:t>En cas de grossesse planifiée : switch thérapeutique pré-conceptionnel vers lamotrigine ou lévétiracétam (profil tératogène plus favorable) ; si grossesse déjà engagée : ne pas arrêter brutalement (risque de mal convulsif), consultation neurologie-périnatale, supplémentation acide folique 5 mg/jour, surveillance échographique spécialisée. Adapter la dose en fin de grossesse (risque de syndrome de sevrage néonatal — surveillance en maternité de niveau 3, prise en charge néonatale anticipée).</w:t>
      </w:r>
    </w:p>
    <w:p>
      <w:pPr>
        <w:pStyle w:val="ListBullet"/>
      </w:pPr>
      <w:r>
        <w:t xml:space="preserve">En cas de surdosage (intentionnel ou accidentel) : hospitalisation réanimation, intubation-ventilation mécanique si coma, </w:t>
      </w:r>
      <w:r>
        <w:rPr>
          <w:b/>
        </w:rPr>
        <w:t>flumazénil</w:t>
      </w:r>
      <w:r>
        <w:t xml:space="preserve"> (Anexate®) antagoniste spécifique des benzodiazépines — 0,2 mg IV en 30 s, puis 0,1 mg/min jusqu'à 1 mg max (attention : demi-vie courte du flumazénil 40-80 min → resédation possible, surveillance prolongée ; risque de convulsions si patient dépendant ou si co-ingestion d'antidépresseurs tricycliques — contre-indication).</w:t>
      </w:r>
    </w:p>
    <w:p>
      <w:r/>
      <w:r>
        <w:rPr>
          <w:b/>
        </w:rPr>
        <w:t>Interactions Importantes :</w:t>
      </w:r>
      <w:r/>
    </w:p>
    <w:p>
      <w:pPr>
        <w:pStyle w:val="ListBullet"/>
      </w:pPr>
      <w:r/>
      <w:r>
        <w:rPr>
          <w:b/>
        </w:rPr>
        <w:t>Clonazépam + autres dépresseurs du SNC</w:t>
      </w:r>
      <w:r>
        <w:t xml:space="preserve"> : alcool (potentialisation pharmacodynamique majeure — risque de dépression respiratoire), opioïdes (morphine, codéine, oxycodone, fentanyl — risque de dépression respiratoire synergique, parfois létale — warning ANSM), antihistaminiques H1 sédatifs (hydroxyzine, alimémazine), autres BZD (diazépam, lorazépam, midazolam), antidépresseurs tricycliques, antipsychotiques, gabapentinoïdes (gabapentine, prégabaline) — potentialisation pharmacodynamique additive.</w:t>
      </w:r>
    </w:p>
    <w:p>
      <w:pPr>
        <w:pStyle w:val="ListBullet"/>
      </w:pPr>
      <w:r/>
      <w:r>
        <w:rPr>
          <w:b/>
        </w:rPr>
        <w:t>Clonazépam + inducteurs enzymatiques</w:t>
      </w:r>
      <w:r>
        <w:t xml:space="preserve"> (CYP3A4) : rifampicine, carbamazépine, phénobarbital, phénytoïne, millepertuis, efavirenz, nevirapine → baisse du clonazépam → risque de récidive des crises. Surveiller, adapter les doses.</w:t>
      </w:r>
    </w:p>
    <w:p>
      <w:pPr>
        <w:pStyle w:val="ListBullet"/>
      </w:pPr>
      <w:r/>
      <w:r>
        <w:rPr>
          <w:b/>
        </w:rPr>
        <w:t>Clonazépam + inhibiteurs enzymatiques</w:t>
      </w:r>
      <w:r>
        <w:t xml:space="preserve"> (CYP3A4) : kétoconazole, itraconazole, voriconazole, fluconazole, clarithromycine, érythromycine, ritonavir, saquinavir, fluvoxamine, fluoxétine, cimétidine, oméprazole, grapefruit juice → augmentation du clonazépam → risque toxique (sédation excessive, dépression respiratoire). Surveiller, réduire la dose.</w:t>
      </w:r>
    </w:p>
    <w:p>
      <w:pPr>
        <w:pStyle w:val="ListBullet"/>
      </w:pPr>
      <w:r/>
      <w:r>
        <w:rPr>
          <w:b/>
        </w:rPr>
        <w:t>Clonazépam + valproate</w:t>
      </w:r>
      <w:r>
        <w:t xml:space="preserve"> : augmentation modeste du clonazépam (inhibition CYP3A4 mineure) — surveillance clinique.</w:t>
      </w:r>
    </w:p>
    <w:p>
      <w:pPr>
        <w:pStyle w:val="ListBullet"/>
      </w:pPr>
      <w:r/>
      <w:r>
        <w:rPr>
          <w:b/>
        </w:rPr>
        <w:t>Clonazépam + phénytoïne</w:t>
      </w:r>
      <w:r>
        <w:t xml:space="preserve"> : interaction variable — généralement pas d'effet significatif, mais surveiller les deux taux.</w:t>
      </w:r>
    </w:p>
    <w:p>
      <w:pPr>
        <w:pStyle w:val="ListBullet"/>
      </w:pPr>
      <w:r/>
      <w:r>
        <w:rPr>
          <w:b/>
        </w:rPr>
        <w:t>Clonazépam + contraceptifs oraux estroprogestatifs</w:t>
      </w:r>
      <w:r>
        <w:t xml:space="preserve"> : induction enzymatique modeste par les estrogènes → baisse possible du clonazépam — surveillance clinique.</w:t>
      </w:r>
    </w:p>
    <w:p>
      <w:pPr>
        <w:pStyle w:val="ListBullet"/>
      </w:pPr>
      <w:r/>
      <w:r>
        <w:rPr>
          <w:b/>
        </w:rPr>
        <w:t>Clonazépam + anti-H2 (cimétidine)</w:t>
      </w:r>
      <w:r>
        <w:t xml:space="preserve"> : inhibition du métabolisme → augmentation du clonazépam — surveillance clinique.</w:t>
      </w:r>
    </w:p>
    <w:p>
      <w:r/>
      <w:r>
        <w:rPr>
          <w:b/>
        </w:rPr>
        <w:t>Grossesse et Allaitement :</w:t>
      </w:r>
      <w:r/>
    </w:p>
    <w:p>
      <w:pPr>
        <w:pStyle w:val="ListBullet"/>
      </w:pPr>
      <w:r>
        <w:t xml:space="preserve">Grossesse : selon le CRAT, le clonazépam est classé « à éviter » (équivalent ancien : catégorie D). Risque malformatif modéré (fente labio-palatine — données limitées, malformations cardiaques — incertaines). </w:t>
      </w:r>
      <w:r>
        <w:rPr>
          <w:b/>
        </w:rPr>
        <w:t>Risque majeur de syndrome de sevrage néonatal</w:t>
      </w:r>
      <w:r>
        <w:t xml:space="preserve"> si prise en fin de grossesse (hypotonie, difficultés d'alimentation, détresse respiratoire, hypothermie, convulsions néonatales — syndrome du "floppy baby"). Risque dose-dépendant (et surtout dépendant de la durée d'utilisation en fin de grossesse). </w:t>
      </w:r>
      <w:r>
        <w:rPr>
          <w:b/>
        </w:rPr>
        <w:t>Conduite à tenir</w:t>
      </w:r>
      <w:r>
        <w:t xml:space="preserve"> : (1) </w:t>
      </w:r>
      <w:r>
        <w:rPr>
          <w:b/>
        </w:rPr>
        <w:t>pré-conceptionnel</w:t>
      </w:r>
      <w:r>
        <w:t xml:space="preserve"> : switch vers lamotrigine ou lévétiracétam (profil tératogène plus favorable) si possible ; (2) si grossesse déjà engagée : ne pas arrêter brutalement (risque de mal convulsif), consultation neurologie-périnatale, supplementation acide folique 5 mg/jour, surveillance échographique spécialisée, déclaration à la pharmacovigilance, anticipation de la prise en charge néonatale (maternité de niveau 3, surveillance 5-10 jours post-partum, traitement de sevrage néonatal si nécessaire par phénobarbital ou morphine selon protocole). La dose de clonazépam peut être réduite progressivement en fin de grossesse pour minimiser le risque de sevrage néonatal.</w:t>
      </w:r>
    </w:p>
    <w:p>
      <w:pPr>
        <w:pStyle w:val="ListBullet"/>
      </w:pPr>
      <w:r>
        <w:t>Allaitement : selon le CRAT et l'OMS, compatible avec surveillance stricte (rapport concentration lait/plasma = 0,3 — dose ingérée par le nourrisson ≈ 1-3 % de la dose maternelle pondérée). Surveillance : sédation, hypotonie, mauvaise succion, troubles de la croissance, évaluation du score de sevrage néonatal. Préférer un AE moderne (lamotrigine, lévétiracétam) si allaitement prolongé prévu. Le clonazépam peut être utilisé si le bénéfice maternel l'emporte et en cas d'impossibilité de switch.</w:t>
      </w:r>
    </w:p>
    <w:p>
      <w:pPr>
        <w:pStyle w:val="ListBullet"/>
      </w:pPr>
      <w:r>
        <w:t>Précisions : supplémentation acide folique 5 mg/jour pré-conceptionnelle et pendant la grossesse ; surveillance échographique trimestrielle ; accouchement en milieu spécialisé (maternité de niveau 3 — anticipation de la prise en charge néonatale).</w:t>
      </w:r>
    </w:p>
    <w:p>
      <w:r/>
      <w:r>
        <w:rPr>
          <w:b/>
        </w:rPr>
        <w:t>Posologie et Mode d'administration (Standard) :</w:t>
      </w:r>
      <w:r/>
    </w:p>
    <w:p>
      <w:pPr>
        <w:pStyle w:val="ListBullet"/>
      </w:pPr>
      <w:r>
        <w:t>Adulte :</w:t>
      </w:r>
    </w:p>
    <w:p>
      <w:pPr>
        <w:pStyle w:val="ListBullet"/>
      </w:pPr>
      <w:r/>
      <w:r>
        <w:rPr>
          <w:b/>
        </w:rPr>
        <w:t>Initiation</w:t>
      </w:r>
      <w:r>
        <w:t xml:space="preserve"> (orale) : 0,5 mg × 2/jour (soit 1 mg/jour), augmentation par paliers de 0,5 mg toutes les 3-7 jours selon la tolérance et la réponse clinique.</w:t>
      </w:r>
    </w:p>
    <w:p>
      <w:pPr>
        <w:pStyle w:val="ListBullet"/>
      </w:pPr>
      <w:r/>
      <w:r>
        <w:rPr>
          <w:b/>
        </w:rPr>
        <w:t>Dose d'entretien habituelle</w:t>
      </w:r>
      <w:r>
        <w:t xml:space="preserve"> : 1-8 mg/jour en 2 à 3 prises (la courte durée d'action centrale impose une multi-prise quotidienne malgré la longue demi-vie d'élimination).</w:t>
      </w:r>
    </w:p>
    <w:p>
      <w:pPr>
        <w:pStyle w:val="ListBullet"/>
      </w:pPr>
      <w:r/>
      <w:r>
        <w:rPr>
          <w:b/>
        </w:rPr>
        <w:t>Dose maximale</w:t>
      </w:r>
      <w:r>
        <w:t xml:space="preserve"> : 8-12 mg/jour (au-delà, toxicité probable).</w:t>
      </w:r>
    </w:p>
    <w:p>
      <w:pPr>
        <w:pStyle w:val="ListBullet"/>
      </w:pPr>
      <w:r/>
      <w:r>
        <w:rPr>
          <w:b/>
        </w:rPr>
        <w:t>Forme IV/IM</w:t>
      </w:r>
      <w:r>
        <w:t xml:space="preserve"> (rarement utilisée, principalement pour le status epilepticus réfractaire) : 1 mg IV lente (≤ 2 mg/min), à renouveler si nécessaire.</w:t>
      </w:r>
    </w:p>
    <w:p>
      <w:pPr>
        <w:pStyle w:val="ListBullet"/>
      </w:pPr>
      <w:r>
        <w:t>Enfant :</w:t>
      </w:r>
    </w:p>
    <w:p>
      <w:pPr>
        <w:pStyle w:val="ListBullet"/>
      </w:pPr>
      <w:r/>
      <w:r>
        <w:rPr>
          <w:b/>
        </w:rPr>
        <w:t>Initiation orale</w:t>
      </w:r>
      <w:r>
        <w:t xml:space="preserve"> : 0,01-0,03 mg/kg/jour en 2-3 prises, augmentation progressive.</w:t>
      </w:r>
    </w:p>
    <w:p>
      <w:pPr>
        <w:pStyle w:val="ListBullet"/>
      </w:pPr>
      <w:r/>
      <w:r>
        <w:rPr>
          <w:b/>
        </w:rPr>
        <w:t>Dose d'entretien</w:t>
      </w:r>
      <w:r>
        <w:t xml:space="preserve"> : 0,05-0,2 mg/kg/jour (ajustée selon la réponse clinique et la tolérance).</w:t>
      </w:r>
    </w:p>
    <w:p>
      <w:pPr>
        <w:pStyle w:val="ListBullet"/>
      </w:pPr>
      <w:r>
        <w:t>Durée : au long cours pour l'épilepsie (traitement de fond prolongé, plusieurs années — mais réévaluation régulière de la nécessité en raison du développement de la tolérance pharmacodynamique).</w:t>
      </w:r>
    </w:p>
    <w:p>
      <w:pPr>
        <w:pStyle w:val="ListBullet"/>
      </w:pPr>
      <w:r>
        <w:t>Moment de la prise : pendant ou après les repas, preferably au soir pour la prise vespérale (effet sédatif utile pour le sommeil), à heure fixe pour maintenir des concentrations stables.</w:t>
      </w:r>
    </w:p>
    <w:p>
      <w:pPr>
        <w:pStyle w:val="ListBullet"/>
      </w:pPr>
      <w:r>
        <w:t>Adaptation posologique : insuffisance hépatique — réduction de 25-50 % initiale ; insuffisance rénale — surveillance accrue ; sujet âgé — réduction initiale de 25-50 % (risque de sédation excessive, de chutes, de confusion).</w:t>
      </w:r>
    </w:p>
    <w:p>
      <w:r/>
      <w:r>
        <w:rPr>
          <w:b/>
        </w:rPr>
        <w:t>Arbitrage et Bénéfices des Formes Galéniques :</w:t>
      </w:r>
      <w:r/>
    </w:p>
    <w:p>
      <w:pPr>
        <w:pStyle w:val="ListBullet"/>
      </w:pPr>
      <w:r/>
      <w:r>
        <w:rPr>
          <w:b/>
        </w:rPr>
        <w:t>Comprimés 2 mg quadri-sécables</w:t>
      </w:r>
      <w:r>
        <w:t xml:space="preserve"> (CLONA Sarl Groupe Santé actif, NOVATRIL Nova Argentia actif, RIVOMED Sanamed actif, RIVOTRIL Roche retiré) : galénique orale de référence pour l'adulte et le grand enfant. Le caractère quadri-sécable permet une adaptation posologique fine (quart de comprimé = 0,5 mg — utile pour la titration initiale et pour la décroissance en fin de traitement).</w:t>
      </w:r>
    </w:p>
    <w:p>
      <w:pPr>
        <w:pStyle w:val="ListBullet"/>
      </w:pPr>
      <w:r/>
      <w:r>
        <w:rPr>
          <w:b/>
        </w:rPr>
        <w:t>Solution buvable 2,5 mg/mL (gouttes)</w:t>
      </w:r>
      <w:r>
        <w:t xml:space="preserve"> (CLONA Sarl Groupe Santé actif, RIVOMED Sanamed retiré, RIVOTRIL Roche retiré) : galénique pédiatrique par excellence, permet une titration fine selon le poids (1 goutte ≈ 0,1 mg — selon le calibrage de la pipette fournie). Particulièrement adaptée à l'enfant de moins de 6 ans incapable d'avaler des comprimés, et aux patients ayant des difficultés de déglutition. </w:t>
      </w:r>
      <w:r>
        <w:rPr>
          <w:b/>
        </w:rPr>
        <w:t>Attention : la concentration en mg/mL diffère parfois entre marques — toujours vérifier la notice et utiliser la pipette fournie avec chaque marque</w:t>
      </w:r>
      <w:r>
        <w:t>.</w:t>
      </w:r>
    </w:p>
    <w:p>
      <w:pPr>
        <w:pStyle w:val="ListBullet"/>
      </w:pPr>
      <w:r/>
      <w:r>
        <w:rPr>
          <w:b/>
        </w:rPr>
        <w:t>Forme IV/IM</w:t>
      </w:r>
      <w:r>
        <w:t xml:space="preserve"> : historiquement disponible sous RIVOTRIL Roche en ampoule 1 mg/mL — retirée en Algérie. Pour l'état de mal épileptique réfractaire aux BZD d'urgence (diazépam, midazolam, lorazépam), préférer la phénytoïne IV ou le phénobarbital IV (cf. fiches 1 et 2).</w:t>
      </w:r>
    </w:p>
    <w:p>
      <w:r/>
      <w:r>
        <w:rPr>
          <w:b/>
        </w:rPr>
        <w:t>Instructions et Conseils au Patient :</w:t>
      </w:r>
      <w:r/>
    </w:p>
    <w:p>
      <w:pPr>
        <w:pStyle w:val="ListBullet"/>
      </w:pPr>
      <w:r>
        <w:t>Communication au comptoir :</w:t>
      </w:r>
    </w:p>
    <w:p>
      <w:pPr>
        <w:pStyle w:val="ListBullet"/>
      </w:pPr>
      <w:r>
        <w:t>« Ce médicament est un antiépileptique de la famille des benzodiazépines (anxiolytiques) — il doit être pris tous les jours à heure fixe, sans jamais l'arrêter brutalement ni manquer une prise — un arrêt brutal peut provoquer un état de mal épileptique, urgence vitale, ou un syndrome de sevrage (anxiété, tremblements, insomnie). »</w:t>
      </w:r>
    </w:p>
    <w:p>
      <w:pPr>
        <w:pStyle w:val="ListBullet"/>
      </w:pPr>
      <w:r>
        <w:t>« Il peut provoquer une somnolence importante en début de traitement, surtout la première quinzaine — ne pas conduire ni utiliser de machines dangereuses tant que la tolérance n'est pas évaluée. La somnolence s'atténue généralement après quelques semaines, mais peut persister chez certains patients. »</w:t>
      </w:r>
    </w:p>
    <w:p>
      <w:pPr>
        <w:pStyle w:val="ListBullet"/>
      </w:pPr>
      <w:r>
        <w:t>« Évitez la consommation d'alcool — potentialisation majeure de la somnolence et risque de dépression respiratoire. Évitez également la prise concomitante d'antalgiques opioïdes (codéine, tramadol, morphine) sans avis médical. »</w:t>
      </w:r>
    </w:p>
    <w:p>
      <w:pPr>
        <w:pStyle w:val="ListBullet"/>
      </w:pPr>
      <w:r>
        <w:t>« Si vous êtes une femme en âge de procréer, parlez-en à votre médecin AVANT tout projet de grossesse — ce médicament est déconseillé pendant la grossesse (risque de malformations et de syndrome de sevrage néonatal) ; une contraception efficace est indispensable tout au long du traitement. »</w:t>
      </w:r>
    </w:p>
    <w:p>
      <w:pPr>
        <w:pStyle w:val="ListBullet"/>
      </w:pPr>
      <w:r>
        <w:t>« Si vous devez arrêter le traitement (sur avis médical), la décroissance doit être TRÈS progressive sur plusieurs semaines à mois (réduction de 10-25 % par semaine) — ne jamais arrêter d'un coup. »</w:t>
      </w:r>
    </w:p>
    <w:p>
      <w:pPr>
        <w:pStyle w:val="ListBullet"/>
      </w:pPr>
      <w:r>
        <w:t>Mode d'utilisation pratique :</w:t>
      </w:r>
    </w:p>
    <w:p>
      <w:pPr>
        <w:pStyle w:val="ListBullet"/>
      </w:pPr>
      <w:r>
        <w:t>Prendre le médicament pendant ou après les repas, à heure fixe (par exemple 8 h et 20 h en 2 prises, ou 8 h-14 h-20 h en 3 prises).</w:t>
      </w:r>
    </w:p>
    <w:p>
      <w:pPr>
        <w:pStyle w:val="ListBullet"/>
      </w:pPr>
      <w:r>
        <w:t>En cas d'oubli d'une prise : la prendre dans les 6 h si possible, sinon l'ignorer et reprendre l'horaire habituel — NE JAMAIS doubler la dose suivante.</w:t>
      </w:r>
    </w:p>
    <w:p>
      <w:pPr>
        <w:pStyle w:val="ListBullet"/>
      </w:pPr>
      <w:r>
        <w:t>Tenir un journal des crises (date, heure, circonstances, durée, type).</w:t>
      </w:r>
    </w:p>
    <w:p>
      <w:pPr>
        <w:pStyle w:val="ListBullet"/>
      </w:pPr>
      <w:r>
        <w:t>Prévenir le médecin en cas de fièvre + éruption cutanée (suspicion DRESS — urgence), de troubles de la mémoire (effet indésirable cognitif), de dépression ou idées suicidaires, de réaction paradoxale (agitation, agressivité).</w:t>
      </w:r>
    </w:p>
    <w:p>
      <w:pPr>
        <w:pStyle w:val="ListBullet"/>
      </w:pPr>
      <w:r>
        <w:t>Prévenir le médecin en cas de projet d'arrêt — décroissance TOUJOURS progressive sur plusieurs semaines à mois (réduction de 10-25 % par semaine sous surveillance neurologique).</w:t>
      </w:r>
    </w:p>
    <w:p>
      <w:r/>
      <w:r>
        <w:rPr>
          <w:b/>
        </w:rPr>
        <w:t>Notes, Règles d'Or &amp; Pièges au Comptoir :</w:t>
      </w:r>
      <w:r/>
    </w:p>
    <w:p>
      <w:pPr>
        <w:pStyle w:val="ListBullet"/>
      </w:pPr>
      <w:r>
        <w:t xml:space="preserve">Piège classique : </w:t>
      </w:r>
      <w:r>
        <w:rPr>
          <w:b/>
        </w:rPr>
        <w:t>arrêt brutal du clonazépam</w:t>
      </w:r>
      <w:r>
        <w:t xml:space="preserve"> → syndrome de sevrage (anxiété rebond, tremblements, insomnie, agitation, convulsions, état de mal épileptique — urgence vitale) — arrêt TOUJOURS progressif sur plusieurs semaines à mois.</w:t>
      </w:r>
    </w:p>
    <w:p>
      <w:pPr>
        <w:pStyle w:val="ListBullet"/>
      </w:pPr>
      <w:r>
        <w:t xml:space="preserve">Piège classique : </w:t>
      </w:r>
      <w:r>
        <w:rPr>
          <w:b/>
        </w:rPr>
        <w:t>développement de tolérance pharmacodynamique</w:t>
      </w:r>
      <w:r>
        <w:t xml:space="preserve"> — baisse d'efficacité antiépileptique en quelques semaines à mois — ne pas augmenter automatiquement la dose (risque de dépendance et d'effets indésirables cognitifs) — préférer l'association avec un autre AE non BZD (valproate, lamotrigine, lévétiracétam) ou le switch thérapeutique.</w:t>
      </w:r>
    </w:p>
    <w:p>
      <w:pPr>
        <w:pStyle w:val="ListBullet"/>
      </w:pPr>
      <w:r>
        <w:t xml:space="preserve">Piège classique : </w:t>
      </w:r>
      <w:r>
        <w:rPr>
          <w:b/>
        </w:rPr>
        <w:t>potentialisation par l'alcool et les opioïdes</w:t>
      </w:r>
      <w:r>
        <w:t xml:space="preserve"> — risque de dépression respiratoire synergique parfois létale — warning ANSM sur l'association BZD + opioïdes (2017).</w:t>
      </w:r>
    </w:p>
    <w:p>
      <w:pPr>
        <w:pStyle w:val="ListBullet"/>
      </w:pPr>
      <w:r>
        <w:t xml:space="preserve">Piège classique : </w:t>
      </w:r>
      <w:r>
        <w:rPr>
          <w:b/>
        </w:rPr>
        <w:t>troubles cognitifs chez le sujet âgé</w:t>
      </w:r>
      <w:r>
        <w:t xml:space="preserve"> — souvent attribués à tort à la démence — suspecter l'origine médicamenteuse (intoxication BZD masquée) — risque de chutes et de fractures de hanche.</w:t>
      </w:r>
    </w:p>
    <w:p>
      <w:pPr>
        <w:pStyle w:val="ListBullet"/>
      </w:pPr>
      <w:r>
        <w:t xml:space="preserve">Piège classique : </w:t>
      </w:r>
      <w:r>
        <w:rPr>
          <w:b/>
        </w:rPr>
        <w:t>réaction paradoxale chez l'enfant et le sujet âgé</w:t>
      </w:r>
      <w:r>
        <w:t xml:space="preserve"> — agitation, agressivité, dysinhibition — distinguer d'une aggravation de l'épilepsie.</w:t>
      </w:r>
    </w:p>
    <w:p>
      <w:pPr>
        <w:pStyle w:val="ListBullet"/>
      </w:pPr>
      <w:r>
        <w:t xml:space="preserve">Piège classique : </w:t>
      </w:r>
      <w:r>
        <w:rPr>
          <w:b/>
        </w:rPr>
        <w:t>surdosage aigu</w:t>
      </w:r>
      <w:r>
        <w:t xml:space="preserve"> (intentionnel ou accidentel) — coma calme, hyporéflexie, hypoventilation centrale, hypotension — </w:t>
      </w:r>
      <w:r>
        <w:rPr>
          <w:b/>
        </w:rPr>
        <w:t>flumazénil</w:t>
      </w:r>
      <w:r>
        <w:t xml:space="preserve"> (Anexate®) antagoniste spécifique : 0,2 mg IV en 30 s, puis 0,1 mg/min jusqu'à 1 mg max (attention : demi-vie courte du flumazénil 40-80 min → resédation possible, surveillance prolongée 6-12 h ; risque de convulsions si patient dépendant ou si co-ingestion d'antidépresseurs tricycliques — contre-indication).</w:t>
      </w:r>
    </w:p>
    <w:p>
      <w:pPr>
        <w:pStyle w:val="ListBullet"/>
      </w:pPr>
      <w:r>
        <w:t xml:space="preserve">Piège classique : </w:t>
      </w:r>
      <w:r>
        <w:rPr>
          <w:b/>
        </w:rPr>
        <w:t>utilisation prolongée non réévaluée</w:t>
      </w:r>
      <w:r>
        <w:t xml:space="preserve"> — la HAS recommande une réévaluation annuelle de la nécessité du traitement pour les indications anxiolytiques (durée maximale 12 semaines — mais au long cours pour les indications antiépileptiques, sous surveillance neurologique régulière).</w:t>
      </w:r>
    </w:p>
    <w:p>
      <w:pPr>
        <w:pStyle w:val="ListBullet"/>
      </w:pPr>
      <w:r>
        <w:t xml:space="preserve">Piège classique : </w:t>
      </w:r>
      <w:r>
        <w:rPr>
          <w:b/>
        </w:rPr>
        <w:t>confusion solution buvable 2,5 mg/mL</w:t>
      </w:r>
      <w:r>
        <w:t xml:space="preserve"> (1 goutte ≈ 0,1 mg selon le calibrage de la pipette) — risque d'erreur de dosage majeure en cas d'utilisation d'une pipette d'une autre marque.</w:t>
      </w:r>
    </w:p>
    <w:p>
      <w:pPr>
        <w:pStyle w:val="ListBullet"/>
      </w:pPr>
      <w:r>
        <w:t>Règle de prise : pendant ou après repas, à heure fixe, sans oubli — observance stricte supérieure à 95 % requise pour l'efficacité antiépileptique.</w:t>
      </w:r>
    </w:p>
    <w:p>
      <w:pPr>
        <w:pStyle w:val="ListBullet"/>
      </w:pPr>
      <w:r>
        <w:t>Préparation et Conservation : comprimés à conserver à température &lt; 25 °C, à l'abri de l'humidité et de la lumière ; solution buvable à conserver après ouverture selon les recommandations du fabricant (généralement 6 mois, à l'abri de la lumière) ; utiliser exclusivement la pipette fournie avec chaque marque pour le dosage.</w:t>
      </w:r>
    </w:p>
    <w:p>
      <w:pPr>
        <w:pStyle w:val="ListBullet"/>
      </w:pPr>
      <w:r>
        <w:t>Piège du surdosage / Substitution : si substitution entre marques (CLONA ↔ NOVATRIL ↔ RIVOMED ↔ RIVOTRIL), vérifier la stricte équivalence en mg de clonazépam et la forme galénique (comprimé vs solution buvable) — pour la solution buvable, toujours vérifier la concentration en mg/mL (CLONA 2,5 mg/mL) et utiliser la pipette fournie avec chaque marque (calibrage spécifique).</w:t>
      </w:r>
    </w:p>
    <w:p>
      <w:pPr>
        <w:pStyle w:val="Heading2"/>
      </w:pPr>
      <w:r>
        <w:t>Sous-classe 5 — Antiépileptiques Benzodiazépines (urgence) — Diazépam, Midazolam, Lorazépam</w:t>
      </w:r>
    </w:p>
    <w:p>
      <w:r>
        <w:t xml:space="preserve">La sous-classe des </w:t>
      </w:r>
      <w:r>
        <w:rPr>
          <w:b/>
        </w:rPr>
        <w:t>benzodiazépines antiépileptiques d'urgence</w:t>
      </w:r>
      <w:r>
        <w:t xml:space="preserve"> regroupe trois molécules essentielles à la prise en charge de l'</w:t>
      </w:r>
      <w:r>
        <w:rPr>
          <w:b/>
        </w:rPr>
        <w:t>état de mal épileptique</w:t>
      </w:r>
      <w:r>
        <w:t xml:space="preserve"> (EME) — urgence vitale absolue engageant le pronostic fonctionnel et vital, définie selon l'ILAE (International League Against Epilepsy) par une crise convulsive ≥ 5 minutes, ou une série de crises sans reprise de conscience intercritique. La mortalité à 30 jours atteint 10-20 % chez l'adulte et jusqu'à 30 % chez le sujet âgé. Les benzodiazépines constituent le traitement de </w:t>
      </w:r>
      <w:r>
        <w:rPr>
          <w:b/>
        </w:rPr>
        <w:t>première intention</w:t>
      </w:r>
      <w:r>
        <w:t xml:space="preserve"> de l'EME, en raison de leur rapidité d'action (effet &lt; 5 min en IV), de leur efficacité prouvée et de leur tolérance acceptable à court terme. Les trois molécules de référence sont :</w:t>
      </w:r>
    </w:p>
    <w:p>
      <w:pPr>
        <w:pStyle w:val="ListNumber"/>
      </w:pPr>
      <w:r/>
      <w:r>
        <w:rPr>
          <w:b/>
        </w:rPr>
        <w:t>Diazépam</w:t>
      </w:r>
      <w:r>
        <w:t xml:space="preserve"> (Valium® Roche 1963) — BZD à longue demi-vie d'élimination (20-50 h) et à action centrale rapide (5 min IV, 5-10 min intrarectal). Indications : EME de l'adulte et de l'enfant (4 mg IV ou 0,5 mg/kg intrarectal chez l'enfant), crises convulsives fébriles de l'enfant (intrarectal), convulsions du sevrage alcoolique, prémédication anesthésique, anxiolytique (hors indication EME).</w:t>
      </w:r>
    </w:p>
    <w:p>
      <w:pPr>
        <w:pStyle w:val="ListNumber"/>
      </w:pPr>
      <w:r/>
      <w:r>
        <w:rPr>
          <w:b/>
        </w:rPr>
        <w:t>Midazolam</w:t>
      </w:r>
      <w:r>
        <w:t xml:space="preserve"> (Dormicum® Roche 1982) — BZD à courte demi-vie d'élimination (1,5-3 h) et à action centrale ultrarapide (2-3 min IM, 1-2 min IV, 5 min intrabuccal/intranasal). Indications : EME pré-hospitalier (10 mg IM adulte — protocole RAMPART/RECIFE), sédation procédurale, induction anesthésique, sédation prolongée en réanimation. Particularité : seule BZD disposant d'une AMM pour la voie IM dans l'EME pré-hospitalier (rapidité d'absorption IM exceptionnelle).</w:t>
      </w:r>
    </w:p>
    <w:p>
      <w:pPr>
        <w:pStyle w:val="ListNumber"/>
      </w:pPr>
      <w:r/>
      <w:r>
        <w:rPr>
          <w:b/>
        </w:rPr>
        <w:t>Lorazépam</w:t>
      </w:r>
      <w:r>
        <w:t xml:space="preserve"> (Temesta® Wyeth 1977) — BZD à demi-vie d'élimination intermédiaire (10-20 h) et à action centrale rapide (1-2 min IV, 5-10 min IM). Indications : EME hospitalier de l'adulte (4 mg IV — gold standard selon l'essai contrôlé randomisé Veterans Affairs Status Epilepticus Cooperative Study Group, Treiman 1998 NEJM), anxiolytique pré-opératoire. Particularité : BZD de référence pour l'EME hospitalier (efficacité supérieure au diazépam IV, durée d'action plus longue — moins de récidive).</w:t>
      </w:r>
    </w:p>
    <w:p>
      <w:r>
        <w:t xml:space="preserve">Le mécanisme d'action des trois molécules est commun : </w:t>
      </w:r>
      <w:r>
        <w:rPr>
          <w:b/>
        </w:rPr>
        <w:t>agonisme positif allostérique du récepteur GABA-A</w:t>
      </w:r>
      <w:r>
        <w:t xml:space="preserve"> (augmentation de la fréquence d'ouverture du canal chlorure en réponse au GABA), à l'origine d'une dépression rapide et puissante de l'excitabilité neuronale. La rapidité d'action centrale (indépendante de la demi-vie d'élimination) dépend de la </w:t>
      </w:r>
      <w:r>
        <w:rPr>
          <w:b/>
        </w:rPr>
        <w:t>lipophilie</w:t>
      </w:r>
      <w:r>
        <w:t xml:space="preserve"> de la molécule — le midazolam (très lipophile) traverse la barrière hémato-encéphalique en moins de 2 minutes après injection IV, le diazépam (lipophile) en 5 minutes, le lorazépam (moins lipophile) en 5-10 minutes. La </w:t>
      </w:r>
      <w:r>
        <w:rPr>
          <w:b/>
        </w:rPr>
        <w:t>durée d'action</w:t>
      </w:r>
      <w:r>
        <w:t xml:space="preserve"> dépend de la redistribution hors du SNC vers les tissus périphériques (muscle, tissu adipeux) — le diazépam a une durée d'action courte (20-30 min) malgré sa longue demi-vie d'élimination (redistribution rapide), le midazolam a une durée d'action très courte (15-30 min), le lorazépam a une durée d'action prolongée (4-6 h — moins de redistribution). Les trois molécules sont </w:t>
      </w:r>
      <w:r>
        <w:rPr>
          <w:b/>
        </w:rPr>
        <w:t>dépressives respiratoires</w:t>
      </w:r>
      <w:r>
        <w:t xml:space="preserve"> (risque d'hypoventilation centrale, d'apnée) — à utiliser avec précaution, sous monitoring continu, avec matériel de réanimation à portée de main.</w:t>
      </w:r>
    </w:p>
    <w:p>
      <w:pPr>
        <w:pStyle w:val="Heading3"/>
      </w:pPr>
      <w:r>
        <w:t>5. DCI : Benzodiazépines antiépileptiques (Diazépam, Midazolam, Lorazépam) — groupe</w:t>
      </w:r>
    </w:p>
    <w:p>
      <w:r/>
      <w:r>
        <w:rPr>
          <w:b/>
        </w:rPr>
        <w:t>Liste des Catégories :</w:t>
      </w:r>
      <w:r>
        <w:t xml:space="preserve"> Antiépileptiques — Benzodiazépines (urgence) ; Anxiolytiques — Benzodiazépines ; Myorelaxants — Benzodiazépines ; Hypnotiques — Benzodiazépines ; Médicaments d'urgence (état de mal épileptique) ; Liste I (prescription limitée — durée maximale 4 semaines pour l'indication anxiolytique/hypnotique selon recommandations HAS, mais usage unique ou de courte durée pour l'EME) ; Inducteur de dépendance physique (syndrome de sevrage) ; Tératogène (catégorie D — CRAT : « à éviter »).</w:t>
      </w:r>
    </w:p>
    <w:p>
      <w:r>
        <w:t xml:space="preserve">Les </w:t>
      </w:r>
      <w:r>
        <w:rPr>
          <w:b/>
        </w:rPr>
        <w:t>benzodiazépines antiépileptiques d'urgence</w:t>
      </w:r>
      <w:r>
        <w:t xml:space="preserve"> (diazépam, midazolam, lorazépam) sont le traitement de </w:t>
      </w:r>
      <w:r>
        <w:rPr>
          <w:b/>
        </w:rPr>
        <w:t>première intention de l'état de mal épileptique</w:t>
      </w:r>
      <w:r>
        <w:t xml:space="preserve"> (EME) — urgence vitale absolue engageant le pronostic fonctionnel et vital. Leur caractéristique pharmacocinétique commune est une </w:t>
      </w:r>
      <w:r>
        <w:rPr>
          <w:b/>
        </w:rPr>
        <w:t>rapidité d'action centrale exceptionnelle</w:t>
      </w:r>
      <w:r>
        <w:t xml:space="preserve"> (1-5 min après injection IV, 5-10 min après administration intrarectale, intrabuccale ou intramusculaire), liée à leur </w:t>
      </w:r>
      <w:r>
        <w:rPr>
          <w:b/>
        </w:rPr>
        <w:t>lipophilie élevée</w:t>
      </w:r>
      <w:r>
        <w:t xml:space="preserve"> qui permet un passage rapide de la barrière hémato-encéphalique. Leurs caractéristiques pharmacocinétiques différent cependant significativement : le </w:t>
      </w:r>
      <w:r>
        <w:rPr>
          <w:b/>
        </w:rPr>
        <w:t>diazépam</w:t>
      </w:r>
      <w:r>
        <w:t xml:space="preserve"> a une longue demi-vie d'élimination (20-50 h) et une durée d'action courte (20-30 min — redistribution rapide hors du SNC) ; le </w:t>
      </w:r>
      <w:r>
        <w:rPr>
          <w:b/>
        </w:rPr>
        <w:t>midazolam</w:t>
      </w:r>
      <w:r>
        <w:t xml:space="preserve"> a une courte demi-vie d'élimination (1,5-3 h) et une durée d'action très courte (15-30 min — métabolisme hépatique rapide par CYP3A4) ; le </w:t>
      </w:r>
      <w:r>
        <w:rPr>
          <w:b/>
        </w:rPr>
        <w:t>lorazépam</w:t>
      </w:r>
      <w:r>
        <w:t xml:space="preserve"> a une demi-vie d'élimination intermédiaire (10-20 h) et une durée d'action prolongée (4-6 h — moins de redistribution). Leurs caractéristiques pharmacodynamiques sont essentiellement identiques : </w:t>
      </w:r>
      <w:r>
        <w:rPr>
          <w:b/>
        </w:rPr>
        <w:t>agonisme positif allostérique du récepteur GABA-A</w:t>
      </w:r>
      <w:r>
        <w:t xml:space="preserve"> (augmentation de la fréquence d'ouverture du canal chlorure en réponse au GABA), à l'origine d'une dépression rapide et puissante de l'excitabilité neuronale, et de la suppression des décharges paroxystiques. Les trois molécules sont </w:t>
      </w:r>
      <w:r>
        <w:rPr>
          <w:b/>
        </w:rPr>
        <w:t>dépressives respiratoires</w:t>
      </w:r>
      <w:r>
        <w:t xml:space="preserve"> (risque d'hypoventilation centrale, d'apnée — particulièrement marqué en IV, à fortes doses, et chez le sujet âgé ou insuffisant respiratoire) — à utiliser avec précaution, sous monitoring continu (ECG, SpO2, TA), avec matériel de réanimation (intubation, ventilation mécanique) et antagoniste spécifique (</w:t>
      </w:r>
      <w:r>
        <w:rPr>
          <w:b/>
        </w:rPr>
        <w:t>flumazénil</w:t>
      </w:r>
      <w:r>
        <w:t xml:space="preserve"> Anexate®) à portée de main.</w:t>
      </w:r>
    </w:p>
    <w:p>
      <w:r/>
      <w:r>
        <w:rPr>
          <w:b/>
        </w:rPr>
        <w:t>Médicaments disponibles en Algérie (Marques, Laboratoires, Formes et Dosages) :</w:t>
      </w:r>
      <w:r/>
    </w:p>
    <w:p>
      <w:pPr>
        <w:pStyle w:val="Heading4"/>
      </w:pPr>
      <w:r>
        <w:t>5.1. Diazépam</w:t>
      </w:r>
    </w:p>
    <w:p>
      <w:r>
        <w:t>Formes actives :</w:t>
      </w:r>
    </w:p>
    <w:p>
      <w:pPr>
        <w:pStyle w:val="ListBullet"/>
      </w:pPr>
      <w:r/>
      <w:r>
        <w:rPr>
          <w:b/>
        </w:rPr>
        <w:t>VALOXIUM</w:t>
      </w:r>
      <w:r>
        <w:t xml:space="preserve"> (LES LABORATOIRES FRATER RAZES)</w:t>
      </w:r>
    </w:p>
    <w:p>
      <w:pPr>
        <w:pStyle w:val="ListBullet"/>
      </w:pPr>
      <w:r>
        <w:t>Formes et Dosages : Solution injectable IM, IV lente / perfusion ou intrarectale, 10 mg/2 mL — B/10 ampoules de 2 mL, Liste I</w:t>
      </w:r>
    </w:p>
    <w:p>
      <w:pPr>
        <w:pStyle w:val="ListBullet"/>
      </w:pPr>
      <w:r>
        <w:t xml:space="preserve">Statut : </w:t>
      </w:r>
      <w:r>
        <w:rPr>
          <w:b/>
        </w:rPr>
        <w:t>Actif</w:t>
      </w:r>
      <w:r/>
    </w:p>
    <w:p>
      <w:pPr>
        <w:pStyle w:val="ListBullet"/>
      </w:pPr>
      <w:r/>
      <w:r>
        <w:rPr>
          <w:b/>
        </w:rPr>
        <w:t>VALZEPAM</w:t>
      </w:r>
      <w:r>
        <w:t xml:space="preserve"> (GROUPE SAIDAL)</w:t>
      </w:r>
    </w:p>
    <w:p>
      <w:pPr>
        <w:pStyle w:val="ListBullet"/>
      </w:pPr>
      <w:r>
        <w:t>Formes et Dosages : Solution injectable, 10 mg/2 mL — B/50 ampoules de 2 mL, Liste I</w:t>
      </w:r>
    </w:p>
    <w:p>
      <w:pPr>
        <w:pStyle w:val="ListBullet"/>
      </w:pPr>
      <w:r>
        <w:t xml:space="preserve">Statut : </w:t>
      </w:r>
      <w:r>
        <w:rPr>
          <w:b/>
        </w:rPr>
        <w:t>Actif</w:t>
      </w:r>
      <w:r/>
    </w:p>
    <w:p>
      <w:pPr>
        <w:pStyle w:val="ListBullet"/>
      </w:pPr>
      <w:r/>
      <w:r>
        <w:rPr>
          <w:b/>
        </w:rPr>
        <w:t>XAVEL</w:t>
      </w:r>
      <w:r>
        <w:t xml:space="preserve"> (BIOGALENIC)</w:t>
      </w:r>
    </w:p>
    <w:p>
      <w:pPr>
        <w:pStyle w:val="ListBullet"/>
      </w:pPr>
      <w:r>
        <w:t>Formes et Dosages : Solution buvable, 1 % (10 mg/mL) — B/1 flacon compteur gouttes de 20 mL, Liste I</w:t>
      </w:r>
    </w:p>
    <w:p>
      <w:pPr>
        <w:pStyle w:val="ListBullet"/>
      </w:pPr>
      <w:r>
        <w:t xml:space="preserve">Statut : </w:t>
      </w:r>
      <w:r>
        <w:rPr>
          <w:b/>
        </w:rPr>
        <w:t>Actif</w:t>
      </w:r>
      <w:r/>
    </w:p>
    <w:p>
      <w:r>
        <w:t>Formes non renouvelables (à ne pas délivrer tant que le statut n'est pas réactivé) :</w:t>
      </w:r>
    </w:p>
    <w:p>
      <w:pPr>
        <w:pStyle w:val="ListBullet"/>
      </w:pPr>
      <w:r/>
      <w:r>
        <w:rPr>
          <w:b/>
        </w:rPr>
        <w:t>DIAZEPAM</w:t>
      </w:r>
      <w:r>
        <w:t xml:space="preserve"> (RENAUDIN) — Solution injectable, 10 mg/2 mL — B/10, Liste I — </w:t>
      </w:r>
      <w:r>
        <w:rPr>
          <w:b/>
        </w:rPr>
        <w:t>Non Renouvelable</w:t>
      </w:r>
      <w:r/>
    </w:p>
    <w:p>
      <w:pPr>
        <w:pStyle w:val="ListBullet"/>
      </w:pPr>
      <w:r/>
      <w:r>
        <w:rPr>
          <w:b/>
        </w:rPr>
        <w:t>NOVAPAM</w:t>
      </w:r>
      <w:r>
        <w:t xml:space="preserve"> (NOVA ARGENTIA) — Comprimé 5 mg — B/40, Liste I — </w:t>
      </w:r>
      <w:r>
        <w:rPr>
          <w:b/>
        </w:rPr>
        <w:t>Non Renouvelable</w:t>
      </w:r>
      <w:r/>
    </w:p>
    <w:p>
      <w:pPr>
        <w:pStyle w:val="ListBullet"/>
      </w:pPr>
      <w:r/>
      <w:r>
        <w:rPr>
          <w:b/>
        </w:rPr>
        <w:t>VALZEPAM</w:t>
      </w:r>
      <w:r>
        <w:t xml:space="preserve"> (GROUPE SAIDAL) — Comprimé 5 mg et 10 mg — B/20, Liste I — </w:t>
      </w:r>
      <w:r>
        <w:rPr>
          <w:b/>
        </w:rPr>
        <w:t>Non Renouvelable</w:t>
      </w:r>
      <w:r/>
    </w:p>
    <w:p>
      <w:pPr>
        <w:pStyle w:val="ListBullet"/>
      </w:pPr>
      <w:r/>
      <w:r>
        <w:rPr>
          <w:b/>
        </w:rPr>
        <w:t>DIAZEPAM</w:t>
      </w:r>
      <w:r>
        <w:t xml:space="preserve"> (RENAUDIN) — Solution buvable gouttes 0,01 — flacon 20 mL, Liste I — </w:t>
      </w:r>
      <w:r>
        <w:rPr>
          <w:b/>
        </w:rPr>
        <w:t>Non Renouvelable</w:t>
      </w:r>
      <w:r/>
    </w:p>
    <w:p>
      <w:r>
        <w:t>Formes retirées (plus commercialisées en Algérie) :</w:t>
      </w:r>
    </w:p>
    <w:p>
      <w:pPr>
        <w:pStyle w:val="ListBullet"/>
      </w:pPr>
      <w:r/>
      <w:r>
        <w:rPr>
          <w:b/>
        </w:rPr>
        <w:t>VALIUM</w:t>
      </w:r>
      <w:r>
        <w:t xml:space="preserve"> (ROCHE) — Solution injectable 10 mg/2 mL — B/6, Liste I — </w:t>
      </w:r>
      <w:r>
        <w:rPr>
          <w:b/>
        </w:rPr>
        <w:t>Retiré (R)</w:t>
      </w:r>
      <w:r>
        <w:t xml:space="preserve"> (princeps Roche)</w:t>
      </w:r>
    </w:p>
    <w:p>
      <w:pPr>
        <w:pStyle w:val="ListBullet"/>
      </w:pPr>
      <w:r/>
      <w:r>
        <w:rPr>
          <w:b/>
        </w:rPr>
        <w:t>PAX</w:t>
      </w:r>
      <w:r>
        <w:t xml:space="preserve"> (PHARMACARE LIMITED) — Solution injectable 10 mg/2 mL — B/10, Liste I — </w:t>
      </w:r>
      <w:r>
        <w:rPr>
          <w:b/>
        </w:rPr>
        <w:t>Retiré (R)</w:t>
      </w:r>
      <w:r/>
    </w:p>
    <w:p>
      <w:pPr>
        <w:pStyle w:val="ListBullet"/>
      </w:pPr>
      <w:r/>
      <w:r>
        <w:rPr>
          <w:b/>
        </w:rPr>
        <w:t>VALIUM</w:t>
      </w:r>
      <w:r>
        <w:t xml:space="preserve"> (ROCHE) — Comprimé sécable 2 mg — B/40, Liste I — </w:t>
      </w:r>
      <w:r>
        <w:rPr>
          <w:b/>
        </w:rPr>
        <w:t>Retiré (R)</w:t>
      </w:r>
      <w:r/>
    </w:p>
    <w:p>
      <w:pPr>
        <w:pStyle w:val="ListBullet"/>
      </w:pPr>
      <w:r/>
      <w:r>
        <w:rPr>
          <w:b/>
        </w:rPr>
        <w:t>DIAZEPAM-RATIOPHARM</w:t>
      </w:r>
      <w:r>
        <w:t xml:space="preserve"> (LAFON RATIOPHARM) — Comprimé 2 mg, 5 mg et 10 mg — B/40 et B/30, Liste I — </w:t>
      </w:r>
      <w:r>
        <w:rPr>
          <w:b/>
        </w:rPr>
        <w:t>Retiré (R)</w:t>
      </w:r>
      <w:r/>
    </w:p>
    <w:p>
      <w:pPr>
        <w:pStyle w:val="ListBullet"/>
      </w:pPr>
      <w:r/>
      <w:r>
        <w:rPr>
          <w:b/>
        </w:rPr>
        <w:t>NOVAPAM</w:t>
      </w:r>
      <w:r>
        <w:t xml:space="preserve"> (NOVA ARGENTIA) — Comprimé 2 mg et 10 mg — B/40 et B/20, Liste I — </w:t>
      </w:r>
      <w:r>
        <w:rPr>
          <w:b/>
        </w:rPr>
        <w:t>Retiré (R)</w:t>
      </w:r>
      <w:r/>
    </w:p>
    <w:p>
      <w:pPr>
        <w:pStyle w:val="ListBullet"/>
      </w:pPr>
      <w:r/>
      <w:r>
        <w:rPr>
          <w:b/>
        </w:rPr>
        <w:t>VALIUM</w:t>
      </w:r>
      <w:r>
        <w:t xml:space="preserve"> (ROCHE) — Comprimé sécable 5 mg — B/40, Liste I — </w:t>
      </w:r>
      <w:r>
        <w:rPr>
          <w:b/>
        </w:rPr>
        <w:t>Retiré (R)</w:t>
      </w:r>
      <w:r/>
    </w:p>
    <w:p>
      <w:pPr>
        <w:pStyle w:val="ListBullet"/>
      </w:pPr>
      <w:r/>
      <w:r>
        <w:rPr>
          <w:b/>
        </w:rPr>
        <w:t>DIAZAL 5</w:t>
      </w:r>
      <w:r>
        <w:t xml:space="preserve"> (MEDICUBA) — Comprimé 5 mg — B/30, Liste I — </w:t>
      </w:r>
      <w:r>
        <w:rPr>
          <w:b/>
        </w:rPr>
        <w:t>Retiré (R)</w:t>
      </w:r>
      <w:r/>
    </w:p>
    <w:p>
      <w:pPr>
        <w:pStyle w:val="ListBullet"/>
      </w:pPr>
      <w:r/>
      <w:r>
        <w:rPr>
          <w:b/>
        </w:rPr>
        <w:t>LIZAM</w:t>
      </w:r>
      <w:r>
        <w:t xml:space="preserve"> (GROUPE SANTE) — Comprimé 10 mg — B/20, Liste I — </w:t>
      </w:r>
      <w:r>
        <w:rPr>
          <w:b/>
        </w:rPr>
        <w:t>Retiré (R)</w:t>
      </w:r>
      <w:r/>
    </w:p>
    <w:p>
      <w:pPr>
        <w:pStyle w:val="ListBullet"/>
      </w:pPr>
      <w:r/>
      <w:r>
        <w:rPr>
          <w:b/>
        </w:rPr>
        <w:t>DIAZAL 10</w:t>
      </w:r>
      <w:r>
        <w:t xml:space="preserve"> (MEDICUBA) — Comprimé 10 mg — B/30, Liste I — </w:t>
      </w:r>
      <w:r>
        <w:rPr>
          <w:b/>
        </w:rPr>
        <w:t>Retiré (R)</w:t>
      </w:r>
      <w:r/>
    </w:p>
    <w:p>
      <w:pPr>
        <w:pStyle w:val="ListBullet"/>
      </w:pPr>
      <w:r/>
      <w:r>
        <w:rPr>
          <w:b/>
        </w:rPr>
        <w:t>VALIUM</w:t>
      </w:r>
      <w:r>
        <w:t xml:space="preserve"> (ROCHE) — Solution buvable gouttes 0,01 — flacon 20 mL, Liste I — </w:t>
      </w:r>
      <w:r>
        <w:rPr>
          <w:b/>
        </w:rPr>
        <w:t>Retiré (R)</w:t>
      </w:r>
      <w:r/>
    </w:p>
    <w:p>
      <w:pPr>
        <w:pStyle w:val="Heading4"/>
      </w:pPr>
      <w:r>
        <w:t>5.2. Lorazépam</w:t>
      </w:r>
    </w:p>
    <w:p>
      <w:r>
        <w:t>Formes actives :</w:t>
      </w:r>
    </w:p>
    <w:p>
      <w:pPr>
        <w:pStyle w:val="ListBullet"/>
      </w:pPr>
      <w:r/>
      <w:r>
        <w:rPr>
          <w:b/>
        </w:rPr>
        <w:t>ANXIENAD</w:t>
      </w:r>
      <w:r>
        <w:t xml:space="preserve"> (NADPHARMADIC-PRODUCTION)</w:t>
      </w:r>
    </w:p>
    <w:p>
      <w:pPr>
        <w:pStyle w:val="ListBullet"/>
      </w:pPr>
      <w:r>
        <w:t>Formes et Dosages : Comprimé pelliculé sécable 1 mg — B/30, Liste I</w:t>
      </w:r>
    </w:p>
    <w:p>
      <w:pPr>
        <w:pStyle w:val="ListBullet"/>
      </w:pPr>
      <w:r>
        <w:t xml:space="preserve">Statut : </w:t>
      </w:r>
      <w:r>
        <w:rPr>
          <w:b/>
        </w:rPr>
        <w:t>Actif</w:t>
      </w:r>
      <w:r/>
    </w:p>
    <w:p>
      <w:pPr>
        <w:pStyle w:val="ListBullet"/>
      </w:pPr>
      <w:r/>
      <w:r>
        <w:rPr>
          <w:b/>
        </w:rPr>
        <w:t>LORAZEPAM - AGD</w:t>
      </w:r>
      <w:r>
        <w:t xml:space="preserve"> (ALGERIAN GENERICS DEVELOPMENT PHARMA — AGD PHARMA)</w:t>
      </w:r>
    </w:p>
    <w:p>
      <w:pPr>
        <w:pStyle w:val="ListBullet"/>
      </w:pPr>
      <w:r>
        <w:t>Formes et Dosages : Comprimé quadri-sécable 1 mg — B/30 ; Comprimé quadri-sécable 2,5 mg — B/30, Liste I</w:t>
      </w:r>
    </w:p>
    <w:p>
      <w:pPr>
        <w:pStyle w:val="ListBullet"/>
      </w:pPr>
      <w:r>
        <w:t xml:space="preserve">Statut : </w:t>
      </w:r>
      <w:r>
        <w:rPr>
          <w:b/>
        </w:rPr>
        <w:t>Actif</w:t>
      </w:r>
      <w:r/>
    </w:p>
    <w:p>
      <w:pPr>
        <w:pStyle w:val="ListBullet"/>
      </w:pPr>
      <w:r/>
      <w:r>
        <w:rPr>
          <w:b/>
        </w:rPr>
        <w:t>MAPEZ</w:t>
      </w:r>
      <w:r>
        <w:t xml:space="preserve"> (SARL GROUPE SANTE)</w:t>
      </w:r>
    </w:p>
    <w:p>
      <w:pPr>
        <w:pStyle w:val="ListBullet"/>
      </w:pPr>
      <w:r>
        <w:t>Formes et Dosages : Comprimé sécable 1 mg — B/30 ; Comprimé sécable 2,5 mg — B/30, Liste I</w:t>
      </w:r>
    </w:p>
    <w:p>
      <w:pPr>
        <w:pStyle w:val="ListBullet"/>
      </w:pPr>
      <w:r>
        <w:t xml:space="preserve">Statut : </w:t>
      </w:r>
      <w:r>
        <w:rPr>
          <w:b/>
        </w:rPr>
        <w:t>Actif</w:t>
      </w:r>
      <w:r/>
    </w:p>
    <w:p>
      <w:pPr>
        <w:pStyle w:val="ListBullet"/>
      </w:pPr>
      <w:r/>
      <w:r>
        <w:rPr>
          <w:b/>
        </w:rPr>
        <w:t>ORZEPAM</w:t>
      </w:r>
      <w:r>
        <w:t xml:space="preserve"> (GENERIC LAB)</w:t>
      </w:r>
    </w:p>
    <w:p>
      <w:pPr>
        <w:pStyle w:val="ListBullet"/>
      </w:pPr>
      <w:r>
        <w:t>Formes et Dosages : Comprimé 1 mg — B/30 ; Comprimé sécable 2,5 mg — B/30, Liste I</w:t>
      </w:r>
    </w:p>
    <w:p>
      <w:pPr>
        <w:pStyle w:val="ListBullet"/>
      </w:pPr>
      <w:r>
        <w:t xml:space="preserve">Statut : </w:t>
      </w:r>
      <w:r>
        <w:rPr>
          <w:b/>
        </w:rPr>
        <w:t>Actif</w:t>
      </w:r>
      <w:r/>
    </w:p>
    <w:p>
      <w:pPr>
        <w:pStyle w:val="ListBullet"/>
      </w:pPr>
      <w:r/>
      <w:r>
        <w:rPr>
          <w:b/>
        </w:rPr>
        <w:t>TEMESTA</w:t>
      </w:r>
      <w:r>
        <w:t xml:space="preserve"> (LABORATOIRES SALEM)</w:t>
      </w:r>
    </w:p>
    <w:p>
      <w:pPr>
        <w:pStyle w:val="ListBullet"/>
      </w:pPr>
      <w:r>
        <w:t>Formes et Dosages : Comprimé sécable 1 mg — B/30 ; Comprimé sécable 2,5 mg — B/30, Liste I</w:t>
      </w:r>
    </w:p>
    <w:p>
      <w:pPr>
        <w:pStyle w:val="ListBullet"/>
      </w:pPr>
      <w:r>
        <w:t xml:space="preserve">Statut : </w:t>
      </w:r>
      <w:r>
        <w:rPr>
          <w:b/>
        </w:rPr>
        <w:t>Actif</w:t>
      </w:r>
      <w:r>
        <w:t xml:space="preserve"> (princeps Temesta® Pfizer/Wyeth, générique Salem)</w:t>
      </w:r>
    </w:p>
    <w:p>
      <w:r>
        <w:t>Formes non renouvelables :</w:t>
      </w:r>
    </w:p>
    <w:p>
      <w:pPr>
        <w:pStyle w:val="ListBullet"/>
      </w:pPr>
      <w:r/>
      <w:r>
        <w:rPr>
          <w:b/>
        </w:rPr>
        <w:t>NEVROSTAT</w:t>
      </w:r>
      <w:r>
        <w:t xml:space="preserve"> (GROUPE SAIDAL) — Comprimé sécable 1 mg — B/40, Liste I — </w:t>
      </w:r>
      <w:r>
        <w:rPr>
          <w:b/>
        </w:rPr>
        <w:t>Non Renouvelable</w:t>
      </w:r>
      <w:r/>
    </w:p>
    <w:p>
      <w:pPr>
        <w:pStyle w:val="ListBullet"/>
      </w:pPr>
      <w:r/>
      <w:r>
        <w:rPr>
          <w:b/>
        </w:rPr>
        <w:t>NEVROSTA</w:t>
      </w:r>
      <w:r>
        <w:t xml:space="preserve"> (GROUPE SAIDAL) — Comprimé sécable 2,5 mg — B/40, Liste I — </w:t>
      </w:r>
      <w:r>
        <w:rPr>
          <w:b/>
        </w:rPr>
        <w:t>Non Renouvelable</w:t>
      </w:r>
      <w:r/>
    </w:p>
    <w:p>
      <w:r>
        <w:t>Formes retirées (plus commercialisées en Algérie) :</w:t>
      </w:r>
    </w:p>
    <w:p>
      <w:pPr>
        <w:pStyle w:val="ListBullet"/>
      </w:pPr>
      <w:r/>
      <w:r>
        <w:rPr>
          <w:b/>
        </w:rPr>
        <w:t>LORANS</w:t>
      </w:r>
      <w:r>
        <w:t xml:space="preserve"> (ALFA WASSERMANN) — Comprimé 1 mg et 2,5 mg — B/50 et B/30, Liste I — </w:t>
      </w:r>
      <w:r>
        <w:rPr>
          <w:b/>
        </w:rPr>
        <w:t>Retiré (R)</w:t>
      </w:r>
      <w:r/>
    </w:p>
    <w:p>
      <w:pPr>
        <w:pStyle w:val="ListBullet"/>
      </w:pPr>
      <w:r/>
      <w:r>
        <w:rPr>
          <w:b/>
        </w:rPr>
        <w:t>TRANQUIPAM</w:t>
      </w:r>
      <w:r>
        <w:t xml:space="preserve"> (PHARMACARE LIMITED) — Comprimé 1 mg et 2,5 mg — B/100, Liste I — </w:t>
      </w:r>
      <w:r>
        <w:rPr>
          <w:b/>
        </w:rPr>
        <w:t>Retiré (R)</w:t>
      </w:r>
      <w:r/>
    </w:p>
    <w:p>
      <w:pPr>
        <w:pStyle w:val="ListBullet"/>
      </w:pPr>
      <w:r/>
      <w:r>
        <w:rPr>
          <w:b/>
        </w:rPr>
        <w:t>LORAZEPAM</w:t>
      </w:r>
      <w:r>
        <w:t xml:space="preserve"> (LABORATOIRE PHARMACEUTIQUE ALGERIEN — LPA) — Comprimé 1 mg et 2,5 mg — B/50 et B/30, Liste I — </w:t>
      </w:r>
      <w:r>
        <w:rPr>
          <w:b/>
        </w:rPr>
        <w:t>Retiré (R)</w:t>
      </w:r>
      <w:r/>
    </w:p>
    <w:p>
      <w:pPr>
        <w:pStyle w:val="ListBullet"/>
      </w:pPr>
      <w:r/>
      <w:r>
        <w:rPr>
          <w:b/>
        </w:rPr>
        <w:t>LORAM</w:t>
      </w:r>
      <w:r>
        <w:t xml:space="preserve"> (LEK) — Comprimé 1 mg et 2,5 mg — B/50 et B/30, Liste I — </w:t>
      </w:r>
      <w:r>
        <w:rPr>
          <w:b/>
        </w:rPr>
        <w:t>Retiré (R)</w:t>
      </w:r>
      <w:r/>
    </w:p>
    <w:p>
      <w:pPr>
        <w:pStyle w:val="Heading4"/>
      </w:pPr>
      <w:r>
        <w:t>5.3. Midazolam</w:t>
      </w:r>
    </w:p>
    <w:p>
      <w:r>
        <w:t>Formes actives :</w:t>
      </w:r>
    </w:p>
    <w:p>
      <w:pPr>
        <w:pStyle w:val="ListBullet"/>
      </w:pPr>
      <w:r/>
      <w:r>
        <w:rPr>
          <w:b/>
        </w:rPr>
        <w:t>HIKMA MIDAZOLAM</w:t>
      </w:r>
      <w:r>
        <w:t xml:space="preserve"> (HIKMA PHARMA ALGERIA)</w:t>
      </w:r>
    </w:p>
    <w:p>
      <w:pPr>
        <w:pStyle w:val="ListBullet"/>
      </w:pPr>
      <w:r>
        <w:t>Formes et Dosages : Solution injectable IM/IV, 5 mg/mL (15 mg/3 mL) — B/5 ampoules de 3 mL, Liste I</w:t>
      </w:r>
    </w:p>
    <w:p>
      <w:pPr>
        <w:pStyle w:val="ListBullet"/>
      </w:pPr>
      <w:r>
        <w:t xml:space="preserve">Statut : </w:t>
      </w:r>
      <w:r>
        <w:rPr>
          <w:b/>
        </w:rPr>
        <w:t>Actif</w:t>
      </w:r>
      <w:r/>
    </w:p>
    <w:p>
      <w:pPr>
        <w:pStyle w:val="ListBullet"/>
      </w:pPr>
      <w:r/>
      <w:r>
        <w:rPr>
          <w:b/>
        </w:rPr>
        <w:t>HYPNOZOLAM</w:t>
      </w:r>
      <w:r>
        <w:t xml:space="preserve"> (LES LABORATOIRES FRATER RAZES)</w:t>
      </w:r>
    </w:p>
    <w:p>
      <w:pPr>
        <w:pStyle w:val="ListBullet"/>
      </w:pPr>
      <w:r>
        <w:t>Formes et Dosages : Solution injectable IV/IM/SC pour perfusion ou rectale, 5 mg/mL (15 mg/3 mL) — B/10 ampoules de 10 mL / B/10 ampoules de 1 mL / B/5 ampoules de 3 mL, Liste I</w:t>
      </w:r>
    </w:p>
    <w:p>
      <w:pPr>
        <w:pStyle w:val="ListBullet"/>
      </w:pPr>
      <w:r>
        <w:t xml:space="preserve">Statut : </w:t>
      </w:r>
      <w:r>
        <w:rPr>
          <w:b/>
        </w:rPr>
        <w:t>Actif</w:t>
      </w:r>
      <w:r/>
    </w:p>
    <w:p>
      <w:pPr>
        <w:pStyle w:val="ListBullet"/>
      </w:pPr>
      <w:r/>
      <w:r>
        <w:rPr>
          <w:b/>
        </w:rPr>
        <w:t>IPNODIS</w:t>
      </w:r>
      <w:r>
        <w:t xml:space="preserve"> (LES LABORATOIRES MEDIS)</w:t>
      </w:r>
    </w:p>
    <w:p>
      <w:pPr>
        <w:pStyle w:val="ListBullet"/>
      </w:pPr>
      <w:r>
        <w:t>Formes et Dosages : Solution injectable, 5 mg/mL (15 mg/3 mL) — B/10 ampoules de 1 mL, Liste I</w:t>
      </w:r>
    </w:p>
    <w:p>
      <w:pPr>
        <w:pStyle w:val="ListBullet"/>
      </w:pPr>
      <w:r>
        <w:t xml:space="preserve">Statut : </w:t>
      </w:r>
      <w:r>
        <w:rPr>
          <w:b/>
        </w:rPr>
        <w:t>Actif</w:t>
      </w:r>
      <w:r/>
    </w:p>
    <w:p>
      <w:pPr>
        <w:pStyle w:val="ListBullet"/>
      </w:pPr>
      <w:r/>
      <w:r>
        <w:rPr>
          <w:b/>
        </w:rPr>
        <w:t>MIDAZOLAM INPHA-MEDIS</w:t>
      </w:r>
      <w:r>
        <w:t xml:space="preserve"> (INPHA-MEDIS)</w:t>
      </w:r>
    </w:p>
    <w:p>
      <w:pPr>
        <w:pStyle w:val="ListBullet"/>
      </w:pPr>
      <w:r>
        <w:t>Formes et Dosages : Solution injectable IM/IV/Rectal, 5 mg/mL (15 mg/3 mL) — B/10 ampoules de 1 mL et B/10 ampoules de 10 mL, Liste I</w:t>
      </w:r>
    </w:p>
    <w:p>
      <w:pPr>
        <w:pStyle w:val="ListBullet"/>
      </w:pPr>
      <w:r>
        <w:t xml:space="preserve">Statut : </w:t>
      </w:r>
      <w:r>
        <w:rPr>
          <w:b/>
        </w:rPr>
        <w:t>Actif</w:t>
      </w:r>
      <w:r/>
    </w:p>
    <w:p>
      <w:pPr>
        <w:pStyle w:val="ListBullet"/>
      </w:pPr>
      <w:r/>
      <w:r>
        <w:rPr>
          <w:b/>
        </w:rPr>
        <w:t>MIDAZOLAM MYLAN</w:t>
      </w:r>
      <w:r>
        <w:t xml:space="preserve"> (MYLAN SAS)</w:t>
      </w:r>
    </w:p>
    <w:p>
      <w:pPr>
        <w:pStyle w:val="ListBullet"/>
      </w:pPr>
      <w:r>
        <w:t>Formes et Dosages : Solution injectable IM/IV et rectale, 5 mg/mL (15 mg/3 mL) — B/10 ampoules de 1 mL et B/10 ampoules de 10 mL ; Solution injectable IM/IV et rectale, 1 mg/mL (5 mg/5 mL) — B/10 ampoules de 5 mL, Liste I</w:t>
      </w:r>
    </w:p>
    <w:p>
      <w:pPr>
        <w:pStyle w:val="ListBullet"/>
      </w:pPr>
      <w:r>
        <w:t xml:space="preserve">Statut : </w:t>
      </w:r>
      <w:r>
        <w:rPr>
          <w:b/>
        </w:rPr>
        <w:t>Actif</w:t>
      </w:r>
      <w:r>
        <w:t xml:space="preserve"> (gamme complète — deux concentrations disponibles)</w:t>
      </w:r>
    </w:p>
    <w:p>
      <w:pPr>
        <w:pStyle w:val="ListBullet"/>
      </w:pPr>
      <w:r/>
      <w:r>
        <w:rPr>
          <w:b/>
        </w:rPr>
        <w:t>SEDALAM</w:t>
      </w:r>
      <w:r>
        <w:t xml:space="preserve"> (EL KENDI INDUSTRIE DU MEDICAMENT)</w:t>
      </w:r>
    </w:p>
    <w:p>
      <w:pPr>
        <w:pStyle w:val="ListBullet"/>
      </w:pPr>
      <w:r>
        <w:t>Formes et Dosages : Solution injectable IM/IV, 5 mg/mL (15 mg/3 mL) — B/5 flacons 3 mL en verre classe A, Liste I</w:t>
      </w:r>
    </w:p>
    <w:p>
      <w:pPr>
        <w:pStyle w:val="ListBullet"/>
      </w:pPr>
      <w:r>
        <w:t xml:space="preserve">Statut : </w:t>
      </w:r>
      <w:r>
        <w:rPr>
          <w:b/>
        </w:rPr>
        <w:t>Actif</w:t>
      </w:r>
      <w:r/>
    </w:p>
    <w:p>
      <w:pPr>
        <w:pStyle w:val="ListBullet"/>
      </w:pPr>
      <w:r/>
      <w:r>
        <w:rPr>
          <w:b/>
        </w:rPr>
        <w:t>SEDALAM</w:t>
      </w:r>
      <w:r>
        <w:t xml:space="preserve"> (MS PHARMA-JORDAN)</w:t>
      </w:r>
    </w:p>
    <w:p>
      <w:pPr>
        <w:pStyle w:val="ListBullet"/>
      </w:pPr>
      <w:r>
        <w:t>Formes et Dosages : Solution injectable IM/IV, 5 mg/5 mL (1 mg/mL) — B/10 flacons de 5 mL, Liste I</w:t>
      </w:r>
    </w:p>
    <w:p>
      <w:pPr>
        <w:pStyle w:val="ListBullet"/>
      </w:pPr>
      <w:r>
        <w:t xml:space="preserve">Statut : </w:t>
      </w:r>
      <w:r>
        <w:rPr>
          <w:b/>
        </w:rPr>
        <w:t>Actif</w:t>
      </w:r>
      <w:r/>
    </w:p>
    <w:p>
      <w:r>
        <w:t>Formes retirées (plus commercialisées en Algérie) :</w:t>
      </w:r>
    </w:p>
    <w:p>
      <w:pPr>
        <w:pStyle w:val="ListBullet"/>
      </w:pPr>
      <w:r/>
      <w:r>
        <w:rPr>
          <w:b/>
        </w:rPr>
        <w:t>DORMICUM</w:t>
      </w:r>
      <w:r>
        <w:t xml:space="preserve"> (HOFFMAN LAROCHE) — Solution injectable IM / IV / intrarectale, 5 mg/mL — B/10 ampoules de 1 mL, Liste I — </w:t>
      </w:r>
      <w:r>
        <w:rPr>
          <w:b/>
        </w:rPr>
        <w:t>Retiré (R)</w:t>
      </w:r>
      <w:r>
        <w:t xml:space="preserve"> (princeps Roche)</w:t>
      </w:r>
    </w:p>
    <w:p>
      <w:r/>
      <w:r>
        <w:rPr>
          <w:i/>
        </w:rPr>
        <w:t>Note : les benzodiazépines d'urgence (diazépam, midazolam, lorazépam) sont disponibles en Algérie sous de nombreuses marques actives (3 marques pour le diazépam inj + 1 sol.buv, 5 marques pour le lorazépam cp, 6 marques pour le midazolam inj) — approvisionnement stable pour les indications d'urgence. Le princeps Roche (Valium® et Dormicum®) est retiré mais les génériques actifs offrent une alternative de qualité équivalente. Pour le lorazépam, à noter l'absence de forme injectable disponible en Algérie — limite l'usage du lorazépam IV dans l'EME hospitalier (gold standard international selon l'essai Treiman 1998 NEJM — préférer le diazépam IV en Algérie).</w:t>
      </w:r>
      <w:r/>
    </w:p>
    <w:p>
      <w:r/>
      <w:r>
        <w:rPr>
          <w:b/>
        </w:rPr>
        <w:t>Sous-classe et Mécanisme d'action :</w:t>
      </w:r>
      <w:r/>
    </w:p>
    <w:p>
      <w:pPr>
        <w:pStyle w:val="ListBullet"/>
      </w:pPr>
      <w:r>
        <w:t>Sous-classe : Antiépileptiques — benzodiazépines d'urgence (urgence = état de mal épileptique). Au sein de la classification des BZD, le diazépam est une BZD à longue demi-vie d'élimination (20-50 h), le midazolam est une BZD à courte demi-vie d'élimination (1,5-3 h), et le lorazépam est une BZD à demi-vie d'élimination intermédiaire (10-20 h). Leur usage d'urgence (EME) se distingue de l'usage d'entretien du clonazépam (cf. fiche 4) et de l'usage anxiolytique/hypnotique (cf. Fascicule X chapitre 82).</w:t>
      </w:r>
    </w:p>
    <w:p>
      <w:pPr>
        <w:pStyle w:val="ListBullet"/>
      </w:pPr>
      <w:r>
        <w:t xml:space="preserve">Mécanisme d'action (commun aux 3 molécules) : </w:t>
      </w:r>
      <w:r>
        <w:rPr>
          <w:b/>
        </w:rPr>
        <w:t>Agonisme positif allostérique du récepteur GABA-A</w:t>
      </w:r>
      <w:r>
        <w:t xml:space="preserve"> — fixation au site spécifique entre les sous-unités α1-γ2 (effet sédatif/hypnotique), α2-γ2 (effet anxiolytique/myorelaxant) et α3-γ2 (effet myorelaxant) du récepteur pentamérique GABA-A. Cette fixation augmente la </w:t>
      </w:r>
      <w:r>
        <w:rPr>
          <w:b/>
        </w:rPr>
        <w:t>fréquence d'ouverture</w:t>
      </w:r>
      <w:r>
        <w:t xml:space="preserve"> du canal chlorure en réponse au GABA (sans activer le canal en l'absence de GABA — différence majeure avec les barbituriques). L'effet net est une hyperpolarisation post-synaptique (entrée de Cl-), une élévation du seuil épileptogène, et une dépression rapide et puissante de l'excitabilité neuronale — à l'origine de la suppression rapide des décharges paroxystiques (EME).</w:t>
      </w:r>
    </w:p>
    <w:p>
      <w:pPr>
        <w:pStyle w:val="ListBullet"/>
      </w:pPr>
      <w:r/>
      <w:r>
        <w:rPr>
          <w:b/>
        </w:rPr>
        <w:t>Particularités par molécule</w:t>
      </w:r>
      <w:r>
        <w:t xml:space="preserve"> :</w:t>
      </w:r>
    </w:p>
    <w:p>
      <w:pPr>
        <w:pStyle w:val="ListBullet"/>
      </w:pPr>
      <w:r/>
      <w:r>
        <w:rPr>
          <w:b/>
        </w:rPr>
        <w:t>Diazépam</w:t>
      </w:r>
      <w:r>
        <w:t xml:space="preserve"> : lipophilie élevée (logP = 2,8) → passage BHE très rapide (5 min IV, 5-10 min intrarectal) → action centrale rapide ; redistribution rapide hors du SNC vers les tissus périphériques (muscle, tissu adipeux) → durée d'action courte (20-30 min) malgré la longue demi-vie d'élimination (20-50 h). Métabolisme hépatique CYP3A4 et CYP2C19 → nordiazépam (métabolite actif, demi-vie 30-200 h — accumulation possible en administration répétée) → oxazépam → temazépam.</w:t>
      </w:r>
    </w:p>
    <w:p>
      <w:pPr>
        <w:pStyle w:val="ListBullet"/>
      </w:pPr>
      <w:r/>
      <w:r>
        <w:rPr>
          <w:b/>
        </w:rPr>
        <w:t>Midazolam</w:t>
      </w:r>
      <w:r>
        <w:t xml:space="preserve"> : lipophilie très élevée (logP = 1,5 à pH physiologique, mais augmente fortement à pH 7,4 — propriété unique « ring-opening » à pH acide) → passage BHE ultrarapide (1-2 min IV, 2-3 min IM, 5 min intrabuccal/intranasal) → action centrale ultrarapide ; métabolisme hépatique CYP3A4 → alpha-hydroxymidazolam (métabolite actif mais courte demi-vie 1 h) → glucuroconjugaison → excrétion rénale → durée d'action très courte (15-30 min). Particularité : seule BZD disposant d'une AMM pour la voie IM dans l'EME pré-hospitalier (rapidité d'absorption IM exceptionnelle — étude RAMPART 2011 NEJM).</w:t>
      </w:r>
    </w:p>
    <w:p>
      <w:pPr>
        <w:pStyle w:val="ListBullet"/>
      </w:pPr>
      <w:r/>
      <w:r>
        <w:rPr>
          <w:b/>
        </w:rPr>
        <w:t>Lorazépam</w:t>
      </w:r>
      <w:r>
        <w:t xml:space="preserve"> : lipophilie plus faible (logP = 2,4) → passage BHE plus lent (5-10 min IV) → action centrale un peu moins rapide que le diazépam et le midazolam ; moins de redistribution (liaison plus spécifique aux récepteurs GABA-A) → durée d'action prolongée (4-6 h) → moins de récidive de l'EME (gold standard international pour l'EME hospitalier selon l'essai Treiman 1998 NEJM — supériorité sur le diazépam IV).</w:t>
      </w:r>
    </w:p>
    <w:p>
      <w:r/>
      <w:r>
        <w:rPr>
          <w:b/>
        </w:rPr>
        <w:t>Profil Pharmacologique :</w:t>
      </w:r>
      <w:r/>
    </w:p>
    <w:p>
      <w:pPr>
        <w:pStyle w:val="ListBullet"/>
      </w:pPr>
      <w:r>
        <w:t>Indications :</w:t>
      </w:r>
    </w:p>
    <w:p>
      <w:pPr>
        <w:pStyle w:val="ListBullet"/>
      </w:pPr>
      <w:r/>
      <w:r>
        <w:rPr>
          <w:b/>
        </w:rPr>
        <w:t>État de mal épileptique</w:t>
      </w:r>
      <w:r>
        <w:t xml:space="preserve"> (EME) — urgence vitale absolue — traitement de première intention (diazépam IV/IR, midazolam IM/IV/IR/buccal, lorazépam IV — non disponible en forme IV en Algérie).</w:t>
      </w:r>
    </w:p>
    <w:p>
      <w:pPr>
        <w:pStyle w:val="ListBullet"/>
      </w:pPr>
      <w:r/>
      <w:r>
        <w:rPr>
          <w:b/>
        </w:rPr>
        <w:t>Crises convulsives fébriles</w:t>
      </w:r>
      <w:r>
        <w:t xml:space="preserve"> de l'enfant (diazépam intrarectal en milieu pré-hospitalier ou hospitalier — alternative au diazépam IV).</w:t>
      </w:r>
    </w:p>
    <w:p>
      <w:pPr>
        <w:pStyle w:val="ListBullet"/>
      </w:pPr>
      <w:r/>
      <w:r>
        <w:rPr>
          <w:b/>
        </w:rPr>
        <w:t>Convulsions du sevrage alcoolique</w:t>
      </w:r>
      <w:r>
        <w:t xml:space="preserve"> (diazépam IV — protocole de traitement symptomatique).</w:t>
      </w:r>
    </w:p>
    <w:p>
      <w:pPr>
        <w:pStyle w:val="ListBullet"/>
      </w:pPr>
      <w:r/>
      <w:r>
        <w:rPr>
          <w:b/>
        </w:rPr>
        <w:t>Prémédication anesthésique</w:t>
      </w:r>
      <w:r>
        <w:t xml:space="preserve"> (midazolam IM 0,07-0,1 mg/kg 30 min avant l'induction — anxiolyse et amnésie antérograde).</w:t>
      </w:r>
    </w:p>
    <w:p>
      <w:pPr>
        <w:pStyle w:val="ListBullet"/>
      </w:pPr>
      <w:r/>
      <w:r>
        <w:rPr>
          <w:b/>
        </w:rPr>
        <w:t>Sédation procédurale</w:t>
      </w:r>
      <w:r>
        <w:t xml:space="preserve"> (midazolam IV — endoscopie, radiologie interventionnelle, gestes courts).</w:t>
      </w:r>
    </w:p>
    <w:p>
      <w:pPr>
        <w:pStyle w:val="ListBullet"/>
      </w:pPr>
      <w:r/>
      <w:r>
        <w:rPr>
          <w:b/>
        </w:rPr>
        <w:t>Induction anesthésique</w:t>
      </w:r>
      <w:r>
        <w:t xml:space="preserve"> (midazolam IV — alternative au propofol ou au thiopental).</w:t>
      </w:r>
    </w:p>
    <w:p>
      <w:pPr>
        <w:pStyle w:val="ListBullet"/>
      </w:pPr>
      <w:r/>
      <w:r>
        <w:rPr>
          <w:b/>
        </w:rPr>
        <w:t>Sédation prolongée en réanimation</w:t>
      </w:r>
      <w:r>
        <w:t xml:space="preserve"> (midazolam en perfusion continue — patients ventilés).</w:t>
      </w:r>
    </w:p>
    <w:p>
      <w:pPr>
        <w:pStyle w:val="ListBullet"/>
      </w:pPr>
      <w:r>
        <w:t>Hors indication EME : anxiété généralisée (diazépam, lorazépam — durée maximale 12 semaines selon recommandations HAS), trouble panique (lorazépam — alternative à l'alprazolam), insomnie (diazépam, midazolam — rarement utilisé), spasmes musculaires (diazépam — myorelaxant), syndrome de sevrage aux opioïdes (diazépam — traitement symptomatique de l'anxiété).</w:t>
      </w:r>
    </w:p>
    <w:p>
      <w:pPr>
        <w:pStyle w:val="ListBullet"/>
      </w:pPr>
      <w:r>
        <w:t>Contre-indications :</w:t>
      </w:r>
    </w:p>
    <w:p>
      <w:pPr>
        <w:pStyle w:val="ListBullet"/>
      </w:pPr>
      <w:r>
        <w:t>Myasthénie grave (dépression neuromusculaire).</w:t>
      </w:r>
    </w:p>
    <w:p>
      <w:pPr>
        <w:pStyle w:val="ListBullet"/>
      </w:pPr>
      <w:r>
        <w:t>Insuffisance respiratoire sévère (BPCO décompensé, asthme aigu sévère — dépression respiratoire additive).</w:t>
      </w:r>
    </w:p>
    <w:p>
      <w:pPr>
        <w:pStyle w:val="ListBullet"/>
      </w:pPr>
      <w:r>
        <w:t>Syndrome d'apnée du sommeil sévère.</w:t>
      </w:r>
    </w:p>
    <w:p>
      <w:pPr>
        <w:pStyle w:val="ListBullet"/>
      </w:pPr>
      <w:r>
        <w:t>Insuffisance hépatique sévère (encéphalopathie hépatique — risque d'aggravation).</w:t>
      </w:r>
    </w:p>
    <w:p>
      <w:pPr>
        <w:pStyle w:val="ListBullet"/>
      </w:pPr>
      <w:r>
        <w:t>Hypersensibilité connue aux benzodiazépines ou au propylène glycol (solvant de la forme IV de diazépam).</w:t>
      </w:r>
    </w:p>
    <w:p>
      <w:pPr>
        <w:pStyle w:val="ListBullet"/>
      </w:pPr>
      <w:r>
        <w:t>Glaucome à angle fermé (effet atropinique mineur — mydriase).</w:t>
      </w:r>
    </w:p>
    <w:p>
      <w:pPr>
        <w:pStyle w:val="ListBullet"/>
      </w:pPr>
      <w:r>
        <w:t>Grossesse (à éviter sauf nécessité absolue — catégorie D).</w:t>
      </w:r>
    </w:p>
    <w:p>
      <w:pPr>
        <w:pStyle w:val="ListBullet"/>
      </w:pPr>
      <w:r>
        <w:t>Allaitement (à éviter si doses élevées).</w:t>
      </w:r>
    </w:p>
    <w:p>
      <w:pPr>
        <w:pStyle w:val="ListBullet"/>
      </w:pPr>
      <w:r>
        <w:t>Précautions : sujet âgé (réduction posologique initiale — risque de sédation excessive et de chutes), antécédents psychiatriques (dépression, suicidalité — surveillance), antécédents d'addiction (alcool, opioïdes — risque d'abus), insuffisance rénale (adaptation posologique).</w:t>
      </w:r>
    </w:p>
    <w:p>
      <w:pPr>
        <w:pStyle w:val="ListBullet"/>
      </w:pPr>
      <w:r>
        <w:t>Effets indésirables :</w:t>
      </w:r>
    </w:p>
    <w:p>
      <w:pPr>
        <w:pStyle w:val="ListBullet"/>
      </w:pPr>
      <w:r/>
      <w:r>
        <w:rPr>
          <w:b/>
        </w:rPr>
        <w:t>Neurologiques et cognitifs dose-dépendants</w:t>
      </w:r>
      <w:r>
        <w:t xml:space="preserve"> : somnolence (très fréquente), confusion, amnésie antérograde (particulièrement marquée après midazolam IV — utile pour la sédation procédurale mais délétère en ambulatoire), ataxie, vertiges, dysarthrie, céphalées, diplopie.</w:t>
      </w:r>
    </w:p>
    <w:p>
      <w:pPr>
        <w:pStyle w:val="ListBullet"/>
      </w:pPr>
      <w:r/>
      <w:r>
        <w:rPr>
          <w:b/>
        </w:rPr>
        <w:t>Respiratoires</w:t>
      </w:r>
      <w:r>
        <w:t xml:space="preserve"> (form IV) : </w:t>
      </w:r>
      <w:r>
        <w:rPr>
          <w:b/>
        </w:rPr>
        <w:t>dépression respiratoire centrale</w:t>
      </w:r>
      <w:r>
        <w:t xml:space="preserve"> (hypoventilation, apnée — particulièrement marquée en IV, à fortes doses, et chez le sujet âgé, l'insuffisant respiratoire ou hépatique, ou en cas de co-ingestion d'autres dépresseurs du SNC — alcool, opioïdes) — urgence vitale, nécessite intubation-ventilation mécanique et administration de flumazénil (Anexate®).</w:t>
      </w:r>
    </w:p>
    <w:p>
      <w:pPr>
        <w:pStyle w:val="ListBullet"/>
      </w:pPr>
      <w:r/>
      <w:r>
        <w:rPr>
          <w:b/>
        </w:rPr>
        <w:t>Cardiovasculaires</w:t>
      </w:r>
      <w:r>
        <w:t xml:space="preserve"> (forme IV) : hypotension (effet vasodilatateur direct + dépression centrale), bradycardie sinusale (rare).</w:t>
      </w:r>
    </w:p>
    <w:p>
      <w:pPr>
        <w:pStyle w:val="ListBullet"/>
      </w:pPr>
      <w:r/>
      <w:r>
        <w:rPr>
          <w:b/>
        </w:rPr>
        <w:t>Psychiatriques</w:t>
      </w:r>
      <w:r>
        <w:t xml:space="preserve"> : réactions paradoxales (agressivité, agitation, colère — particulièrement chez l'enfant et le sujet âgé — dysinhibition), anxiété rebond à l'arrêt, dépendance psychologique, tolérance pharmacodynamique (baisse d'efficacité en quelques jours à semaines en administration répétée).</w:t>
      </w:r>
    </w:p>
    <w:p>
      <w:pPr>
        <w:pStyle w:val="ListBullet"/>
      </w:pPr>
      <w:r/>
      <w:r>
        <w:rPr>
          <w:b/>
        </w:rPr>
        <w:t>Cutanés</w:t>
      </w:r>
      <w:r>
        <w:t xml:space="preserve"> : rash maculopapuleux bénin (5-10 %), urticaire, prurit, douleur au point d'injection (midazolam), phlébite (diazépam — propylène glycol comme solvant).</w:t>
      </w:r>
    </w:p>
    <w:p>
      <w:pPr>
        <w:pStyle w:val="ListBullet"/>
      </w:pPr>
      <w:r/>
      <w:r>
        <w:rPr>
          <w:b/>
        </w:rPr>
        <w:t>Gastro-intestinaux</w:t>
      </w:r>
      <w:r>
        <w:t xml:space="preserve"> : nausées, vomissements, constipation, sécheresse buccale.</w:t>
      </w:r>
    </w:p>
    <w:p>
      <w:pPr>
        <w:pStyle w:val="ListBullet"/>
      </w:pPr>
      <w:r/>
      <w:r>
        <w:rPr>
          <w:b/>
        </w:rPr>
        <w:t>Tératogénicité</w:t>
      </w:r>
      <w:r>
        <w:t xml:space="preserve"> : catégorie D — risque malformatif (fente labio-palatine — données limitées) + </w:t>
      </w:r>
      <w:r>
        <w:rPr>
          <w:b/>
        </w:rPr>
        <w:t>risque majeur de syndrome de sevrage néonatal</w:t>
      </w:r>
      <w:r>
        <w:t xml:space="preserve"> (hypotonie, détresse respiratoire — syndrome du "floppy baby") si prise en fin de grossesse.</w:t>
      </w:r>
    </w:p>
    <w:p>
      <w:pPr>
        <w:pStyle w:val="ListBullet"/>
      </w:pPr>
      <w:r/>
      <w:r>
        <w:rPr>
          <w:b/>
        </w:rPr>
        <w:t>Dépendance et tolérance</w:t>
      </w:r>
      <w:r>
        <w:t xml:space="preserve"> : tolérance pharmacodynamique (baisse de l'effet en quelques jours à semaines en administration répétée), dépendance physique (syndrome de sevrage à l'arrêt brutal — crise, état de mal épileptique, anxiété rebond, tremblements, insomnie — arrêt TOUJOURS progressif sur plusieurs semaines en administration prolongée).</w:t>
      </w:r>
    </w:p>
    <w:p>
      <w:pPr>
        <w:pStyle w:val="ListBullet"/>
      </w:pPr>
      <w:r/>
      <w:r>
        <w:rPr>
          <w:b/>
        </w:rPr>
        <w:t>Spécifique au midazolam</w:t>
      </w:r>
      <w:r>
        <w:t xml:space="preserve"> : amnésie antérograde très marquée (utile pour la sédation procédurale — patient ne se souvient pas du geste), effet paradoxal plus fréquent chez l'enfant (agitation, agitation paradoxale).</w:t>
      </w:r>
    </w:p>
    <w:p>
      <w:r/>
      <w:r>
        <w:rPr>
          <w:b/>
        </w:rPr>
        <w:t>Prévention et Gestion des Effets Indésirables :</w:t>
      </w:r>
      <w:r/>
    </w:p>
    <w:p>
      <w:pPr>
        <w:pStyle w:val="ListBullet"/>
      </w:pPr>
      <w:r>
        <w:t>Mesures préventives :</w:t>
      </w:r>
    </w:p>
    <w:p>
      <w:pPr>
        <w:pStyle w:val="ListBullet"/>
      </w:pPr>
      <w:r/>
      <w:r>
        <w:rPr>
          <w:b/>
        </w:rPr>
        <w:t>Monitoring obligatoire</w:t>
      </w:r>
      <w:r>
        <w:t xml:space="preserve"> en cas d'administration IV : ECG continu, SpO2 (oxymétrie pulsée), tension artérielle, fréquence respiratoire ; matériel de réanimation à portée de main (intubation, ventilation mécanique, oxygène) ; antagoniste spécifique flumazénil (Anexate®) à portée de main.</w:t>
      </w:r>
    </w:p>
    <w:p>
      <w:pPr>
        <w:pStyle w:val="ListBullet"/>
      </w:pPr>
      <w:r/>
      <w:r>
        <w:rPr>
          <w:b/>
        </w:rPr>
        <w:t>Injection IV lente</w:t>
      </w:r>
      <w:r>
        <w:t xml:space="preserve"> : diazépam ≤ 5 mg/min (1 mL/30 s), midazolam ≤ 1 mg/30 s, lorazépam ≤ 2 mg/min — pour limiter les effets cardiovasculaires (hypotension) et respiratoires (apnée).</w:t>
      </w:r>
    </w:p>
    <w:p>
      <w:pPr>
        <w:pStyle w:val="ListBullet"/>
      </w:pPr>
      <w:r/>
      <w:r>
        <w:rPr>
          <w:b/>
        </w:rPr>
        <w:t>Adaptation posologique</w:t>
      </w:r>
      <w:r>
        <w:t xml:space="preserve"> : sujet âgé (réduction de 25-50 % initiale), insuffisant hépatique (réduction de 25-50 % initiale), insuffisant rénal (surveillance accrue), insuffisant respiratoire (réduction de 50 % initiale — préférer alternative non dépressive respiratoire).</w:t>
      </w:r>
    </w:p>
    <w:p>
      <w:pPr>
        <w:pStyle w:val="ListBullet"/>
      </w:pPr>
      <w:r/>
      <w:r>
        <w:rPr>
          <w:b/>
        </w:rPr>
        <w:t>Éviter les co-prescriptions délétères</w:t>
      </w:r>
      <w:r>
        <w:t xml:space="preserve"> : opioïdes (warning ANSM 2017 — risque de dépression respiratoire synergique parfois létale), alcool (potentialisation pharmacodynamique majeure), autres BZD, antihistaminiques H1 sédatifs, antidépresseurs tricycliques, antipsychotiques (potentialisation pharmacodynamique additive).</w:t>
      </w:r>
    </w:p>
    <w:p>
      <w:pPr>
        <w:pStyle w:val="ListBullet"/>
      </w:pPr>
      <w:r>
        <w:t>Information du patient (en cas d'utilisation ambulatoire — rare pour l'indication EME) : ne jamais arrêter brutalement (risque de sevrage — crise, état de mal épileptique, anxiété rebond), prévenir en cas de projet de grossesse, éviter la consommation d'alcool et d'opioïdes.</w:t>
      </w:r>
    </w:p>
    <w:p>
      <w:pPr>
        <w:pStyle w:val="ListBullet"/>
      </w:pPr>
      <w:r>
        <w:t>Conduite à tenir :</w:t>
      </w:r>
    </w:p>
    <w:p>
      <w:pPr>
        <w:pStyle w:val="ListBullet"/>
      </w:pPr>
      <w:r/>
      <w:r>
        <w:rPr>
          <w:b/>
        </w:rPr>
        <w:t>En cas de dépression respiratoire</w:t>
      </w:r>
      <w:r>
        <w:t xml:space="preserve"> (hypoventilation, apnée, désaturation &lt; 90 %) : arrêt immédiat de la BZD, oxygénothérapie (masque haute concentration), ventilation au ballon-masque si nécessaire, intubation-ventilation mécanique si coma profond ou échec de la ventilation non invasive, </w:t>
      </w:r>
      <w:r>
        <w:rPr>
          <w:b/>
        </w:rPr>
        <w:t>flumazénil (Anexate®) IV 0,2 mg en 30 s, à renouveler si nécessaire jusqu'à 1 mg max</w:t>
      </w:r>
      <w:r>
        <w:t xml:space="preserve"> (attention : demi-vie courte du flumazénil 40-80 min → resédation possible, surveillance prolongée 6-12 h ; risque de convulsions si patient dépendant chronique ou si co-ingestion d'antidépresseurs tricycliques — contre-indication relative).</w:t>
      </w:r>
    </w:p>
    <w:p>
      <w:pPr>
        <w:pStyle w:val="ListBullet"/>
      </w:pPr>
      <w:r/>
      <w:r>
        <w:rPr>
          <w:b/>
        </w:rPr>
        <w:t>En cas d'hypotension</w:t>
      </w:r>
      <w:r>
        <w:t xml:space="preserve"> : remplissage vasculaire (NaCl 0,9 % ou Ringer Lactate), vasopresseurs (éphédrine, noradrénaline) si sévère.</w:t>
      </w:r>
    </w:p>
    <w:p>
      <w:pPr>
        <w:pStyle w:val="ListBullet"/>
      </w:pPr>
      <w:r/>
      <w:r>
        <w:rPr>
          <w:b/>
        </w:rPr>
        <w:t>En cas de réaction paradoxale</w:t>
      </w:r>
      <w:r>
        <w:t xml:space="preserve"> (agitation, agressivité) : arrêt de la BZD, surveillance, switch vers une alternative (alternatives anesthésiques pour sédation procédurale — propofol, kétamine).</w:t>
      </w:r>
    </w:p>
    <w:p>
      <w:pPr>
        <w:pStyle w:val="ListBullet"/>
      </w:pPr>
      <w:r/>
      <w:r>
        <w:rPr>
          <w:b/>
        </w:rPr>
        <w:t>En cas de surdosage massif</w:t>
      </w:r>
      <w:r>
        <w:t xml:space="preserve"> (intentionnel ou accidentel) : hospitalisation réanimation, intubation-ventilation mécanique si coma, flumazénil IV (cf. supra — précautions), surveillance prolongée 6-12 h (resédation possible).</w:t>
      </w:r>
    </w:p>
    <w:p>
      <w:r/>
      <w:r>
        <w:rPr>
          <w:b/>
        </w:rPr>
        <w:t>Interactions Importantes :</w:t>
      </w:r>
      <w:r/>
    </w:p>
    <w:p>
      <w:pPr>
        <w:pStyle w:val="ListBullet"/>
      </w:pPr>
      <w:r/>
      <w:r>
        <w:rPr>
          <w:b/>
        </w:rPr>
        <w:t>BZD + opioïdes</w:t>
      </w:r>
      <w:r>
        <w:t xml:space="preserve"> (morphine, codéine, oxycodone, fentanyl, tramadol, méthadone, buprénorphine) : </w:t>
      </w:r>
      <w:r>
        <w:rPr>
          <w:b/>
        </w:rPr>
        <w:t>dépression respiratoire synergique parfois létale</w:t>
      </w:r>
      <w:r>
        <w:t xml:space="preserve"> — warning ANSM 2017 (France) et FDA (États-Unis) — précaution extrême, prescription concomitante uniquement si nécessité absolue, réduction posologique des deux molécules, monitoring respiratoire continu, information du patient et de l'entourage sur les signes d'alerte (somnolence excessive, ronflement, cyanose, difficulté à réveiller).</w:t>
      </w:r>
    </w:p>
    <w:p>
      <w:pPr>
        <w:pStyle w:val="ListBullet"/>
      </w:pPr>
      <w:r/>
      <w:r>
        <w:rPr>
          <w:b/>
        </w:rPr>
        <w:t>BZD + alcool</w:t>
      </w:r>
      <w:r>
        <w:t xml:space="preserve"> : potentialisation pharmacodynamique majeure — risque de dépression respiratoire, coma — contre-indication à la consommation d'alcool pendant le traitement.</w:t>
      </w:r>
    </w:p>
    <w:p>
      <w:pPr>
        <w:pStyle w:val="ListBullet"/>
      </w:pPr>
      <w:r/>
      <w:r>
        <w:rPr>
          <w:b/>
        </w:rPr>
        <w:t>BZD + autres dépresseurs du SNC</w:t>
      </w:r>
      <w:r>
        <w:t xml:space="preserve"> : antihistaminiques H1 sédatifs (hydroxyzine, alimémazine), autres BZD, antidépresseurs tricycliques, antipsychotiques, gabapentinoïdes (gabapentine, prégabaline) — potentialisation pharmacodynamique additive.</w:t>
      </w:r>
    </w:p>
    <w:p>
      <w:pPr>
        <w:pStyle w:val="ListBullet"/>
      </w:pPr>
      <w:r/>
      <w:r>
        <w:rPr>
          <w:b/>
        </w:rPr>
        <w:t>BZD + inducteurs enzymatiques</w:t>
      </w:r>
      <w:r>
        <w:t xml:space="preserve"> (CYP3A4) : rifampicine, carbamazépine, phénobarbital, phénytoïne, millepertuis (Hypericum perforatum), efavirenz, nevirapine → baisse du diazépam et du midazolam → risque de récidive des crises. Surveiller, adapter les doses.</w:t>
      </w:r>
    </w:p>
    <w:p>
      <w:pPr>
        <w:pStyle w:val="ListBullet"/>
      </w:pPr>
      <w:r/>
      <w:r>
        <w:rPr>
          <w:b/>
        </w:rPr>
        <w:t>BZD + inhibiteurs enzymatiques</w:t>
      </w:r>
      <w:r>
        <w:t xml:space="preserve"> (CYP3A4) : kétoconazole, itraconazole, voriconazole, fluconazole, clarithromycine, érythromycine, ritonavir, saquinavir, atazanavir, fluvoxamine, fluoxétine, cimétidine, oméprazole, diltiazem, vérapamil, grapefruit juice (inhibition intestinale CYP3A4) → augmentation du diazépam et du midazolam → risque toxique (sédation excessive, dépression respiratoire). Surveiller, réduire la dose. </w:t>
      </w:r>
      <w:r>
        <w:rPr>
          <w:b/>
        </w:rPr>
        <w:t>Particularité midazolam</w:t>
      </w:r>
      <w:r>
        <w:t xml:space="preserve"> : augmentation majeure par les antiprotéases (ritonavir, saquinavir — contre-indication relative pour le midazolam oral — risque de coma prolongé).</w:t>
      </w:r>
    </w:p>
    <w:p>
      <w:pPr>
        <w:pStyle w:val="ListBullet"/>
      </w:pPr>
      <w:r/>
      <w:r>
        <w:rPr>
          <w:b/>
        </w:rPr>
        <w:t>BZD + valproate</w:t>
      </w:r>
      <w:r>
        <w:t xml:space="preserve"> : augmentation modeste du diazépam et du lorazépam (inhibition CYP3A4 et déplacement protéique mineur) — surveillance clinique.</w:t>
      </w:r>
    </w:p>
    <w:p>
      <w:pPr>
        <w:pStyle w:val="ListBullet"/>
      </w:pPr>
      <w:r/>
      <w:r>
        <w:rPr>
          <w:b/>
        </w:rPr>
        <w:t>BZD + phénytoïne</w:t>
      </w:r>
      <w:r>
        <w:t xml:space="preserve"> : interaction variable — généralement pas d'effet significatif, mais surveiller les deux taux.</w:t>
      </w:r>
    </w:p>
    <w:p>
      <w:pPr>
        <w:pStyle w:val="ListBullet"/>
      </w:pPr>
      <w:r/>
      <w:r>
        <w:rPr>
          <w:b/>
        </w:rPr>
        <w:t>BZD + contraceptifs oraux estroprogestatifs</w:t>
      </w:r>
      <w:r>
        <w:t xml:space="preserve"> : induction enzymatique modeste par les estrogènes → baisse possible du diazépam et du midazolam — surveillance clinique.</w:t>
      </w:r>
    </w:p>
    <w:p>
      <w:pPr>
        <w:pStyle w:val="ListBullet"/>
      </w:pPr>
      <w:r/>
      <w:r>
        <w:rPr>
          <w:b/>
        </w:rPr>
        <w:t>BZD + anti-H2 (cimétidine)</w:t>
      </w:r>
      <w:r>
        <w:t xml:space="preserve"> : inhibition du métabolisme → augmentation du diazépam — surveillance clinique.</w:t>
      </w:r>
    </w:p>
    <w:p>
      <w:pPr>
        <w:pStyle w:val="ListBullet"/>
      </w:pPr>
      <w:r/>
      <w:r>
        <w:rPr>
          <w:b/>
        </w:rPr>
        <w:t>BZD + théophylline</w:t>
      </w:r>
      <w:r>
        <w:t xml:space="preserve"> : antagonisme pharmacodynamique (la théophylline est stimulante centrale — peut réduire l'effet sédatif des BZD — surveillance clinique).</w:t>
      </w:r>
    </w:p>
    <w:p>
      <w:r/>
      <w:r>
        <w:rPr>
          <w:b/>
        </w:rPr>
        <w:t>Grossesse et Allaitement :</w:t>
      </w:r>
      <w:r/>
    </w:p>
    <w:p>
      <w:pPr>
        <w:pStyle w:val="ListBullet"/>
      </w:pPr>
      <w:r>
        <w:t xml:space="preserve">Grossesse : selon le CRAT, les BZD (diazépam, midazolam, lorazépam) sont classées « à éviter » (équivalent ancien : catégorie D). Risque malformatif modéré (fente labio-palatine — données limitées, malformations cardiaques — incertaines, surtout au 1er trimestre). </w:t>
      </w:r>
      <w:r>
        <w:rPr>
          <w:b/>
        </w:rPr>
        <w:t>Risque majeur de syndrome de sevrage néonatal</w:t>
      </w:r>
      <w:r>
        <w:t xml:space="preserve"> si prise en fin de grossesse (hypotonie, difficultés d'alimentation, détresse respiratoire, hypothermie, convulsions néonatales — syndrome du "floppy baby"). Risque dose-dépendant et surtout dépendant de la durée d'utilisation en fin de grossesse.</w:t>
      </w:r>
    </w:p>
    <w:p>
      <w:pPr>
        <w:pStyle w:val="ListBullet"/>
      </w:pPr>
      <w:r/>
      <w:r>
        <w:rPr>
          <w:b/>
        </w:rPr>
        <w:t>Conduite à tenir</w:t>
      </w:r>
      <w:r>
        <w:t xml:space="preserve"> : (1) </w:t>
      </w:r>
      <w:r>
        <w:rPr>
          <w:b/>
        </w:rPr>
        <w:t>pré-conceptionnel</w:t>
      </w:r>
      <w:r>
        <w:t xml:space="preserve"> : arrêt des BZD si possible, ou switch vers une alternative non BZD (lamotrigine pour l'épilepsie, IRS pour l'anxiété) ; (2) si grossesse déjà engagée : ne pas arrêter brutalement (risque de mal convulsif pour le diazépam/lorazépam en traitement antiépileptique prolongé), consultation neurologie-périnatale, supplementation acide folique 5 mg/jour, surveillance échographique spécialisée, déclaration à la pharmacovigilance, anticipation de la prise en charge néonatale (maternité de niveau 3, surveillance 5-10 jours post-partum, traitement de sevrage néonatal si nécessaire par phénobarbital selon protocole). Pour l'indication EME (urgence vitale maternelle — risque vital pour la mère et le fœtus en cas de convulsions prolongées), les BZD restent </w:t>
      </w:r>
      <w:r>
        <w:rPr>
          <w:b/>
        </w:rPr>
        <w:t>indiquées en urgence</w:t>
      </w:r>
      <w:r>
        <w:t xml:space="preserve"> quel que soit le terme — la préservation de la vie maternelle prime sur le risque tératogène.</w:t>
      </w:r>
    </w:p>
    <w:p>
      <w:pPr>
        <w:pStyle w:val="ListBullet"/>
      </w:pPr>
      <w:r>
        <w:t>Allaitement : selon le CRAT et l'OMS, compatible avec surveillance stricte (rapport concentration lait/plasma = 0,2-0,4 selon la molécule — dose ingérée par le nourrisson ≈ 1-5 % de la dose maternelle pondérée). Surveillance : sédation, hypotonie, mauvaise succion, troubles de la croissance, évaluation du score de sevrage néonatal. Préférer une alternative non BZD si allaitement prolongé prévu. Les BZD peuvent être utilisées si le bénéfice maternel l'emporte et en cas d'impossibilité de switch. Particularité : le midazolam a une demi-vie courte (1,5-3 h) — compatible avec allaitement en décalant la prise (4 h après l'administration).</w:t>
      </w:r>
    </w:p>
    <w:p>
      <w:pPr>
        <w:pStyle w:val="ListBullet"/>
      </w:pPr>
      <w:r>
        <w:t>Précisions : supplémentation acide folique 5 mg/jour pré-conceptionnelle et pendant la grossesse ; surveillance échographique trimestrielle ; accouchement en milieu spécialisé (maternité de niveau 3 — anticipation de la prise en charge néonatale).</w:t>
      </w:r>
    </w:p>
    <w:p>
      <w:r/>
      <w:r>
        <w:rPr>
          <w:b/>
        </w:rPr>
        <w:t>Posologie et Mode d'administration (Standard) :</w:t>
      </w:r>
      <w:r/>
    </w:p>
    <w:p>
      <w:pPr>
        <w:pStyle w:val="Heading4"/>
      </w:pPr>
      <w:r>
        <w:t>5.1. Diazépam</w:t>
      </w:r>
    </w:p>
    <w:p>
      <w:pPr>
        <w:pStyle w:val="ListBullet"/>
      </w:pPr>
      <w:r>
        <w:t>Adulte :</w:t>
      </w:r>
    </w:p>
    <w:p>
      <w:pPr>
        <w:pStyle w:val="ListBullet"/>
      </w:pPr>
      <w:r/>
      <w:r>
        <w:rPr>
          <w:b/>
        </w:rPr>
        <w:t>EME (IV)</w:t>
      </w:r>
      <w:r>
        <w:t xml:space="preserve"> : 10 mg IV lente (≤ 5 mg/min, soit 1 mL/30 s) à renouveler après 5-10 min si persistance des crises (sans dépasser 30 mg total). À suivre par phénytoïne IV (cf. fiche 1) ou phénobarbital IV (cf. fiche 2) si récidive.</w:t>
      </w:r>
    </w:p>
    <w:p>
      <w:pPr>
        <w:pStyle w:val="ListBullet"/>
      </w:pPr>
      <w:r/>
      <w:r>
        <w:rPr>
          <w:b/>
        </w:rPr>
        <w:t>EME (intrarectal)</w:t>
      </w:r>
      <w:r>
        <w:t xml:space="preserve"> : 10-20 mg (1 flacon de 10 mg/2 mL) en intrarectal (à l'aide d'une canule souple ou d'une seringue sans aiguille) — utile en milieu pré-hospitalier (SMUR, pompiers) ou en l'absence d'abord veineux.</w:t>
      </w:r>
    </w:p>
    <w:p>
      <w:pPr>
        <w:pStyle w:val="ListBullet"/>
      </w:pPr>
      <w:r/>
      <w:r>
        <w:rPr>
          <w:b/>
        </w:rPr>
        <w:t>Crises fébriles de l'enfant</w:t>
      </w:r>
      <w:r>
        <w:t xml:space="preserve"> (intrarectal) : 0,5 mg/kg en intrarectal (sans dépasser 10 mg total).</w:t>
      </w:r>
    </w:p>
    <w:p>
      <w:pPr>
        <w:pStyle w:val="ListBullet"/>
      </w:pPr>
      <w:r/>
      <w:r>
        <w:rPr>
          <w:b/>
        </w:rPr>
        <w:t>Convulsions du sevrage alcoolique</w:t>
      </w:r>
      <w:r>
        <w:t xml:space="preserve"> (IV) : 10 mg IV lente, à renouveler selon protocole (parfois 20-40 mg IV sur les premières 2 h).</w:t>
      </w:r>
    </w:p>
    <w:p>
      <w:pPr>
        <w:pStyle w:val="ListBullet"/>
      </w:pPr>
      <w:r/>
      <w:r>
        <w:rPr>
          <w:b/>
        </w:rPr>
        <w:t>Anxiolytique</w:t>
      </w:r>
      <w:r>
        <w:t xml:space="preserve"> (orale — hors indication EME) : 2-10 mg/jour en 1 à 3 prises, durée maximale 12 semaines selon recommandations HAS.</w:t>
      </w:r>
    </w:p>
    <w:p>
      <w:pPr>
        <w:pStyle w:val="ListBullet"/>
      </w:pPr>
      <w:r>
        <w:t>Enfant :</w:t>
      </w:r>
    </w:p>
    <w:p>
      <w:pPr>
        <w:pStyle w:val="ListBullet"/>
      </w:pPr>
      <w:r/>
      <w:r>
        <w:rPr>
          <w:b/>
        </w:rPr>
        <w:t>EME (IV)</w:t>
      </w:r>
      <w:r>
        <w:t xml:space="preserve"> : 0,3 mg/kg IV lente (sans dépasser 5 mg/dose, ni 10 mg total).</w:t>
      </w:r>
    </w:p>
    <w:p>
      <w:pPr>
        <w:pStyle w:val="ListBullet"/>
      </w:pPr>
      <w:r/>
      <w:r>
        <w:rPr>
          <w:b/>
        </w:rPr>
        <w:t>EME (intrarectal)</w:t>
      </w:r>
      <w:r>
        <w:t xml:space="preserve"> : 0,5 mg/kg intrarectal.</w:t>
      </w:r>
    </w:p>
    <w:p>
      <w:pPr>
        <w:pStyle w:val="ListBullet"/>
      </w:pPr>
      <w:r>
        <w:t>Adaptation posologique : sujet âgé — réduction de 25-50 % initiale ; insuffisance hépatique — réduction de 25-50 % initiale ; insuffisance rénale — surveillance accrue ; insuffisance respiratoire — réduction de 50 % initiale, contre-indication si sévère.</w:t>
      </w:r>
    </w:p>
    <w:p>
      <w:pPr>
        <w:pStyle w:val="Heading4"/>
      </w:pPr>
      <w:r>
        <w:t>5.2. Lorazépam</w:t>
      </w:r>
    </w:p>
    <w:p>
      <w:pPr>
        <w:pStyle w:val="ListBullet"/>
      </w:pPr>
      <w:r>
        <w:t>Adulte :</w:t>
      </w:r>
    </w:p>
    <w:p>
      <w:pPr>
        <w:pStyle w:val="ListBullet"/>
      </w:pPr>
      <w:r/>
      <w:r>
        <w:rPr>
          <w:b/>
        </w:rPr>
        <w:t>EME (IV)</w:t>
      </w:r>
      <w:r>
        <w:t xml:space="preserve"> : 4 mg IV lente (≤ 2 mg/min) à renouveler après 10-15 min si persistance des crises (sans dépasser 8 mg total). Gold standard international pour l'EME hospitalier selon l'essai Treiman 1998 NEJM (supériorité sur le diazépam IV). </w:t>
      </w:r>
      <w:r>
        <w:rPr>
          <w:b/>
        </w:rPr>
        <w:t>Limite algérienne</w:t>
      </w:r>
      <w:r>
        <w:t xml:space="preserve"> : forme IV non disponible — utiliser le diazépam IV à la place.</w:t>
      </w:r>
    </w:p>
    <w:p>
      <w:pPr>
        <w:pStyle w:val="ListBullet"/>
      </w:pPr>
      <w:r/>
      <w:r>
        <w:rPr>
          <w:b/>
        </w:rPr>
        <w:t>Anxiolytique</w:t>
      </w:r>
      <w:r>
        <w:t xml:space="preserve"> (orale — hors indication EME) : 1-4 mg/jour en 1 à 3 prises, durée maximale 12 semaines selon recommandations HAS.</w:t>
      </w:r>
    </w:p>
    <w:p>
      <w:pPr>
        <w:pStyle w:val="ListBullet"/>
      </w:pPr>
      <w:r>
        <w:t>Enfant :</w:t>
      </w:r>
    </w:p>
    <w:p>
      <w:pPr>
        <w:pStyle w:val="ListBullet"/>
      </w:pPr>
      <w:r/>
      <w:r>
        <w:rPr>
          <w:b/>
        </w:rPr>
        <w:t>EME (IV)</w:t>
      </w:r>
      <w:r>
        <w:t xml:space="preserve"> : 0,1 mg/kg IV lente (sans dépasser 4 mg/dose).</w:t>
      </w:r>
    </w:p>
    <w:p>
      <w:pPr>
        <w:pStyle w:val="ListBullet"/>
      </w:pPr>
      <w:r>
        <w:t>Adaptation posologique : sujet âgé — réduction de 25-50 % initiale ; insuffisance hépatique — réduction de 25-50 % initiale ; insuffisance rénale — surveillance accrue.</w:t>
      </w:r>
    </w:p>
    <w:p>
      <w:pPr>
        <w:pStyle w:val="Heading4"/>
      </w:pPr>
      <w:r>
        <w:t>5.3. Midazolam</w:t>
      </w:r>
    </w:p>
    <w:p>
      <w:pPr>
        <w:pStyle w:val="ListBullet"/>
      </w:pPr>
      <w:r>
        <w:t>Adulte :</w:t>
      </w:r>
    </w:p>
    <w:p>
      <w:pPr>
        <w:pStyle w:val="ListBullet"/>
      </w:pPr>
      <w:r/>
      <w:r>
        <w:rPr>
          <w:b/>
        </w:rPr>
        <w:t>EME pré-hospitalier (IM)</w:t>
      </w:r>
      <w:r>
        <w:t xml:space="preserve"> : 10 mg IM (voie deltoïdienne) — protocole RAMPART 2011 NEJM (supériorité sur le diazépam IV en milieu pré-hospitalier — délai d'administration plus court, efficacité comparable). Alternative à l'AMM Algérie : 10 mg IM par voie deltoïdienne.</w:t>
      </w:r>
    </w:p>
    <w:p>
      <w:pPr>
        <w:pStyle w:val="ListBullet"/>
      </w:pPr>
      <w:r/>
      <w:r>
        <w:rPr>
          <w:b/>
        </w:rPr>
        <w:t>EME hospitalier (IV)</w:t>
      </w:r>
      <w:r>
        <w:t xml:space="preserve"> : 5-10 mg IV lente (≤ 1 mg/30 s), à renouveler si nécessaire (sans dépasser 20 mg total en 30 min).</w:t>
      </w:r>
    </w:p>
    <w:p>
      <w:pPr>
        <w:pStyle w:val="ListBullet"/>
      </w:pPr>
      <w:r/>
      <w:r>
        <w:rPr>
          <w:b/>
        </w:rPr>
        <w:t>Sédation procédurale (IV)</w:t>
      </w:r>
      <w:r>
        <w:t xml:space="preserve"> : 0,02-0,05 mg/kg IV lente (1-3 mg IV typique adulte), titration par paliers de 1 mg.</w:t>
      </w:r>
    </w:p>
    <w:p>
      <w:pPr>
        <w:pStyle w:val="ListBullet"/>
      </w:pPr>
      <w:r/>
      <w:r>
        <w:rPr>
          <w:b/>
        </w:rPr>
        <w:t>Prémédication anesthésique (IM)</w:t>
      </w:r>
      <w:r>
        <w:t xml:space="preserve"> : 0,07-0,1 mg/kg IM, 30 min avant l'induction anesthésique (5-7 mg IM adulte typique).</w:t>
      </w:r>
    </w:p>
    <w:p>
      <w:pPr>
        <w:pStyle w:val="ListBullet"/>
      </w:pPr>
      <w:r/>
      <w:r>
        <w:rPr>
          <w:b/>
        </w:rPr>
        <w:t>Induction anesthésique (IV)</w:t>
      </w:r>
      <w:r>
        <w:t xml:space="preserve"> : 0,15-0,3 mg/kg IV (10-20 mg IV adulte typique).</w:t>
      </w:r>
    </w:p>
    <w:p>
      <w:pPr>
        <w:pStyle w:val="ListBullet"/>
      </w:pPr>
      <w:r/>
      <w:r>
        <w:rPr>
          <w:b/>
        </w:rPr>
        <w:t>Sédation prolongée réanimation (perfusion continue)</w:t>
      </w:r>
      <w:r>
        <w:t xml:space="preserve"> : 0,02-0,2 mg/kg/h en perfusion continue (adaptation selon profondeur de sédation — échelle Richmond RASS).</w:t>
      </w:r>
    </w:p>
    <w:p>
      <w:pPr>
        <w:pStyle w:val="ListBullet"/>
      </w:pPr>
      <w:r>
        <w:t>Enfant :</w:t>
      </w:r>
    </w:p>
    <w:p>
      <w:pPr>
        <w:pStyle w:val="ListBullet"/>
      </w:pPr>
      <w:r/>
      <w:r>
        <w:rPr>
          <w:b/>
        </w:rPr>
        <w:t>EME (IM)</w:t>
      </w:r>
      <w:r>
        <w:t xml:space="preserve"> : 0,2 mg/kg IM (sans dépasser 10 mg total).</w:t>
      </w:r>
    </w:p>
    <w:p>
      <w:pPr>
        <w:pStyle w:val="ListBullet"/>
      </w:pPr>
      <w:r/>
      <w:r>
        <w:rPr>
          <w:b/>
        </w:rPr>
        <w:t>EME (IV)</w:t>
      </w:r>
      <w:r>
        <w:t xml:space="preserve"> : 0,1-0,2 mg/kg IV lente (sans dépasser 5 mg/dose).</w:t>
      </w:r>
    </w:p>
    <w:p>
      <w:pPr>
        <w:pStyle w:val="ListBullet"/>
      </w:pPr>
      <w:r/>
      <w:r>
        <w:rPr>
          <w:b/>
        </w:rPr>
        <w:t>Sédation procédurale (IV)</w:t>
      </w:r>
      <w:r>
        <w:t xml:space="preserve"> : 0,05-0,1 mg/kg IV lente.</w:t>
      </w:r>
    </w:p>
    <w:p>
      <w:pPr>
        <w:pStyle w:val="ListBullet"/>
      </w:pPr>
      <w:r/>
      <w:r>
        <w:rPr>
          <w:b/>
        </w:rPr>
        <w:t>Sédation procédurale (intrabuccal/intranasal)</w:t>
      </w:r>
      <w:r>
        <w:t xml:space="preserve"> : 0,2-0,5 mg/kg (voie d'urgence pré-hospitalière alternative — particulièrement utile chez l'enfant sans abord veineux).</w:t>
      </w:r>
    </w:p>
    <w:p>
      <w:pPr>
        <w:pStyle w:val="ListBullet"/>
      </w:pPr>
      <w:r>
        <w:t>Adaptation posologique : sujet âgé — réduction de 25-50 % initiale ; insuffisance hépatique — réduction de 25-50 % initiale ; insuffisance rénale — surveillance accrue ; insuffisance respiratoire — réduction de 50 % initiale, contre-indication si sévère.</w:t>
      </w:r>
    </w:p>
    <w:p>
      <w:pPr>
        <w:pStyle w:val="ListBullet"/>
      </w:pPr>
      <w:r>
        <w:t>Durée : usage unique pour l'EME (urgence), durée courte pour la sédation procédurale (minutes à heures), durée prolongée pour la sédation en réanimation (jours à semaines — risque de tolérance et de dépendance).</w:t>
      </w:r>
    </w:p>
    <w:p>
      <w:pPr>
        <w:pStyle w:val="ListBullet"/>
      </w:pPr>
      <w:r>
        <w:t>Moment de la prise : administration à la demande (urgence) ou selon protocole (anesthésie, réanimation).</w:t>
      </w:r>
    </w:p>
    <w:p>
      <w:r/>
      <w:r>
        <w:rPr>
          <w:b/>
        </w:rPr>
        <w:t>Arbitrage et Bénéfices des Formes Galéniques :</w:t>
      </w:r>
      <w:r/>
    </w:p>
    <w:p>
      <w:pPr>
        <w:pStyle w:val="ListBullet"/>
      </w:pPr>
      <w:r/>
      <w:r>
        <w:rPr>
          <w:b/>
        </w:rPr>
        <w:t>Diazépam solution injectable IM/IV/intrarectale</w:t>
      </w:r>
      <w:r>
        <w:t xml:space="preserve"> (VALOXIUM Frater Razes, VALZEPAM Saidal actifs ; DIAZEPAM Renaudin non renouvelable ; VALIUM Roche, PAX Pharmacare retirés) — forme essentielle pour l'EME hospitalier et pré-hospitalier. La polyvalence des voies d'administration (IM, IV lente, perfusion, intrarectal) en fait la BZD de référence pour les urgences en Algérie. La forme intrarectale est particulièrement utile en milieu pré-hospitalier (SMUR, pompiers, parents d'enfant épileptique) ou en l'absence d'abord veineux.</w:t>
      </w:r>
    </w:p>
    <w:p>
      <w:pPr>
        <w:pStyle w:val="ListBullet"/>
      </w:pPr>
      <w:r/>
      <w:r>
        <w:rPr>
          <w:b/>
        </w:rPr>
        <w:t>Diazépam solution buvable 1 % (10 mg/mL)</w:t>
      </w:r>
      <w:r>
        <w:t xml:space="preserve"> (XAVEL Biogalenic actif ; DIAZEPAM Renaudin, VALIUM Roche retirés) — galénique ambulatoire pour les indications anxiolytiques ou myorelaxantes (hors indication EME stricte — l'usage d'une solution buvable dans l'EME n'est pas recommandé en raison de la difficulté d'administration chez un patient convulsif).</w:t>
      </w:r>
    </w:p>
    <w:p>
      <w:pPr>
        <w:pStyle w:val="ListBullet"/>
      </w:pPr>
      <w:r/>
      <w:r>
        <w:rPr>
          <w:b/>
        </w:rPr>
        <w:t>Lorazépam comprimés 1 mg et 2,5 mg</w:t>
      </w:r>
      <w:r>
        <w:t xml:space="preserve"> (ANXIENAD Nadpharmadic, LORAZEPAM-AGD, MAPEZ, ORZEPAM, TEMESTA actifs ; NEVROSTAT, NEVROSTA Saidal non renouvelables ; LORANS Alfa Wassermann, TRANQUIPAM Pharmacare, LORAZEPAM LPA, LORAM LEK retirés) — galénique orale pour les indications anxiolytiques (hors indication EME — la forme IV n'étant pas disponible en Algérie, le lorazépam oral ne peut pas être utilisé comme alternative au lorazépam IV pour l'EME — préférer le diazépam IV).</w:t>
      </w:r>
    </w:p>
    <w:p>
      <w:pPr>
        <w:pStyle w:val="ListBullet"/>
      </w:pPr>
      <w:r/>
      <w:r>
        <w:rPr>
          <w:b/>
        </w:rPr>
        <w:t>Midazolam solution injectable IM/IV/rectale</w:t>
      </w:r>
      <w:r>
        <w:t xml:space="preserve"> (HIKMA MIDAZOLAM Hikma, HYPNOZOLAM Frater Razes, IPNODIS Medis, MIDAZOLAM INPHA-MEDIS, MIDAZOLAM MYLAN, SEDALAM El Kendi, SEDALAM MS Pharma actifs ; DORMICUM Roche retiré) — forme essentielle pour l'EME pré-hospitalier (voie IM), la sédation procédurale, l'induction anesthésique, et la sédation prolongée en réanimation (perfusion continue). Disponibilité de deux concentrations (5 mg/mL en ampoules 1 mL, 3 mL et 10 mL ; 1 mg/mL en ampoules 5 mL) — choix selon l'indication (5 mg/mL pour l'IM et l'IV directe ; 1 mg/mL pour la perfusion continue et la pédiatrie).</w:t>
      </w:r>
    </w:p>
    <w:p>
      <w:r/>
      <w:r>
        <w:rPr>
          <w:b/>
        </w:rPr>
        <w:t>Instructions et Conseils au Patient :</w:t>
      </w:r>
      <w:r/>
    </w:p>
    <w:p>
      <w:pPr>
        <w:pStyle w:val="ListBullet"/>
      </w:pPr>
      <w:r>
        <w:t>Communication au comptoir :</w:t>
      </w:r>
    </w:p>
    <w:p>
      <w:pPr>
        <w:pStyle w:val="ListBullet"/>
      </w:pPr>
      <w:r>
        <w:t>« Ce médicament est une benzodiazépine utilisée en URGENCE pour stopper une crise convulsive prolongée (état de mal épileptique) — il doit être administré par un médecin ou un infirmier en milieu hospitalier ou pré-hospitalier (SMUR). »</w:t>
      </w:r>
    </w:p>
    <w:p>
      <w:pPr>
        <w:pStyle w:val="ListBullet"/>
      </w:pPr>
      <w:r>
        <w:t>« Il peut provoquer une somnolence importante et une dépression respiratoire — surveillance médicale obligatoire pendant et après l'administration. »</w:t>
      </w:r>
    </w:p>
    <w:p>
      <w:pPr>
        <w:pStyle w:val="ListBullet"/>
      </w:pPr>
      <w:r>
        <w:t>« Évitez la consommation d'alcool — potentialisation majeure et risque de dépression respiratoire létale. Évitez également la prise concomitante d'antalgiques opioïdes (codéine, tramadol, morphine) sans avis médical. »</w:t>
      </w:r>
    </w:p>
    <w:p>
      <w:pPr>
        <w:pStyle w:val="ListBullet"/>
      </w:pPr>
      <w:r>
        <w:t>« Si vous êtes une femme en âge de procréer, parlez-en à votre médecin AVANT tout projet de grossesse — ce médicament est déconseillé pendant la grossesse (risque de malformations et de syndrome de sevrage néonatal) ; une contraception efficace est indispensable tout au long du traitement. »</w:t>
      </w:r>
    </w:p>
    <w:p>
      <w:pPr>
        <w:pStyle w:val="ListBullet"/>
      </w:pPr>
      <w:r>
        <w:t>« En cas d'utilisation ambulatoire (rare — anxiolytique), ne jamais arrêter brutalement (risque de sevrage — anxiété rebond, tremblements, insomnie, convulsions). »</w:t>
      </w:r>
    </w:p>
    <w:p>
      <w:pPr>
        <w:pStyle w:val="ListBullet"/>
      </w:pPr>
      <w:r>
        <w:t>Mode d'utilisation pratique :</w:t>
      </w:r>
    </w:p>
    <w:p>
      <w:pPr>
        <w:pStyle w:val="ListBullet"/>
      </w:pPr>
      <w:r/>
      <w:r>
        <w:rPr>
          <w:b/>
        </w:rPr>
        <w:t>Diazépam intrarectal</w:t>
      </w:r>
      <w:r>
        <w:t xml:space="preserve"> (urgence pré-hospitalière — parents d'enfant épileptique) : installer l'enfant en décubitus latéral (sécurité latérale), retirer le capuchon de l'ampoule, introduire l'embout de la seringue (sans aiguille) dans le rectum (3-5 cm), pousser le piston pour administrer la dose, maintenir les fesses serrées pendant 1-2 min pour éviter l'expulsion. Appeler le SAMU (numéro d'urgence local) immédiatement après administration.</w:t>
      </w:r>
    </w:p>
    <w:p>
      <w:pPr>
        <w:pStyle w:val="ListBullet"/>
      </w:pPr>
      <w:r/>
      <w:r>
        <w:rPr>
          <w:b/>
        </w:rPr>
        <w:t>Midazolam IM</w:t>
      </w:r>
      <w:r>
        <w:t xml:space="preserve"> (urgence pré-hospitalière — médecin ou infirmier) : injection IM dans le muscle deltoïde (ou vaste externe chez le nourrisson) — effet en 5-10 min.</w:t>
      </w:r>
    </w:p>
    <w:p>
      <w:pPr>
        <w:pStyle w:val="ListBullet"/>
      </w:pPr>
      <w:r/>
      <w:r>
        <w:rPr>
          <w:b/>
        </w:rPr>
        <w:t>Midazolam intrabuccal</w:t>
      </w:r>
      <w:r>
        <w:t xml:space="preserve"> (urgence pré-hospitalière — alternative à l'IM chez l'enfant sans abord veineux) : injection dans la joue (entre la gencive et la joue interne) — effet en 5 min.</w:t>
      </w:r>
    </w:p>
    <w:p>
      <w:pPr>
        <w:pStyle w:val="ListBullet"/>
      </w:pPr>
      <w:r/>
      <w:r>
        <w:rPr>
          <w:b/>
        </w:rPr>
        <w:t>Diazépam/Lorazépam IV</w:t>
      </w:r>
      <w:r>
        <w:t xml:space="preserve"> (urgence hospitalière — médecin ou infirmier) : injection IV lente (≤ 5 mg/min pour le diazépam, ≤ 2 mg/min pour le lorazépam) dans une voie veineuse périphérique de bon calibre — effet en 1-5 min.</w:t>
      </w:r>
    </w:p>
    <w:p>
      <w:pPr>
        <w:pStyle w:val="ListBullet"/>
      </w:pPr>
      <w:r>
        <w:t>En cas d'oubli d'une prise (anxiolytique ambulatoire — rare) : la prendre dans les 6 h si possible, sinon l'ignorer et reprendre l'horaire habituel — NE JAMAIS doubler la dose suivante.</w:t>
      </w:r>
    </w:p>
    <w:p>
      <w:r/>
      <w:r>
        <w:rPr>
          <w:b/>
        </w:rPr>
        <w:t>Notes, Règles d'Or &amp; Pièges au Comptoir :</w:t>
      </w:r>
      <w:r/>
    </w:p>
    <w:p>
      <w:pPr>
        <w:pStyle w:val="ListBullet"/>
      </w:pPr>
      <w:r>
        <w:t xml:space="preserve">Piège classique : </w:t>
      </w:r>
      <w:r>
        <w:rPr>
          <w:b/>
        </w:rPr>
        <w:t>dépression respiratoire après BZD IV</w:t>
      </w:r>
      <w:r>
        <w:t xml:space="preserve"> — risque vital — monitoring continu (ECG, SpO2, TA, FR) obligatoire, matériel de réanimation et flumazénil (Anexate®) à portée de main.</w:t>
      </w:r>
    </w:p>
    <w:p>
      <w:pPr>
        <w:pStyle w:val="ListBullet"/>
      </w:pPr>
      <w:r>
        <w:t xml:space="preserve">Piège classique : </w:t>
      </w:r>
      <w:r>
        <w:rPr>
          <w:b/>
        </w:rPr>
        <w:t>co-ingestion BZD + opioïdes</w:t>
      </w:r>
      <w:r>
        <w:t xml:space="preserve"> — risque de dépression respiratoire synergique parfois létale — warning ANSM 2017 — information systématique du patient et de l'entourage, prescription concomitante uniquement si nécessité absolue.</w:t>
      </w:r>
    </w:p>
    <w:p>
      <w:pPr>
        <w:pStyle w:val="ListBullet"/>
      </w:pPr>
      <w:r>
        <w:t xml:space="preserve">Piège classique : </w:t>
      </w:r>
      <w:r>
        <w:rPr>
          <w:b/>
        </w:rPr>
        <w:t>co-ingestion BZD + alcool</w:t>
      </w:r>
      <w:r>
        <w:t xml:space="preserve"> — potentialisation pharmacodynamique majeure — contre-indication à la consommation d'alcool pendant le traitement.</w:t>
      </w:r>
    </w:p>
    <w:p>
      <w:pPr>
        <w:pStyle w:val="ListBullet"/>
      </w:pPr>
      <w:r>
        <w:t xml:space="preserve">Piège classique : </w:t>
      </w:r>
      <w:r>
        <w:rPr>
          <w:b/>
        </w:rPr>
        <w:t>durée d'action courte du diazépam IV</w:t>
      </w:r>
      <w:r>
        <w:t xml:space="preserve"> (20-30 min) malgré sa longue demi-vie d'élimination (20-50 h) — risque de récidive de l'EME — toujours faire suivre le diazépam IV par la phénytoïne IV ou le phénobarbital IV (traitement de fond de l'EME — cf. fiches 1 et 2).</w:t>
      </w:r>
    </w:p>
    <w:p>
      <w:pPr>
        <w:pStyle w:val="ListBullet"/>
      </w:pPr>
      <w:r>
        <w:t xml:space="preserve">Piège classique : </w:t>
      </w:r>
      <w:r>
        <w:rPr>
          <w:b/>
        </w:rPr>
        <w:t>forme intraveineuse du lorazépam non disponible en Algérie</w:t>
      </w:r>
      <w:r>
        <w:t xml:space="preserve"> — limite l'usage du lorazépam IV dans l'EME hospitalier (gold standard international selon l'essai Treiman 1998 NEJM — préférer le diazépam IV en Algérie).</w:t>
      </w:r>
    </w:p>
    <w:p>
      <w:pPr>
        <w:pStyle w:val="ListBullet"/>
      </w:pPr>
      <w:r>
        <w:t xml:space="preserve">Piège classique : </w:t>
      </w:r>
      <w:r>
        <w:rPr>
          <w:b/>
        </w:rPr>
        <w:t>effet paradoxal chez l'enfant et le sujet âgé</w:t>
      </w:r>
      <w:r>
        <w:t xml:space="preserve"> — agitation, agressivité, dysinhibition — distinguer d'une aggravation de l'épilepsie — surveillance rapprochée.</w:t>
      </w:r>
    </w:p>
    <w:p>
      <w:pPr>
        <w:pStyle w:val="ListBullet"/>
      </w:pPr>
      <w:r>
        <w:t xml:space="preserve">Piège classique : </w:t>
      </w:r>
      <w:r>
        <w:rPr>
          <w:b/>
        </w:rPr>
        <w:t>amnésie antérograde très marquée après midazolam IV</w:t>
      </w:r>
      <w:r>
        <w:t xml:space="preserve"> — utile pour la sédation procédurale (patient ne se souvient pas du geste) mais à expliquer au patient en amont pour éviter l'angoisse post-procédure.</w:t>
      </w:r>
    </w:p>
    <w:p>
      <w:pPr>
        <w:pStyle w:val="ListBullet"/>
      </w:pPr>
      <w:r>
        <w:t xml:space="preserve">Piège classique : </w:t>
      </w:r>
      <w:r>
        <w:rPr>
          <w:b/>
        </w:rPr>
        <w:t>surdosage aigu</w:t>
      </w:r>
      <w:r>
        <w:t xml:space="preserve"> (intentionnel ou accidentel) — coma calme, hyporéflexie, hypoventilation centrale, hypotension — </w:t>
      </w:r>
      <w:r>
        <w:rPr>
          <w:b/>
        </w:rPr>
        <w:t>flumazénil (Anexate®) IV 0,2 mg en 30 s, puis 0,1 mg/min jusqu'à 1 mg max</w:t>
      </w:r>
      <w:r>
        <w:t xml:space="preserve"> (attention : demi-vie courte du flumazénil 40-80 min → resédation possible, surveillance prolongée 6-12 h ; risque de convulsions si patient dépendant chronique ou si co-ingestion d'antidépresseurs tricycliques — contre-indication relative).</w:t>
      </w:r>
    </w:p>
    <w:p>
      <w:pPr>
        <w:pStyle w:val="ListBullet"/>
      </w:pPr>
      <w:r>
        <w:t xml:space="preserve">Piège classique : </w:t>
      </w:r>
      <w:r>
        <w:rPr>
          <w:b/>
        </w:rPr>
        <w:t>tolérance pharmacodynamique en administration répétée</w:t>
      </w:r>
      <w:r>
        <w:t xml:space="preserve"> — baisse d'efficacité en quelques jours à semaines — ne pas augmenter automatiquement la dose (risque de dépendance et d'effets indésirables cognitifs) — préférer l'arrêt ou le switch thérapeutique.</w:t>
      </w:r>
    </w:p>
    <w:p>
      <w:pPr>
        <w:pStyle w:val="ListBullet"/>
      </w:pPr>
      <w:r>
        <w:t xml:space="preserve">Piège classique : </w:t>
      </w:r>
      <w:r>
        <w:rPr>
          <w:b/>
        </w:rPr>
        <w:t>syndrome de sevrage à l'arrêt brutal</w:t>
      </w:r>
      <w:r>
        <w:t xml:space="preserve"> — anxiété rebond, tremblements, insomnie, agitation, convulsions, état de mal épileptique — urgence vitale — arrêt TOUJOURS progressif sur plusieurs semaines en administration prolongée (réduction de 10-25 % par semaine).</w:t>
      </w:r>
    </w:p>
    <w:p>
      <w:pPr>
        <w:pStyle w:val="ListBullet"/>
      </w:pPr>
      <w:r>
        <w:t xml:space="preserve">Piège classique : </w:t>
      </w:r>
      <w:r>
        <w:rPr>
          <w:b/>
        </w:rPr>
        <w:t>interaction avec le propylène glycol</w:t>
      </w:r>
      <w:r>
        <w:t xml:space="preserve"> (solvant de la forme IV du diazépam) — toxicité propre (acidose métabolique hyperchlorémique, insuffisance rénale, dépassement osmolaire) en cas d'administration prolongée ou de fortes doses — surveillance du trou anionique et de l'osmolarité en réanimation.</w:t>
      </w:r>
    </w:p>
    <w:p>
      <w:pPr>
        <w:pStyle w:val="ListBullet"/>
      </w:pPr>
      <w:r>
        <w:t>Règle de prise : administration à la demande (urgence) ou selon protocole (anesthésie, réanimation), en milieu médicalisé.</w:t>
      </w:r>
    </w:p>
    <w:p>
      <w:pPr>
        <w:pStyle w:val="ListBullet"/>
      </w:pPr>
      <w:r>
        <w:t>Préparation et Conservation : solution injectable à conserver à température &lt; 25 °C (ne pas congeler), à l'abri de la lumière ; solution buvable à conserver après ouverture selon les recommandations du fabricant (généralement 6 mois, à l'abri de la lumière) ; ne pas mélanger avec d'autres médicaments dans la même tubulure (incompatibilités physiques — particulièrement pour le diazépam avec le NaCl à certaines concentrations — vérifier les tables de compatibilité).</w:t>
      </w:r>
    </w:p>
    <w:p>
      <w:pPr>
        <w:pStyle w:val="ListBullet"/>
      </w:pPr>
      <w:r>
        <w:t>Piège du surdosage / Substitution : si substitution entre marques (VALOXIUM ↔ VALZEPAM ↔ VALIUM pour le diazépam ; LORAZEPAM-AGD ↔ MAPEZ ↔ ORZEPAM ↔ TEMESTA pour le lorazépam ; HIKMA MIDAZOLAM ↔ HYPNOZOLAM ↔ IPNODIS ↔ MIDAZOLAM INPHA-MEDIS ↔ MIDAZOLAM MYLAN ↔ SEDALAM pour le midazolam), vérifier la stricte équivalence en mg et la concentration en mg/mL de la solution injectable — en particulier pour le midazolam (deux concentrations disponibles : 5 mg/mL et 1 mg/mL — risque d'erreur de dosage majeure).</w:t>
      </w:r>
    </w:p>
    <w:p>
      <w:pPr>
        <w:pStyle w:val="Heading2"/>
      </w:pPr>
      <w:r>
        <w:t>Tableau Comparatif des 5 DCI (Antiépileptiques anciens + BZD)</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w:t>
            </w:r>
          </w:p>
        </w:tc>
        <w:tc>
          <w:tcPr>
            <w:tcW w:type="dxa" w:w="1336"/>
          </w:tcPr>
          <w:p>
            <w:r>
              <w:rPr>
                <w:b/>
                <w:sz w:val="20"/>
              </w:rPr>
              <w:t>Posologie standard</w:t>
            </w:r>
          </w:p>
        </w:tc>
        <w:tc>
          <w:tcPr>
            <w:tcW w:type="dxa" w:w="1336"/>
          </w:tcPr>
          <w:p>
            <w:r>
              <w:rPr>
                <w:b/>
                <w:sz w:val="20"/>
              </w:rPr>
              <w:t>EI majeur</w:t>
            </w:r>
          </w:p>
        </w:tc>
        <w:tc>
          <w:tcPr>
            <w:tcW w:type="dxa" w:w="1336"/>
          </w:tcPr>
          <w:p>
            <w:r>
              <w:rPr>
                <w:b/>
                <w:sz w:val="20"/>
              </w:rPr>
              <w:t>CI majeure</w:t>
            </w:r>
          </w:p>
        </w:tc>
        <w:tc>
          <w:tcPr>
            <w:tcW w:type="dxa" w:w="1336"/>
          </w:tcPr>
          <w:p>
            <w:r>
              <w:rPr>
                <w:b/>
                <w:sz w:val="20"/>
              </w:rPr>
              <w:t>Grossesse (CRAT)</w:t>
            </w:r>
          </w:p>
        </w:tc>
      </w:tr>
      <w:tr>
        <w:tc>
          <w:tcPr>
            <w:tcW w:type="dxa" w:w="1336"/>
          </w:tcPr>
          <w:p>
            <w:r>
              <w:rPr>
                <w:sz w:val="20"/>
              </w:rPr>
              <w:t>**Phénytoïne**</w:t>
            </w:r>
          </w:p>
        </w:tc>
        <w:tc>
          <w:tcPr>
            <w:tcW w:type="dxa" w:w="1336"/>
          </w:tcPr>
          <w:p>
            <w:r>
              <w:rPr>
                <w:sz w:val="20"/>
              </w:rPr>
              <w:t>AE anciens — sels sodiques (hydantoïnes)</w:t>
            </w:r>
          </w:p>
        </w:tc>
        <w:tc>
          <w:tcPr>
            <w:tcW w:type="dxa" w:w="1336"/>
          </w:tcPr>
          <w:p>
            <w:r>
              <w:rPr>
                <w:sz w:val="20"/>
              </w:rPr>
              <w:t>Blocage use-dependent canaux Na+ voltage-dépendants (Nav1.1-1.6)</w:t>
            </w:r>
          </w:p>
        </w:tc>
        <w:tc>
          <w:tcPr>
            <w:tcW w:type="dxa" w:w="1336"/>
          </w:tcPr>
          <w:p>
            <w:r>
              <w:rPr>
                <w:sz w:val="20"/>
              </w:rPr>
              <w:t>200-500 mg/j PO ; 15-20 mg/kg IV (EME réfractaire)</w:t>
            </w:r>
          </w:p>
        </w:tc>
        <w:tc>
          <w:tcPr>
            <w:tcW w:type="dxa" w:w="1336"/>
          </w:tcPr>
          <w:p>
            <w:r>
              <w:rPr>
                <w:sz w:val="20"/>
              </w:rPr>
              <w:t>Cinétique non linéaire (Michaelis-Menten) ; hyperplasie gingivale (30-50 %) ; hirsutisme ; ataxie ; nystagmus ; ostéomalacie ; syndrome fœtal hydantoïne</w:t>
            </w:r>
          </w:p>
        </w:tc>
        <w:tc>
          <w:tcPr>
            <w:tcW w:type="dxa" w:w="1336"/>
          </w:tcPr>
          <w:p>
            <w:r>
              <w:rPr>
                <w:sz w:val="20"/>
              </w:rPr>
              <w:t>BAV non appareillé ; bradycardie sévère ; porphyrie ; grossesse</w:t>
            </w:r>
          </w:p>
        </w:tc>
        <w:tc>
          <w:tcPr>
            <w:tcW w:type="dxa" w:w="1336"/>
          </w:tcPr>
          <w:p>
            <w:r>
              <w:rPr>
                <w:sz w:val="20"/>
              </w:rPr>
              <w:t>À éviter (catégorie D) — syndrome fœtal hydantoïne (5-10 % malformations majeures) — supplémentation acide folique 5 mg/j pré-conceptionnel ; switch vers lamotrigine si possible</w:t>
            </w:r>
          </w:p>
        </w:tc>
      </w:tr>
      <w:tr>
        <w:tc>
          <w:tcPr>
            <w:tcW w:type="dxa" w:w="1336"/>
          </w:tcPr>
          <w:p>
            <w:r>
              <w:rPr>
                <w:sz w:val="20"/>
              </w:rPr>
              <w:t>**Phénobarbital**</w:t>
            </w:r>
          </w:p>
        </w:tc>
        <w:tc>
          <w:tcPr>
            <w:tcW w:type="dxa" w:w="1336"/>
          </w:tcPr>
          <w:p>
            <w:r>
              <w:rPr>
                <w:sz w:val="20"/>
              </w:rPr>
              <w:t>AE anciens — barbituriques</w:t>
            </w:r>
          </w:p>
        </w:tc>
        <w:tc>
          <w:tcPr>
            <w:tcW w:type="dxa" w:w="1336"/>
          </w:tcPr>
          <w:p>
            <w:r>
              <w:rPr>
                <w:sz w:val="20"/>
              </w:rPr>
              <w:t>Potentialisation GABA (site BZD distinct, prolonge ouverture canal Cl-) + blocage canaux Na+</w:t>
            </w:r>
          </w:p>
        </w:tc>
        <w:tc>
          <w:tcPr>
            <w:tcW w:type="dxa" w:w="1336"/>
          </w:tcPr>
          <w:p>
            <w:r>
              <w:rPr>
                <w:sz w:val="20"/>
              </w:rPr>
              <w:t>50-200 mg/j PO (monoprise vespérale) ; 20 mg/kg IM/IV (convulsions néonatales)</w:t>
            </w:r>
          </w:p>
        </w:tc>
        <w:tc>
          <w:tcPr>
            <w:tcW w:type="dxa" w:w="1336"/>
          </w:tcPr>
          <w:p>
            <w:r>
              <w:rPr>
                <w:sz w:val="20"/>
              </w:rPr>
              <w:t>Inducteur enzymatique massif (CYP3A4/2C9/2C19/UGT1A4) ; sédation ; troubles cognitifs ; dépression ; syndrome fœtal barbiturique</w:t>
            </w:r>
          </w:p>
        </w:tc>
        <w:tc>
          <w:tcPr>
            <w:tcW w:type="dxa" w:w="1336"/>
          </w:tcPr>
          <w:p>
            <w:r>
              <w:rPr>
                <w:sz w:val="20"/>
              </w:rPr>
              <w:t>Porphyrie aiguë ; myasthénie ; IR sévère ; grossesse</w:t>
            </w:r>
          </w:p>
        </w:tc>
        <w:tc>
          <w:tcPr>
            <w:tcW w:type="dxa" w:w="1336"/>
          </w:tcPr>
          <w:p>
            <w:r>
              <w:rPr>
                <w:sz w:val="20"/>
              </w:rPr>
              <w:t>À éviter (catégorie D) — syndrome fœtal barbiturique + sevrage néonatal + saignement néonatal (vitamine K1 1 mg IM à la naissance)</w:t>
            </w:r>
          </w:p>
        </w:tc>
      </w:tr>
      <w:tr>
        <w:tc>
          <w:tcPr>
            <w:tcW w:type="dxa" w:w="1336"/>
          </w:tcPr>
          <w:p>
            <w:r>
              <w:rPr>
                <w:sz w:val="20"/>
              </w:rPr>
              <w:t>**Éthosuximide**</w:t>
            </w:r>
          </w:p>
        </w:tc>
        <w:tc>
          <w:tcPr>
            <w:tcW w:type="dxa" w:w="1336"/>
          </w:tcPr>
          <w:p>
            <w:r>
              <w:rPr>
                <w:sz w:val="20"/>
              </w:rPr>
              <w:t>AE anciens — succinimides</w:t>
            </w:r>
          </w:p>
        </w:tc>
        <w:tc>
          <w:tcPr>
            <w:tcW w:type="dxa" w:w="1336"/>
          </w:tcPr>
          <w:p>
            <w:r>
              <w:rPr>
                <w:sz w:val="20"/>
              </w:rPr>
              <w:t>Blocage canaux Ca2+ voltage-dépendants type T (thalamiques — Cav3.1/3.2/3.3)</w:t>
            </w:r>
          </w:p>
        </w:tc>
        <w:tc>
          <w:tcPr>
            <w:tcW w:type="dxa" w:w="1336"/>
          </w:tcPr>
          <w:p>
            <w:r>
              <w:rPr>
                <w:sz w:val="20"/>
              </w:rPr>
              <w:t>500-1500 mg/j PO</w:t>
            </w:r>
          </w:p>
        </w:tc>
        <w:tc>
          <w:tcPr>
            <w:tcW w:type="dxa" w:w="1336"/>
          </w:tcPr>
          <w:p>
            <w:r>
              <w:rPr>
                <w:sz w:val="20"/>
              </w:rPr>
              <w:t>Effets GI (20-30 %) ; réactions psychotiques paradoxales chez l'enfant ; rash ; DRESS</w:t>
            </w:r>
          </w:p>
        </w:tc>
        <w:tc>
          <w:tcPr>
            <w:tcW w:type="dxa" w:w="1336"/>
          </w:tcPr>
          <w:p>
            <w:r>
              <w:rPr>
                <w:sz w:val="20"/>
              </w:rPr>
              <w:t>Hypersensibilité succinimides ; porphyrie (précaution)</w:t>
            </w:r>
          </w:p>
        </w:tc>
        <w:tc>
          <w:tcPr>
            <w:tcW w:type="dxa" w:w="1336"/>
          </w:tcPr>
          <w:p>
            <w:r>
              <w:rPr>
                <w:sz w:val="20"/>
              </w:rPr>
              <w:t>À éviter par prudence (catégorie C) — données limitées, préférer lamotrigine. **RETRAITÉ DU MARCHÉ ALGÉRIEN** → alternatives : valproate ou lamotrigine</w:t>
            </w:r>
          </w:p>
        </w:tc>
      </w:tr>
      <w:tr>
        <w:tc>
          <w:tcPr>
            <w:tcW w:type="dxa" w:w="1336"/>
          </w:tcPr>
          <w:p>
            <w:r>
              <w:rPr>
                <w:sz w:val="20"/>
              </w:rPr>
              <w:t>**Clonazépam**</w:t>
            </w:r>
          </w:p>
        </w:tc>
        <w:tc>
          <w:tcPr>
            <w:tcW w:type="dxa" w:w="1336"/>
          </w:tcPr>
          <w:p>
            <w:r>
              <w:rPr>
                <w:sz w:val="20"/>
              </w:rPr>
              <w:t>AE — Benzodiazépines (entretien)</w:t>
            </w:r>
          </w:p>
        </w:tc>
        <w:tc>
          <w:tcPr>
            <w:tcW w:type="dxa" w:w="1336"/>
          </w:tcPr>
          <w:p>
            <w:r>
              <w:rPr>
                <w:sz w:val="20"/>
              </w:rPr>
              <w:t>Agoniste positif allostérique GABA-A (augmente fréquence ouverture canal Cl-)</w:t>
            </w:r>
          </w:p>
        </w:tc>
        <w:tc>
          <w:tcPr>
            <w:tcW w:type="dxa" w:w="1336"/>
          </w:tcPr>
          <w:p>
            <w:r>
              <w:rPr>
                <w:sz w:val="20"/>
              </w:rPr>
              <w:t>1-8 mg/j PO en 2-3 prises</w:t>
            </w:r>
          </w:p>
        </w:tc>
        <w:tc>
          <w:tcPr>
            <w:tcW w:type="dxa" w:w="1336"/>
          </w:tcPr>
          <w:p>
            <w:r>
              <w:rPr>
                <w:sz w:val="20"/>
              </w:rPr>
              <w:t>Tolérance pharmacodynamique (qq semaines-mois) ; sédation ; troubles mnésiques ; dépendance ; syndrome de sevrage à l'arrêt brutal</w:t>
            </w:r>
          </w:p>
        </w:tc>
        <w:tc>
          <w:tcPr>
            <w:tcW w:type="dxa" w:w="1336"/>
          </w:tcPr>
          <w:p>
            <w:r>
              <w:rPr>
                <w:sz w:val="20"/>
              </w:rPr>
              <w:t>Myasthénie ; IR sévère ; IHC sévère ; grossesse ; allaitement si doses élevées</w:t>
            </w:r>
          </w:p>
        </w:tc>
        <w:tc>
          <w:tcPr>
            <w:tcW w:type="dxa" w:w="1336"/>
          </w:tcPr>
          <w:p>
            <w:r>
              <w:rPr>
                <w:sz w:val="20"/>
              </w:rPr>
              <w:t>À éviter (catégorie D) — risque syndrome sevrage néonatal (floppy baby) si prise en fin de grossesse</w:t>
            </w:r>
          </w:p>
        </w:tc>
      </w:tr>
      <w:tr>
        <w:tc>
          <w:tcPr>
            <w:tcW w:type="dxa" w:w="1336"/>
          </w:tcPr>
          <w:p>
            <w:r>
              <w:rPr>
                <w:sz w:val="20"/>
              </w:rPr>
              <w:t>**BZD urgence (diazépam/midazolam/lorazépam)**</w:t>
            </w:r>
          </w:p>
        </w:tc>
        <w:tc>
          <w:tcPr>
            <w:tcW w:type="dxa" w:w="1336"/>
          </w:tcPr>
          <w:p>
            <w:r>
              <w:rPr>
                <w:sz w:val="20"/>
              </w:rPr>
              <w:t>AE — Benzodiazépines (urgence EME)</w:t>
            </w:r>
          </w:p>
        </w:tc>
        <w:tc>
          <w:tcPr>
            <w:tcW w:type="dxa" w:w="1336"/>
          </w:tcPr>
          <w:p>
            <w:r>
              <w:rPr>
                <w:sz w:val="20"/>
              </w:rPr>
              <w:t>Agoniste positif allostérique GABA-A (idem clonazépam)</w:t>
            </w:r>
          </w:p>
        </w:tc>
        <w:tc>
          <w:tcPr>
            <w:tcW w:type="dxa" w:w="1336"/>
          </w:tcPr>
          <w:p>
            <w:r>
              <w:rPr>
                <w:sz w:val="20"/>
              </w:rPr>
              <w:t>Diazépam 10 mg IV/IR ; Midazolam 10 mg IM ; Lorazépam 4 mg IV</w:t>
            </w:r>
          </w:p>
        </w:tc>
        <w:tc>
          <w:tcPr>
            <w:tcW w:type="dxa" w:w="1336"/>
          </w:tcPr>
          <w:p>
            <w:r>
              <w:rPr>
                <w:sz w:val="20"/>
              </w:rPr>
              <w:t>Dépression respiratoire (apnée) — urgence vitale ; hypotension ; amnésie antérograde (midazolam ++) ; dépendance ; sevrage à l'arrêt</w:t>
            </w:r>
          </w:p>
        </w:tc>
        <w:tc>
          <w:tcPr>
            <w:tcW w:type="dxa" w:w="1336"/>
          </w:tcPr>
          <w:p>
            <w:r>
              <w:rPr>
                <w:sz w:val="20"/>
              </w:rPr>
              <w:t>Myasthénie ; IR sévère ; IHC sévère ; glaucome angle fermé ; grossesse</w:t>
            </w:r>
          </w:p>
        </w:tc>
        <w:tc>
          <w:tcPr>
            <w:tcW w:type="dxa" w:w="1336"/>
          </w:tcPr>
          <w:p>
            <w:r>
              <w:rPr>
                <w:sz w:val="20"/>
              </w:rPr>
              <w:t>À éviter (catégorie D) — mais EME = urgence vitale maternelle — BZD restent indiquées quel que soit le terme</w:t>
            </w:r>
          </w:p>
        </w:tc>
      </w:tr>
    </w:tbl>
    <w:p/>
    <w:p>
      <w:pPr>
        <w:pStyle w:val="Heading2"/>
      </w:pPr>
      <w:r>
        <w:t>Tableau Comparatif des Formes Galéniques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DCI</w:t>
            </w:r>
          </w:p>
        </w:tc>
        <w:tc>
          <w:tcPr>
            <w:tcW w:type="dxa" w:w="1559"/>
          </w:tcPr>
          <w:p>
            <w:r>
              <w:rPr>
                <w:b/>
                <w:sz w:val="20"/>
              </w:rPr>
              <w:t>Forme orale comprimé</w:t>
            </w:r>
          </w:p>
        </w:tc>
        <w:tc>
          <w:tcPr>
            <w:tcW w:type="dxa" w:w="1559"/>
          </w:tcPr>
          <w:p>
            <w:r>
              <w:rPr>
                <w:b/>
                <w:sz w:val="20"/>
              </w:rPr>
              <w:t>Forme orale sirop/sol.buv.</w:t>
            </w:r>
          </w:p>
        </w:tc>
        <w:tc>
          <w:tcPr>
            <w:tcW w:type="dxa" w:w="1559"/>
          </w:tcPr>
          <w:p>
            <w:r>
              <w:rPr>
                <w:b/>
                <w:sz w:val="20"/>
              </w:rPr>
              <w:t>Forme injectable IV/IM</w:t>
            </w:r>
          </w:p>
        </w:tc>
        <w:tc>
          <w:tcPr>
            <w:tcW w:type="dxa" w:w="1559"/>
          </w:tcPr>
          <w:p>
            <w:r>
              <w:rPr>
                <w:b/>
                <w:sz w:val="20"/>
              </w:rPr>
              <w:t>Forme intrarectale</w:t>
            </w:r>
          </w:p>
        </w:tc>
        <w:tc>
          <w:tcPr>
            <w:tcW w:type="dxa" w:w="1559"/>
          </w:tcPr>
          <w:p>
            <w:r>
              <w:rPr>
                <w:b/>
                <w:sz w:val="20"/>
              </w:rPr>
              <w:t>Statut Algérie</w:t>
            </w:r>
          </w:p>
        </w:tc>
      </w:tr>
      <w:tr>
        <w:tc>
          <w:tcPr>
            <w:tcW w:type="dxa" w:w="1559"/>
          </w:tcPr>
          <w:p>
            <w:r>
              <w:rPr>
                <w:sz w:val="20"/>
              </w:rPr>
              <w:t>**Phénytoïne**</w:t>
            </w:r>
          </w:p>
        </w:tc>
        <w:tc>
          <w:tcPr>
            <w:tcW w:type="dxa" w:w="1559"/>
          </w:tcPr>
          <w:p>
            <w:r>
              <w:rPr>
                <w:sz w:val="20"/>
              </w:rPr>
              <w:t>DI-HYDAN 100 mg (NR), PHENYTOINE CPCM 100 mg (R), EPILAN D 100 mg (R)</w:t>
            </w:r>
          </w:p>
        </w:tc>
        <w:tc>
          <w:tcPr>
            <w:tcW w:type="dxa" w:w="1559"/>
          </w:tcPr>
          <w:p>
            <w:r>
              <w:rPr>
                <w:sz w:val="20"/>
              </w:rPr>
              <w:t>Non disponible</w:t>
            </w:r>
          </w:p>
        </w:tc>
        <w:tc>
          <w:tcPr>
            <w:tcW w:type="dxa" w:w="1559"/>
          </w:tcPr>
          <w:p>
            <w:r>
              <w:rPr>
                <w:sz w:val="20"/>
              </w:rPr>
              <w:t>FENTEX 250 mg/5 mL (Actif)</w:t>
            </w:r>
          </w:p>
        </w:tc>
        <w:tc>
          <w:tcPr>
            <w:tcW w:type="dxa" w:w="1559"/>
          </w:tcPr>
          <w:p>
            <w:r>
              <w:rPr>
                <w:sz w:val="20"/>
              </w:rPr>
              <w:t>Non disponible</w:t>
            </w:r>
          </w:p>
        </w:tc>
        <w:tc>
          <w:tcPr>
            <w:tcW w:type="dxa" w:w="1559"/>
          </w:tcPr>
          <w:p>
            <w:r>
              <w:rPr>
                <w:sz w:val="20"/>
              </w:rPr>
              <w:t>Précaire — seule forme IV active</w:t>
            </w:r>
          </w:p>
        </w:tc>
      </w:tr>
      <w:tr>
        <w:tc>
          <w:tcPr>
            <w:tcW w:type="dxa" w:w="1559"/>
          </w:tcPr>
          <w:p>
            <w:r>
              <w:rPr>
                <w:sz w:val="20"/>
              </w:rPr>
              <w:t>**Phénobarbital**</w:t>
            </w:r>
          </w:p>
        </w:tc>
        <w:tc>
          <w:tcPr>
            <w:tcW w:type="dxa" w:w="1559"/>
          </w:tcPr>
          <w:p>
            <w:r>
              <w:rPr>
                <w:sz w:val="20"/>
              </w:rPr>
              <w:t>SEVENAL 50/100 mg (Actif), PHENOXAL 100 mg (Actif), NEUROLAL 50/100 mg (NR)</w:t>
            </w:r>
          </w:p>
        </w:tc>
        <w:tc>
          <w:tcPr>
            <w:tcW w:type="dxa" w:w="1559"/>
          </w:tcPr>
          <w:p>
            <w:r>
              <w:rPr>
                <w:sz w:val="20"/>
              </w:rPr>
              <w:t>Non disponible</w:t>
            </w:r>
          </w:p>
        </w:tc>
        <w:tc>
          <w:tcPr>
            <w:tcW w:type="dxa" w:w="1559"/>
          </w:tcPr>
          <w:p>
            <w:r>
              <w:rPr>
                <w:sz w:val="20"/>
              </w:rPr>
              <w:t>GARDENAL 40 mg lyophilisat (Actif), PHENOBARBITAL Renaudin 40 mg (NR)</w:t>
            </w:r>
          </w:p>
        </w:tc>
        <w:tc>
          <w:tcPr>
            <w:tcW w:type="dxa" w:w="1559"/>
          </w:tcPr>
          <w:p>
            <w:r>
              <w:rPr>
                <w:sz w:val="20"/>
              </w:rPr>
              <w:t>Non disponible</w:t>
            </w:r>
          </w:p>
        </w:tc>
        <w:tc>
          <w:tcPr>
            <w:tcW w:type="dxa" w:w="1559"/>
          </w:tcPr>
          <w:p>
            <w:r>
              <w:rPr>
                <w:sz w:val="20"/>
              </w:rPr>
              <w:t>Stable — formes orales et IV actives</w:t>
            </w:r>
          </w:p>
        </w:tc>
      </w:tr>
      <w:tr>
        <w:tc>
          <w:tcPr>
            <w:tcW w:type="dxa" w:w="1559"/>
          </w:tcPr>
          <w:p>
            <w:r>
              <w:rPr>
                <w:sz w:val="20"/>
              </w:rPr>
              <w:t>**Éthosuximide**</w:t>
            </w:r>
          </w:p>
        </w:tc>
        <w:tc>
          <w:tcPr>
            <w:tcW w:type="dxa" w:w="1559"/>
          </w:tcPr>
          <w:p>
            <w:r>
              <w:rPr>
                <w:sz w:val="20"/>
              </w:rPr>
              <w:t>ZARONTIN 250 mg (R), PETINIMID 250 mg (R)</w:t>
            </w:r>
          </w:p>
        </w:tc>
        <w:tc>
          <w:tcPr>
            <w:tcW w:type="dxa" w:w="1559"/>
          </w:tcPr>
          <w:p>
            <w:r>
              <w:rPr>
                <w:sz w:val="20"/>
              </w:rPr>
              <w:t>ZARONTIN sirop (R), PETINIMID sirop (R)</w:t>
            </w:r>
          </w:p>
        </w:tc>
        <w:tc>
          <w:tcPr>
            <w:tcW w:type="dxa" w:w="1559"/>
          </w:tcPr>
          <w:p>
            <w:r>
              <w:rPr>
                <w:sz w:val="20"/>
              </w:rPr>
              <w:t>Non disponible</w:t>
            </w:r>
          </w:p>
        </w:tc>
        <w:tc>
          <w:tcPr>
            <w:tcW w:type="dxa" w:w="1559"/>
          </w:tcPr>
          <w:p>
            <w:r>
              <w:rPr>
                <w:sz w:val="20"/>
              </w:rPr>
              <w:t>Non disponible</w:t>
            </w:r>
          </w:p>
        </w:tc>
        <w:tc>
          <w:tcPr>
            <w:tcW w:type="dxa" w:w="1559"/>
          </w:tcPr>
          <w:p>
            <w:r>
              <w:rPr>
                <w:sz w:val="20"/>
              </w:rPr>
              <w:t>**RETRAIT TOTAL — plus disponible**</w:t>
            </w:r>
          </w:p>
        </w:tc>
      </w:tr>
      <w:tr>
        <w:tc>
          <w:tcPr>
            <w:tcW w:type="dxa" w:w="1559"/>
          </w:tcPr>
          <w:p>
            <w:r>
              <w:rPr>
                <w:sz w:val="20"/>
              </w:rPr>
              <w:t>**Clonazépam**</w:t>
            </w:r>
          </w:p>
        </w:tc>
        <w:tc>
          <w:tcPr>
            <w:tcW w:type="dxa" w:w="1559"/>
          </w:tcPr>
          <w:p>
            <w:r>
              <w:rPr>
                <w:sz w:val="20"/>
              </w:rPr>
              <w:t>CLONA 2 mg (Actif), NOVATRIL 2 mg (Actif), RIVOMED 2 mg quadri-séc. (Actif), RIVOTRIL 2 mg (R)</w:t>
            </w:r>
          </w:p>
        </w:tc>
        <w:tc>
          <w:tcPr>
            <w:tcW w:type="dxa" w:w="1559"/>
          </w:tcPr>
          <w:p>
            <w:r>
              <w:rPr>
                <w:sz w:val="20"/>
              </w:rPr>
              <w:t>CLONA 2,5 mg/mL (Actif), RIVOMED 2,5 mg/mL (R), RIVOTRIL 2,5 mg/mL (R)</w:t>
            </w:r>
          </w:p>
        </w:tc>
        <w:tc>
          <w:tcPr>
            <w:tcW w:type="dxa" w:w="1559"/>
          </w:tcPr>
          <w:p>
            <w:r>
              <w:rPr>
                <w:sz w:val="20"/>
              </w:rPr>
              <w:t>Non disponible en Algérie (historique Rivotril amp 1 mg/mL retiré)</w:t>
            </w:r>
          </w:p>
        </w:tc>
        <w:tc>
          <w:tcPr>
            <w:tcW w:type="dxa" w:w="1559"/>
          </w:tcPr>
          <w:p>
            <w:r>
              <w:rPr>
                <w:sz w:val="20"/>
              </w:rPr>
              <w:t>Non disponible</w:t>
            </w:r>
          </w:p>
        </w:tc>
        <w:tc>
          <w:tcPr>
            <w:tcW w:type="dxa" w:w="1559"/>
          </w:tcPr>
          <w:p>
            <w:r>
              <w:rPr>
                <w:sz w:val="20"/>
              </w:rPr>
              <w:t>Stable — formes orales comprimé et sirop actives</w:t>
            </w:r>
          </w:p>
        </w:tc>
      </w:tr>
      <w:tr>
        <w:tc>
          <w:tcPr>
            <w:tcW w:type="dxa" w:w="1559"/>
          </w:tcPr>
          <w:p>
            <w:r>
              <w:rPr>
                <w:sz w:val="20"/>
              </w:rPr>
              <w:t>**Diazépam**</w:t>
            </w:r>
          </w:p>
        </w:tc>
        <w:tc>
          <w:tcPr>
            <w:tcW w:type="dxa" w:w="1559"/>
          </w:tcPr>
          <w:p>
            <w:r>
              <w:rPr>
                <w:sz w:val="20"/>
              </w:rPr>
              <w:t>Comprimés 2/5/10 mg (tous retirés ou non renouvelables)</w:t>
            </w:r>
          </w:p>
        </w:tc>
        <w:tc>
          <w:tcPr>
            <w:tcW w:type="dxa" w:w="1559"/>
          </w:tcPr>
          <w:p>
            <w:r>
              <w:rPr>
                <w:sz w:val="20"/>
              </w:rPr>
              <w:t>XAVEL 10 mg/mL (Actif)</w:t>
            </w:r>
          </w:p>
        </w:tc>
        <w:tc>
          <w:tcPr>
            <w:tcW w:type="dxa" w:w="1559"/>
          </w:tcPr>
          <w:p>
            <w:r>
              <w:rPr>
                <w:sz w:val="20"/>
              </w:rPr>
              <w:t>VALOXIUM 10 mg/2 mL (Actif), VALZEPAM 10 mg/2 mL (Actif)</w:t>
            </w:r>
          </w:p>
        </w:tc>
        <w:tc>
          <w:tcPr>
            <w:tcW w:type="dxa" w:w="1559"/>
          </w:tcPr>
          <w:p>
            <w:r>
              <w:rPr>
                <w:sz w:val="20"/>
              </w:rPr>
              <w:t>VALOXIUM (intrarectal — Actif)</w:t>
            </w:r>
          </w:p>
        </w:tc>
        <w:tc>
          <w:tcPr>
            <w:tcW w:type="dxa" w:w="1559"/>
          </w:tcPr>
          <w:p>
            <w:r>
              <w:rPr>
                <w:sz w:val="20"/>
              </w:rPr>
              <w:t>Stable — forme IV/IM/IR active et sol.buv. active</w:t>
            </w:r>
          </w:p>
        </w:tc>
      </w:tr>
      <w:tr>
        <w:tc>
          <w:tcPr>
            <w:tcW w:type="dxa" w:w="1559"/>
          </w:tcPr>
          <w:p>
            <w:r>
              <w:rPr>
                <w:sz w:val="20"/>
              </w:rPr>
              <w:t>**Lorazépam**</w:t>
            </w:r>
          </w:p>
        </w:tc>
        <w:tc>
          <w:tcPr>
            <w:tcW w:type="dxa" w:w="1559"/>
          </w:tcPr>
          <w:p>
            <w:r>
              <w:rPr>
                <w:sz w:val="20"/>
              </w:rPr>
              <w:t>ANXIENAD 1 mg (Actif), LORAZEPAM-AGD 1/2,5 mg (Actif), MAPEZ 1/2,5 mg (Actif), ORZEPAM 1/2,5 mg (Actif), TEMESTA 1/2,5 mg (Actif)</w:t>
            </w:r>
          </w:p>
        </w:tc>
        <w:tc>
          <w:tcPr>
            <w:tcW w:type="dxa" w:w="1559"/>
          </w:tcPr>
          <w:p>
            <w:r>
              <w:rPr>
                <w:sz w:val="20"/>
              </w:rPr>
              <w:t>Non disponible</w:t>
            </w:r>
          </w:p>
        </w:tc>
        <w:tc>
          <w:tcPr>
            <w:tcW w:type="dxa" w:w="1559"/>
          </w:tcPr>
          <w:p>
            <w:r>
              <w:rPr>
                <w:sz w:val="20"/>
              </w:rPr>
              <w:t>Non disponible en Algérie</w:t>
            </w:r>
          </w:p>
        </w:tc>
        <w:tc>
          <w:tcPr>
            <w:tcW w:type="dxa" w:w="1559"/>
          </w:tcPr>
          <w:p>
            <w:r>
              <w:rPr>
                <w:sz w:val="20"/>
              </w:rPr>
              <w:t>Non disponible</w:t>
            </w:r>
          </w:p>
        </w:tc>
        <w:tc>
          <w:tcPr>
            <w:tcW w:type="dxa" w:w="1559"/>
          </w:tcPr>
          <w:p>
            <w:r>
              <w:rPr>
                <w:sz w:val="20"/>
              </w:rPr>
              <w:t>Stable formes orales — mais forme IV manquante (limite l'usage EME hospitalier gold standard)</w:t>
            </w:r>
          </w:p>
        </w:tc>
      </w:tr>
      <w:tr>
        <w:tc>
          <w:tcPr>
            <w:tcW w:type="dxa" w:w="1559"/>
          </w:tcPr>
          <w:p>
            <w:r>
              <w:rPr>
                <w:sz w:val="20"/>
              </w:rPr>
              <w:t>**Midazolam**</w:t>
            </w:r>
          </w:p>
        </w:tc>
        <w:tc>
          <w:tcPr>
            <w:tcW w:type="dxa" w:w="1559"/>
          </w:tcPr>
          <w:p>
            <w:r>
              <w:rPr>
                <w:sz w:val="20"/>
              </w:rPr>
              <w:t>Non disponible</w:t>
            </w:r>
          </w:p>
        </w:tc>
        <w:tc>
          <w:tcPr>
            <w:tcW w:type="dxa" w:w="1559"/>
          </w:tcPr>
          <w:p>
            <w:r>
              <w:rPr>
                <w:sz w:val="20"/>
              </w:rPr>
              <w:t>Non disponible</w:t>
            </w:r>
          </w:p>
        </w:tc>
        <w:tc>
          <w:tcPr>
            <w:tcW w:type="dxa" w:w="1559"/>
          </w:tcPr>
          <w:p>
            <w:r>
              <w:rPr>
                <w:sz w:val="20"/>
              </w:rPr>
              <w:t>HIKMA MIDAZOLAM 5 mg/mL (Actif), HYPNOZOLAM 5 mg/mL (Actif), IPNODIS 5 mg/mL (Actif), MIDAZOLAM INPHA-MEDIS 5 mg/mL (Actif), MIDAZOLAM MYLAN 1 et 5 mg/mL (Actif), SEDALAM El Kendi 5 mg/mL (Actif), SEDALAM MS Pharma 1 mg/mL (Actif)</w:t>
            </w:r>
          </w:p>
        </w:tc>
        <w:tc>
          <w:tcPr>
            <w:tcW w:type="dxa" w:w="1559"/>
          </w:tcPr>
          <w:p>
            <w:r>
              <w:rPr>
                <w:sz w:val="20"/>
              </w:rPr>
              <w:t>HYPNOZOLAM (intrarectal — Actif), MIDAZOLAM INPHA-MEDIS (intrarectal — Actif), MIDAZOLAM MYLAN (intrarectal — Actif)</w:t>
            </w:r>
          </w:p>
        </w:tc>
        <w:tc>
          <w:tcPr>
            <w:tcW w:type="dxa" w:w="1559"/>
          </w:tcPr>
          <w:p>
            <w:r>
              <w:rPr>
                <w:sz w:val="20"/>
              </w:rPr>
              <w:t>Stable — formes IV/IM/IR actives, 2 concentrations disponibles</w:t>
            </w:r>
          </w:p>
        </w:tc>
      </w:tr>
    </w:tbl>
    <w:p/>
    <w:p>
      <w:pPr>
        <w:pStyle w:val="Heading2"/>
      </w:pPr>
      <w:r>
        <w:t>Tableau Comparatif des Cinétiques et Surveillances</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Demi-vie (h)</w:t>
            </w:r>
          </w:p>
        </w:tc>
        <w:tc>
          <w:tcPr>
            <w:tcW w:type="dxa" w:w="1336"/>
          </w:tcPr>
          <w:p>
            <w:r>
              <w:rPr>
                <w:b/>
                <w:sz w:val="20"/>
              </w:rPr>
              <w:t>Cinétique</w:t>
            </w:r>
          </w:p>
        </w:tc>
        <w:tc>
          <w:tcPr>
            <w:tcW w:type="dxa" w:w="1336"/>
          </w:tcPr>
          <w:p>
            <w:r>
              <w:rPr>
                <w:b/>
                <w:sz w:val="20"/>
              </w:rPr>
              <w:t>Liaison protéique</w:t>
            </w:r>
          </w:p>
        </w:tc>
        <w:tc>
          <w:tcPr>
            <w:tcW w:type="dxa" w:w="1336"/>
          </w:tcPr>
          <w:p>
            <w:r>
              <w:rPr>
                <w:b/>
                <w:sz w:val="20"/>
              </w:rPr>
              <w:t>Métabolisme</w:t>
            </w:r>
          </w:p>
        </w:tc>
        <w:tc>
          <w:tcPr>
            <w:tcW w:type="dxa" w:w="1336"/>
          </w:tcPr>
          <w:p>
            <w:r>
              <w:rPr>
                <w:b/>
                <w:sz w:val="20"/>
              </w:rPr>
              <w:t>TDM gamme thérapeutique</w:t>
            </w:r>
          </w:p>
        </w:tc>
        <w:tc>
          <w:tcPr>
            <w:tcW w:type="dxa" w:w="1336"/>
          </w:tcPr>
          <w:p>
            <w:r>
              <w:rPr>
                <w:b/>
                <w:sz w:val="20"/>
              </w:rPr>
              <w:t>Surveillance biologique</w:t>
            </w:r>
          </w:p>
        </w:tc>
      </w:tr>
      <w:tr>
        <w:tc>
          <w:tcPr>
            <w:tcW w:type="dxa" w:w="1336"/>
          </w:tcPr>
          <w:p>
            <w:r>
              <w:rPr>
                <w:sz w:val="20"/>
              </w:rPr>
              <w:t>**Phénytoïne**</w:t>
            </w:r>
          </w:p>
        </w:tc>
        <w:tc>
          <w:tcPr>
            <w:tcW w:type="dxa" w:w="1336"/>
          </w:tcPr>
          <w:p>
            <w:r>
              <w:rPr>
                <w:sz w:val="20"/>
              </w:rPr>
              <w:t>7-60 (dose-dépendant)</w:t>
            </w:r>
          </w:p>
        </w:tc>
        <w:tc>
          <w:tcPr>
            <w:tcW w:type="dxa" w:w="1336"/>
          </w:tcPr>
          <w:p>
            <w:r>
              <w:rPr>
                <w:sz w:val="20"/>
              </w:rPr>
              <w:t>**Non linéaire (Michaelis-Menten)** — saturation CYP2C9/CYP2C19</w:t>
            </w:r>
          </w:p>
        </w:tc>
        <w:tc>
          <w:tcPr>
            <w:tcW w:type="dxa" w:w="1336"/>
          </w:tcPr>
          <w:p>
            <w:r>
              <w:rPr>
                <w:sz w:val="20"/>
              </w:rPr>
              <w:t>&gt; 90 % (albumine)</w:t>
            </w:r>
          </w:p>
        </w:tc>
        <w:tc>
          <w:tcPr>
            <w:tcW w:type="dxa" w:w="1336"/>
          </w:tcPr>
          <w:p>
            <w:r>
              <w:rPr>
                <w:sz w:val="20"/>
              </w:rPr>
              <w:t>CYP2C9 (90 %) + CYP2C19 ; métabolite HPPA inactif</w:t>
            </w:r>
          </w:p>
        </w:tc>
        <w:tc>
          <w:tcPr>
            <w:tcW w:type="dxa" w:w="1336"/>
          </w:tcPr>
          <w:p>
            <w:r>
              <w:rPr>
                <w:sz w:val="20"/>
              </w:rPr>
              <w:t>**10-20 mg/L** (40-80 µmol/L) — phénytoïnémie libre 1-2 mg/L</w:t>
            </w:r>
          </w:p>
        </w:tc>
        <w:tc>
          <w:tcPr>
            <w:tcW w:type="dxa" w:w="1336"/>
          </w:tcPr>
          <w:p>
            <w:r>
              <w:rPr>
                <w:sz w:val="20"/>
              </w:rPr>
              <w:t>NFS, bilan hépatique, calcémie, 25-OH-vit D, PTH, ECG</w:t>
            </w:r>
          </w:p>
        </w:tc>
      </w:tr>
      <w:tr>
        <w:tc>
          <w:tcPr>
            <w:tcW w:type="dxa" w:w="1336"/>
          </w:tcPr>
          <w:p>
            <w:r>
              <w:rPr>
                <w:sz w:val="20"/>
              </w:rPr>
              <w:t>**Phénobarbital**</w:t>
            </w:r>
          </w:p>
        </w:tc>
        <w:tc>
          <w:tcPr>
            <w:tcW w:type="dxa" w:w="1336"/>
          </w:tcPr>
          <w:p>
            <w:r>
              <w:rPr>
                <w:sz w:val="20"/>
              </w:rPr>
              <w:t>50-120 (adulte) ; 40-70 (enfant) ; 80-200 (nouveau-né)</w:t>
            </w:r>
          </w:p>
        </w:tc>
        <w:tc>
          <w:tcPr>
            <w:tcW w:type="dxa" w:w="1336"/>
          </w:tcPr>
          <w:p>
            <w:r>
              <w:rPr>
                <w:sz w:val="20"/>
              </w:rPr>
              <w:t>Linéaire</w:t>
            </w:r>
          </w:p>
        </w:tc>
        <w:tc>
          <w:tcPr>
            <w:tcW w:type="dxa" w:w="1336"/>
          </w:tcPr>
          <w:p>
            <w:r>
              <w:rPr>
                <w:sz w:val="20"/>
              </w:rPr>
              <w:t>45-60 %</w:t>
            </w:r>
          </w:p>
        </w:tc>
        <w:tc>
          <w:tcPr>
            <w:tcW w:type="dxa" w:w="1336"/>
          </w:tcPr>
          <w:p>
            <w:r>
              <w:rPr>
                <w:sz w:val="20"/>
              </w:rPr>
              <w:t>CYP2C9 (75 % parahydroxylation) + N-glucosidation (25 %)</w:t>
            </w:r>
          </w:p>
        </w:tc>
        <w:tc>
          <w:tcPr>
            <w:tcW w:type="dxa" w:w="1336"/>
          </w:tcPr>
          <w:p>
            <w:r>
              <w:rPr>
                <w:sz w:val="20"/>
              </w:rPr>
              <w:t>**15-40 mg/L** (60-160 µmol/L)</w:t>
            </w:r>
          </w:p>
        </w:tc>
        <w:tc>
          <w:tcPr>
            <w:tcW w:type="dxa" w:w="1336"/>
          </w:tcPr>
          <w:p>
            <w:r>
              <w:rPr>
                <w:sz w:val="20"/>
              </w:rPr>
              <w:t>NFS, bilan hépatique, calcémie, 25-OH-vit D, PTH</w:t>
            </w:r>
          </w:p>
        </w:tc>
      </w:tr>
      <w:tr>
        <w:tc>
          <w:tcPr>
            <w:tcW w:type="dxa" w:w="1336"/>
          </w:tcPr>
          <w:p>
            <w:r>
              <w:rPr>
                <w:sz w:val="20"/>
              </w:rPr>
              <w:t>**Éthosuximide**</w:t>
            </w:r>
          </w:p>
        </w:tc>
        <w:tc>
          <w:tcPr>
            <w:tcW w:type="dxa" w:w="1336"/>
          </w:tcPr>
          <w:p>
            <w:r>
              <w:rPr>
                <w:sz w:val="20"/>
              </w:rPr>
              <w:t>40-60 (adulte) ; 30-40 (enfant)</w:t>
            </w:r>
          </w:p>
        </w:tc>
        <w:tc>
          <w:tcPr>
            <w:tcW w:type="dxa" w:w="1336"/>
          </w:tcPr>
          <w:p>
            <w:r>
              <w:rPr>
                <w:sz w:val="20"/>
              </w:rPr>
              <w:t>Linéaire</w:t>
            </w:r>
          </w:p>
        </w:tc>
        <w:tc>
          <w:tcPr>
            <w:tcW w:type="dxa" w:w="1336"/>
          </w:tcPr>
          <w:p>
            <w:r>
              <w:rPr>
                <w:sz w:val="20"/>
              </w:rPr>
              <w:t>0-10 %</w:t>
            </w:r>
          </w:p>
        </w:tc>
        <w:tc>
          <w:tcPr>
            <w:tcW w:type="dxa" w:w="1336"/>
          </w:tcPr>
          <w:p>
            <w:r>
              <w:rPr>
                <w:sz w:val="20"/>
              </w:rPr>
              <w:t>CYP3A4 (oxydation complète en métabolites inactifs)</w:t>
            </w:r>
          </w:p>
        </w:tc>
        <w:tc>
          <w:tcPr>
            <w:tcW w:type="dxa" w:w="1336"/>
          </w:tcPr>
          <w:p>
            <w:r>
              <w:rPr>
                <w:sz w:val="20"/>
              </w:rPr>
              <w:t>**40-100 mg/L** (300-700 µmol/L)</w:t>
            </w:r>
          </w:p>
        </w:tc>
        <w:tc>
          <w:tcPr>
            <w:tcW w:type="dxa" w:w="1336"/>
          </w:tcPr>
          <w:p>
            <w:r>
              <w:rPr>
                <w:sz w:val="20"/>
              </w:rPr>
              <w:t>NFS, bilan hépatique</w:t>
            </w:r>
          </w:p>
        </w:tc>
      </w:tr>
      <w:tr>
        <w:tc>
          <w:tcPr>
            <w:tcW w:type="dxa" w:w="1336"/>
          </w:tcPr>
          <w:p>
            <w:r>
              <w:rPr>
                <w:sz w:val="20"/>
              </w:rPr>
              <w:t>**Clonazépam**</w:t>
            </w:r>
          </w:p>
        </w:tc>
        <w:tc>
          <w:tcPr>
            <w:tcW w:type="dxa" w:w="1336"/>
          </w:tcPr>
          <w:p>
            <w:r>
              <w:rPr>
                <w:sz w:val="20"/>
              </w:rPr>
              <w:t>20-50 (adulte) ; 20-40 (enfant)</w:t>
            </w:r>
          </w:p>
        </w:tc>
        <w:tc>
          <w:tcPr>
            <w:tcW w:type="dxa" w:w="1336"/>
          </w:tcPr>
          <w:p>
            <w:r>
              <w:rPr>
                <w:sz w:val="20"/>
              </w:rPr>
              <w:t>Linéaire</w:t>
            </w:r>
          </w:p>
        </w:tc>
        <w:tc>
          <w:tcPr>
            <w:tcW w:type="dxa" w:w="1336"/>
          </w:tcPr>
          <w:p>
            <w:r>
              <w:rPr>
                <w:sz w:val="20"/>
              </w:rPr>
              <w:t>45-50 %</w:t>
            </w:r>
          </w:p>
        </w:tc>
        <w:tc>
          <w:tcPr>
            <w:tcW w:type="dxa" w:w="1336"/>
          </w:tcPr>
          <w:p>
            <w:r>
              <w:rPr>
                <w:sz w:val="20"/>
              </w:rPr>
              <w:t>CYP3A4 → norclonazépam inactif + glucuroconjugaison</w:t>
            </w:r>
          </w:p>
        </w:tc>
        <w:tc>
          <w:tcPr>
            <w:tcW w:type="dxa" w:w="1336"/>
          </w:tcPr>
          <w:p>
            <w:r>
              <w:rPr>
                <w:sz w:val="20"/>
              </w:rPr>
              <w:t>**20-80 µg/L** (60-250 nmol/L) — non systématique</w:t>
            </w:r>
          </w:p>
        </w:tc>
        <w:tc>
          <w:tcPr>
            <w:tcW w:type="dxa" w:w="1336"/>
          </w:tcPr>
          <w:p>
            <w:r>
              <w:rPr>
                <w:sz w:val="20"/>
              </w:rPr>
              <w:t>NFS, bilan hépatique, ECG</w:t>
            </w:r>
          </w:p>
        </w:tc>
      </w:tr>
      <w:tr>
        <w:tc>
          <w:tcPr>
            <w:tcW w:type="dxa" w:w="1336"/>
          </w:tcPr>
          <w:p>
            <w:r>
              <w:rPr>
                <w:sz w:val="20"/>
              </w:rPr>
              <w:t>**Diazépam**</w:t>
            </w:r>
          </w:p>
        </w:tc>
        <w:tc>
          <w:tcPr>
            <w:tcW w:type="dxa" w:w="1336"/>
          </w:tcPr>
          <w:p>
            <w:r>
              <w:rPr>
                <w:sz w:val="20"/>
              </w:rPr>
              <w:t>20-50 (adulte) ; 30-80 (nouveau-né, métabolite nordiazépam actif 30-200 h)</w:t>
            </w:r>
          </w:p>
        </w:tc>
        <w:tc>
          <w:tcPr>
            <w:tcW w:type="dxa" w:w="1336"/>
          </w:tcPr>
          <w:p>
            <w:r>
              <w:rPr>
                <w:sz w:val="20"/>
              </w:rPr>
              <w:t>Linéaire</w:t>
            </w:r>
          </w:p>
        </w:tc>
        <w:tc>
          <w:tcPr>
            <w:tcW w:type="dxa" w:w="1336"/>
          </w:tcPr>
          <w:p>
            <w:r>
              <w:rPr>
                <w:sz w:val="20"/>
              </w:rPr>
              <w:t>96 % (albumine)</w:t>
            </w:r>
          </w:p>
        </w:tc>
        <w:tc>
          <w:tcPr>
            <w:tcW w:type="dxa" w:w="1336"/>
          </w:tcPr>
          <w:p>
            <w:r>
              <w:rPr>
                <w:sz w:val="20"/>
              </w:rPr>
              <w:t>CYP3A4 + CYP2C19 → **nordiazépam actif** (demi-vie 30-200 h) → oxazépam → temazépam</w:t>
            </w:r>
          </w:p>
        </w:tc>
        <w:tc>
          <w:tcPr>
            <w:tcW w:type="dxa" w:w="1336"/>
          </w:tcPr>
          <w:p>
            <w:r>
              <w:rPr>
                <w:sz w:val="20"/>
              </w:rPr>
              <w:t>Non systématique</w:t>
            </w:r>
          </w:p>
        </w:tc>
        <w:tc>
          <w:tcPr>
            <w:tcW w:type="dxa" w:w="1336"/>
          </w:tcPr>
          <w:p>
            <w:r>
              <w:rPr>
                <w:sz w:val="20"/>
              </w:rPr>
              <w:t>NFS, bilan hépatique, ECG, SpO2 (forme IV)</w:t>
            </w:r>
          </w:p>
        </w:tc>
      </w:tr>
      <w:tr>
        <w:tc>
          <w:tcPr>
            <w:tcW w:type="dxa" w:w="1336"/>
          </w:tcPr>
          <w:p>
            <w:r>
              <w:rPr>
                <w:sz w:val="20"/>
              </w:rPr>
              <w:t>**Lorazépam**</w:t>
            </w:r>
          </w:p>
        </w:tc>
        <w:tc>
          <w:tcPr>
            <w:tcW w:type="dxa" w:w="1336"/>
          </w:tcPr>
          <w:p>
            <w:r>
              <w:rPr>
                <w:sz w:val="20"/>
              </w:rPr>
              <w:t>10-20 (adulte)</w:t>
            </w:r>
          </w:p>
        </w:tc>
        <w:tc>
          <w:tcPr>
            <w:tcW w:type="dxa" w:w="1336"/>
          </w:tcPr>
          <w:p>
            <w:r>
              <w:rPr>
                <w:sz w:val="20"/>
              </w:rPr>
              <w:t>Linéaire</w:t>
            </w:r>
          </w:p>
        </w:tc>
        <w:tc>
          <w:tcPr>
            <w:tcW w:type="dxa" w:w="1336"/>
          </w:tcPr>
          <w:p>
            <w:r>
              <w:rPr>
                <w:sz w:val="20"/>
              </w:rPr>
              <w:t>85-93 % (albumine)</w:t>
            </w:r>
          </w:p>
        </w:tc>
        <w:tc>
          <w:tcPr>
            <w:tcW w:type="dxa" w:w="1336"/>
          </w:tcPr>
          <w:p>
            <w:r>
              <w:rPr>
                <w:sz w:val="20"/>
              </w:rPr>
              <w:t>Glucuroconjugaison (sans métabolite actif)</w:t>
            </w:r>
          </w:p>
        </w:tc>
        <w:tc>
          <w:tcPr>
            <w:tcW w:type="dxa" w:w="1336"/>
          </w:tcPr>
          <w:p>
            <w:r>
              <w:rPr>
                <w:sz w:val="20"/>
              </w:rPr>
              <w:t>Non systématique</w:t>
            </w:r>
          </w:p>
        </w:tc>
        <w:tc>
          <w:tcPr>
            <w:tcW w:type="dxa" w:w="1336"/>
          </w:tcPr>
          <w:p>
            <w:r>
              <w:rPr>
                <w:sz w:val="20"/>
              </w:rPr>
              <w:t>NFS, bilan hépatique, ECG, SpO2 (forme IV)</w:t>
            </w:r>
          </w:p>
        </w:tc>
      </w:tr>
      <w:tr>
        <w:tc>
          <w:tcPr>
            <w:tcW w:type="dxa" w:w="1336"/>
          </w:tcPr>
          <w:p>
            <w:r>
              <w:rPr>
                <w:sz w:val="20"/>
              </w:rPr>
              <w:t>**Midazolam**</w:t>
            </w:r>
          </w:p>
        </w:tc>
        <w:tc>
          <w:tcPr>
            <w:tcW w:type="dxa" w:w="1336"/>
          </w:tcPr>
          <w:p>
            <w:r>
              <w:rPr>
                <w:sz w:val="20"/>
              </w:rPr>
              <w:t>1,5-3 (adulte) ; 3-7 (nouveau-né, prématuré)</w:t>
            </w:r>
          </w:p>
        </w:tc>
        <w:tc>
          <w:tcPr>
            <w:tcW w:type="dxa" w:w="1336"/>
          </w:tcPr>
          <w:p>
            <w:r>
              <w:rPr>
                <w:sz w:val="20"/>
              </w:rPr>
              <w:t>Linéaire</w:t>
            </w:r>
          </w:p>
        </w:tc>
        <w:tc>
          <w:tcPr>
            <w:tcW w:type="dxa" w:w="1336"/>
          </w:tcPr>
          <w:p>
            <w:r>
              <w:rPr>
                <w:sz w:val="20"/>
              </w:rPr>
              <w:t>96 % (albumine)</w:t>
            </w:r>
          </w:p>
        </w:tc>
        <w:tc>
          <w:tcPr>
            <w:tcW w:type="dxa" w:w="1336"/>
          </w:tcPr>
          <w:p>
            <w:r>
              <w:rPr>
                <w:sz w:val="20"/>
              </w:rPr>
              <w:t>CYP3A4 → alpha-hydroxymidazolam (actif, demi-vie 1 h) → glucuroconjugaison → excrétion rénale</w:t>
            </w:r>
          </w:p>
        </w:tc>
        <w:tc>
          <w:tcPr>
            <w:tcW w:type="dxa" w:w="1336"/>
          </w:tcPr>
          <w:p>
            <w:r>
              <w:rPr>
                <w:sz w:val="20"/>
              </w:rPr>
              <w:t>Non systématique</w:t>
            </w:r>
          </w:p>
        </w:tc>
        <w:tc>
          <w:tcPr>
            <w:tcW w:type="dxa" w:w="1336"/>
          </w:tcPr>
          <w:p>
            <w:r>
              <w:rPr>
                <w:sz w:val="20"/>
              </w:rPr>
              <w:t>NFS, bilan hépatique, ECG, SpO2 (forme IV)</w:t>
            </w:r>
          </w:p>
        </w:tc>
      </w:tr>
    </w:tbl>
    <w:p/>
    <w:p>
      <w:pPr>
        <w:pStyle w:val="Heading2"/>
      </w:pPr>
      <w:r>
        <w:t>15 Règles d'Or Absolues — Antiépileptiques anciens + BZD</w:t>
      </w:r>
    </w:p>
    <w:p>
      <w:pPr>
        <w:pStyle w:val="ListNumber"/>
      </w:pPr>
      <w:r/>
      <w:r>
        <w:rPr>
          <w:b/>
        </w:rPr>
        <w:t>Ne jamais arrêter brutalement un antiépileptique ancien</w:t>
      </w:r>
      <w:r>
        <w:t xml:space="preserve"> (phénytoïne, phénobarbital, clonazépam, BZD) — risque d'état de mal épileptique (urgence vitale) ou de syndrome de sevrage (anxiété rebond, tremblements, convulsions). Arrêt TOUJOURS progressif sur plusieurs semaines à mois sous surveillance neurologique.</w:t>
      </w:r>
    </w:p>
    <w:p>
      <w:pPr>
        <w:pStyle w:val="ListNumber"/>
      </w:pPr>
      <w:r/>
      <w:r>
        <w:rPr>
          <w:b/>
        </w:rPr>
        <w:t>Cinétique non linéaire de la phénytoïne (Michaelis-Menten)</w:t>
      </w:r>
      <w:r>
        <w:t xml:space="preserve"> : une augmentation minime de posologie peut provoquer un emballement toxique spectaculaire (encéphalopathie, ataxie). Ne JAMAIS augmenter de plus de 25-50 mg par palier de 2-4 semaines. Surveillance phénytoïnémie obligatoire (gamme 10-20 mg/L).</w:t>
      </w:r>
    </w:p>
    <w:p>
      <w:pPr>
        <w:pStyle w:val="ListNumber"/>
      </w:pPr>
      <w:r/>
      <w:r>
        <w:rPr>
          <w:b/>
        </w:rPr>
        <w:t>Ne jamais diluer la phénytoïne dans une solution glucosée</w:t>
      </w:r>
      <w:r>
        <w:t xml:space="preserve"> (précipitation immédiate) — toujours utiliser NaCl 0,9 %. Injection IV lente ≤ 50 mg/min (1 mg/kg/min) sous monitoring ECG continu (risque d'arrêt cardiaque par effet cardiotoxique direct).</w:t>
      </w:r>
    </w:p>
    <w:p>
      <w:pPr>
        <w:pStyle w:val="ListNumber"/>
      </w:pPr>
      <w:r/>
      <w:r>
        <w:rPr>
          <w:b/>
        </w:rPr>
        <w:t>Induction enzymatique massive du phénobarbital</w:t>
      </w:r>
      <w:r>
        <w:t xml:space="preserve"> (CYP3A4 + CYP2C9 + CYP2C19 + UGT1A4 + ALA-synthétase) : vérifier TOUTES les co-prescriptions à chaque délivrance (contraception orale, anticoagulants oraux, antirétroviraux, corticoïdes, immunosuppresseurs, chimiothérapie, doxycycline, théophylline). Risque majeur de baisse d'efficacité et de grossesse non désirée sur terrain tératogène.</w:t>
      </w:r>
    </w:p>
    <w:p>
      <w:pPr>
        <w:pStyle w:val="ListNumber"/>
      </w:pPr>
      <w:r/>
      <w:r>
        <w:rPr>
          <w:b/>
        </w:rPr>
        <w:t>Porphyrie intermittente aiguë = contre-indication absolue</w:t>
      </w:r>
      <w:r>
        <w:t xml:space="preserve"> au phénobarbital et à la phénytoïne (induction de l'ALA-synthétase → crise aiguë potentiellement létale). À rechercher dans les antécédents familiaux avant prescription.</w:t>
      </w:r>
    </w:p>
    <w:p>
      <w:pPr>
        <w:pStyle w:val="ListNumber"/>
      </w:pPr>
      <w:r/>
      <w:r>
        <w:rPr>
          <w:b/>
        </w:rPr>
        <w:t>Syndrome fœtal hydantoïne (phénytoïne) et syndrome fœtal barbiturique (phénobarbital)</w:t>
      </w:r>
      <w:r>
        <w:t xml:space="preserve"> : 5-10 % de malformations majeures (fente labio-palatine, malformations cardiaques, hypoplasie des phalanges distales) + 30 % de traits dysmorphiques mineurs. Supplémentation acide folique 5 mg/jour pré-conceptionnel OBLIGATOIRE. Switch pré-conceptionnel vers lamotrigine si possible.</w:t>
      </w:r>
    </w:p>
    <w:p>
      <w:pPr>
        <w:pStyle w:val="ListNumber"/>
      </w:pPr>
      <w:r/>
      <w:r>
        <w:rPr>
          <w:b/>
        </w:rPr>
        <w:t>Éthosuximide RETIRÉ du marché algérien</w:t>
      </w:r>
      <w:r>
        <w:t xml:space="preserve"> : toutes les présentations (Zarontin® Parke-Davis, Petinimid® Gerot) sont retirées. Orientation systématique vers le médecin prescripteur pour switch thérapeutique vers </w:t>
      </w:r>
      <w:r>
        <w:rPr>
          <w:b/>
        </w:rPr>
        <w:t>valproate</w:t>
      </w:r>
      <w:r>
        <w:t xml:space="preserve"> (1re intention enfant/homme adulte) ou </w:t>
      </w:r>
      <w:r>
        <w:rPr>
          <w:b/>
        </w:rPr>
        <w:t>lamotrigine</w:t>
      </w:r>
      <w:r>
        <w:t xml:space="preserve"> (1re intention fille/femme en âge de procréer — profil tératogène favorable).</w:t>
      </w:r>
    </w:p>
    <w:p>
      <w:pPr>
        <w:pStyle w:val="ListNumber"/>
      </w:pPr>
      <w:r/>
      <w:r>
        <w:rPr>
          <w:b/>
        </w:rPr>
        <w:t>Clonazépam — tolérance pharmacodynamique en quelques semaines à mois</w:t>
      </w:r>
      <w:r>
        <w:t xml:space="preserve"> : ne pas augmenter automatiquement la dose en cas de baisse d'efficacité (risque de dépendance et d'effets indésirables cognitifs) — préférer l'association avec un autre AE non BZD (valproate, lamotrigine, lévétiracétam) ou le switch thérapeutique.</w:t>
      </w:r>
    </w:p>
    <w:p>
      <w:pPr>
        <w:pStyle w:val="ListNumber"/>
      </w:pPr>
      <w:r/>
      <w:r>
        <w:rPr>
          <w:b/>
        </w:rPr>
        <w:t>État de mal épileptique (EME) = urgence vitale absolue</w:t>
      </w:r>
      <w:r>
        <w:t xml:space="preserve"> — traitement de première intention par BZD IV (diazépam 10 mg IV, ou midazolam 10 mg IM en pré-hospitalier) — surveillance continue (ECG, SpO2, TA, FR) — matériel de réanimation (intubation, ventilation mécanique) et flumazénil (Anexate®) à portée de main — toujours faire suivre la BZD par la phénytoïne IV ou le phénobarbital IV (traitement de fond de l'EME — risque de récidive).</w:t>
      </w:r>
    </w:p>
    <w:p>
      <w:pPr>
        <w:pStyle w:val="ListNumber"/>
      </w:pPr>
      <w:r/>
      <w:r>
        <w:rPr>
          <w:b/>
        </w:rPr>
        <w:t>Dépression respiratoire après BZD IV</w:t>
      </w:r>
      <w:r>
        <w:t xml:space="preserve"> — risque vital — flumazénil (Anexate®) IV 0,2 mg en 30 s, puis 0,1 mg/min jusqu'à 1 mg max (attention : demi-vie courte du flumazénil 40-80 min → resédation possible, surveillance prolongée 6-12 h ; risque de convulsions si patient dépendant chronique ou si co-ingestion d'antidépresseurs tricycliques — contre-indication relative).</w:t>
      </w:r>
    </w:p>
    <w:p>
      <w:pPr>
        <w:pStyle w:val="ListNumber"/>
      </w:pPr>
      <w:r/>
      <w:r>
        <w:rPr>
          <w:b/>
        </w:rPr>
        <w:t>Co-ingestion BZD + opioïdes</w:t>
      </w:r>
      <w:r>
        <w:t xml:space="preserve"> — risque de dépression respiratoire synergique parfois létale — warning ANSM 2017 — information systématique du patient et de l'entourage, prescription concomitante uniquement si nécessité absolue, réduction posologique des deux molécules, monitoring respiratoire continu.</w:t>
      </w:r>
    </w:p>
    <w:p>
      <w:pPr>
        <w:pStyle w:val="ListNumber"/>
      </w:pPr>
      <w:r/>
      <w:r>
        <w:rPr>
          <w:b/>
        </w:rPr>
        <w:t>Forme IV du lorazépam non disponible en Algérie</w:t>
      </w:r>
      <w:r>
        <w:t xml:space="preserve"> — limite l'usage du lorazépam IV dans l'EME hospitalier (gold standard international selon l'essai Treiman 1998 NEJM) — préférer le diazépam IV en Algérie.</w:t>
      </w:r>
    </w:p>
    <w:p>
      <w:pPr>
        <w:pStyle w:val="ListNumber"/>
      </w:pPr>
      <w:r/>
      <w:r>
        <w:rPr>
          <w:b/>
        </w:rPr>
        <w:t>Hyperplasie gingivale sous phénytoïne (30-50 %)</w:t>
      </w:r>
      <w:r>
        <w:t xml:space="preserve"> — prévention par hygiène buccodentaire rigoureuse (brossage après chaque repas, brossette interdentaire, massage gingival) — consultation parodontologique tous les 6 mois — switch vers un AE moderne si gêne fonctionnelle ou esthétique.</w:t>
      </w:r>
    </w:p>
    <w:p>
      <w:pPr>
        <w:pStyle w:val="ListNumber"/>
      </w:pPr>
      <w:r/>
      <w:r>
        <w:rPr>
          <w:b/>
        </w:rPr>
        <w:t>Supplémentation systématique en acide folique 5 mg/jour + vitamine D3 800-2000 UI/jour</w:t>
      </w:r>
      <w:r>
        <w:t xml:space="preserve"> chez tout patient sous phénytoïne ou phénobarbital (prévention anémie mégaloblastique, ostéomalacie, et tératogénicité) — surveillance 25-OH-vitamine D et PTH annuelle.</w:t>
      </w:r>
    </w:p>
    <w:p>
      <w:pPr>
        <w:pStyle w:val="ListNumber"/>
      </w:pPr>
      <w:r/>
      <w:r>
        <w:rPr>
          <w:b/>
        </w:rPr>
        <w:t>Surveillance échographique spécialisée + déclaration de grossesse à la pharmacovigilance</w:t>
      </w:r>
      <w:r>
        <w:t xml:space="preserve"> chez toute femme enceinte sous phénytoïne, phénobarbital, clonazépam, ou BZD — anticipation de la prise en charge néonatale (maternité de niveau 3 — risque de syndrome de sevrage néonatal pour les BZD, de saignement néonatal pour le phénobarbital — vitamine K1 1 mg IM à la naissance).</w:t>
      </w:r>
    </w:p>
    <w:p>
      <w:pPr>
        <w:pStyle w:val="Heading2"/>
      </w:pPr>
      <w:r>
        <w:t>25 Pièges Majeurs au Comptoir</w:t>
      </w:r>
    </w:p>
    <w:p>
      <w:pPr>
        <w:pStyle w:val="Heading3"/>
      </w:pPr>
      <w:r>
        <w:t>Phénytoïne (7 pièges)</w:t>
      </w:r>
    </w:p>
    <w:p>
      <w:pPr>
        <w:pStyle w:val="ListNumber"/>
      </w:pPr>
      <w:r/>
      <w:r>
        <w:rPr>
          <w:b/>
        </w:rPr>
        <w:t>Cinétique non linéaire</w:t>
      </w:r>
      <w:r>
        <w:t xml:space="preserve"> — augmentation minime de posologie → emballement toxique spectaculaire — paliers max 25-50 mg toutes les 2-4 semaines.</w:t>
      </w:r>
    </w:p>
    <w:p>
      <w:pPr>
        <w:pStyle w:val="ListNumber"/>
      </w:pPr>
      <w:r/>
      <w:r>
        <w:rPr>
          <w:b/>
        </w:rPr>
        <w:t>Précipitation dans le G5 %</w:t>
      </w:r>
      <w:r>
        <w:t xml:space="preserve"> — toujours utiliser NaCl 0,9 % pour la perfusion IV.</w:t>
      </w:r>
    </w:p>
    <w:p>
      <w:pPr>
        <w:pStyle w:val="ListNumber"/>
      </w:pPr>
      <w:r/>
      <w:r>
        <w:rPr>
          <w:b/>
        </w:rPr>
        <w:t>Injection IV trop rapide</w:t>
      </w:r>
      <w:r>
        <w:t xml:space="preserve"> (&lt; 1 min pour 50 mg) — risque d'arrêt cardiaque — règle stricte : ≤ 50 mg/min adulte, ≤ 1 mg/kg/min enfant.</w:t>
      </w:r>
    </w:p>
    <w:p>
      <w:pPr>
        <w:pStyle w:val="ListNumber"/>
      </w:pPr>
      <w:r/>
      <w:r>
        <w:rPr>
          <w:b/>
        </w:rPr>
        <w:t>Phénytoïnémie totale faussement rassurante</w:t>
      </w:r>
      <w:r>
        <w:t xml:space="preserve"> chez le patient hypoprotidémique (albumine &lt; 30 g/L) — demander phénytoïnémie libre (cible : 1-2 mg/L).</w:t>
      </w:r>
    </w:p>
    <w:p>
      <w:pPr>
        <w:pStyle w:val="ListNumber"/>
      </w:pPr>
      <w:r/>
      <w:r>
        <w:rPr>
          <w:b/>
        </w:rPr>
        <w:t>Interaction avec la nutrition entérale</w:t>
      </w:r>
      <w:r>
        <w:t xml:space="preserve"> — arrêter la nutrition 1 h avant et 2 h après la prise.</w:t>
      </w:r>
    </w:p>
    <w:p>
      <w:pPr>
        <w:pStyle w:val="ListNumber"/>
      </w:pPr>
      <w:r/>
      <w:r>
        <w:rPr>
          <w:b/>
        </w:rPr>
        <w:t>Forme orale précaire en Algérie</w:t>
      </w:r>
      <w:r>
        <w:t xml:space="preserve"> (comprimés DI-HYDAN, EPILAN D, PHENYTOINE CPCM retirés ou non renouvelables) — orientation vers neurologue pour switch vers AE moderne.</w:t>
      </w:r>
    </w:p>
    <w:p>
      <w:pPr>
        <w:pStyle w:val="ListNumber"/>
      </w:pPr>
      <w:r/>
      <w:r>
        <w:rPr>
          <w:b/>
        </w:rPr>
        <w:t>Syndrome fœtal hydantoïne</w:t>
      </w:r>
      <w:r>
        <w:t xml:space="preserve"> — switch pré-conceptionnel vers lamotrigine — supplémentation acide folique 5 mg/jour.</w:t>
      </w:r>
    </w:p>
    <w:p>
      <w:pPr>
        <w:pStyle w:val="Heading3"/>
      </w:pPr>
      <w:r>
        <w:t>Phénobarbital (6 pièges)</w:t>
      </w:r>
    </w:p>
    <w:p>
      <w:pPr>
        <w:pStyle w:val="ListNumber"/>
      </w:pPr>
      <w:r/>
      <w:r>
        <w:rPr>
          <w:b/>
        </w:rPr>
        <w:t>Induction enzymatique massive</w:t>
      </w:r>
      <w:r>
        <w:t xml:space="preserve"> — vérifier TOUTES les co-prescriptions (contraception orale, anticoagulants, antirétroviraux, corticoïdes, immunosuppresseurs).</w:t>
      </w:r>
    </w:p>
    <w:p>
      <w:pPr>
        <w:pStyle w:val="ListNumber"/>
      </w:pPr>
      <w:r/>
      <w:r>
        <w:rPr>
          <w:b/>
        </w:rPr>
        <w:t>Baisse d'efficacité contraceptive orale</w:t>
      </w:r>
      <w:r>
        <w:t xml:space="preserve"> → grossesse non désirée sur terrain tératogène — double contraception obligatoire.</w:t>
      </w:r>
    </w:p>
    <w:p>
      <w:pPr>
        <w:pStyle w:val="ListNumber"/>
      </w:pPr>
      <w:r/>
      <w:r>
        <w:rPr>
          <w:b/>
        </w:rPr>
        <w:t>Porphyrie intermittente aiguë</w:t>
      </w:r>
      <w:r>
        <w:t xml:space="preserve"> — contre-indication absolue.</w:t>
      </w:r>
    </w:p>
    <w:p>
      <w:pPr>
        <w:pStyle w:val="ListNumber"/>
      </w:pPr>
      <w:r/>
      <w:r>
        <w:rPr>
          <w:b/>
        </w:rPr>
        <w:t>Dépression induite</w:t>
      </w:r>
      <w:r>
        <w:t xml:space="preserve"> — surveillance psychiatrique.</w:t>
      </w:r>
    </w:p>
    <w:p>
      <w:pPr>
        <w:pStyle w:val="ListNumber"/>
      </w:pPr>
      <w:r/>
      <w:r>
        <w:rPr>
          <w:b/>
        </w:rPr>
        <w:t>Confusion chez le sujet âgé</w:t>
      </w:r>
      <w:r>
        <w:t xml:space="preserve"> — souvent attribuée à tort à la démence.</w:t>
      </w:r>
    </w:p>
    <w:p>
      <w:pPr>
        <w:pStyle w:val="ListNumber"/>
      </w:pPr>
      <w:r/>
      <w:r>
        <w:rPr>
          <w:b/>
        </w:rPr>
        <w:t>Surdosage aigu</w:t>
      </w:r>
      <w:r>
        <w:t xml:space="preserve"> — alcalinisation urinaire (bicarbonate IV) + hémoperfusion sur charbon actif si coma profond.</w:t>
      </w:r>
    </w:p>
    <w:p>
      <w:pPr>
        <w:pStyle w:val="Heading3"/>
      </w:pPr>
      <w:r>
        <w:t>Éthosuximide (3 pièges)</w:t>
      </w:r>
    </w:p>
    <w:p>
      <w:pPr>
        <w:pStyle w:val="ListNumber"/>
      </w:pPr>
      <w:r/>
      <w:r>
        <w:rPr>
          <w:b/>
        </w:rPr>
        <w:t>Retrait total du marché algérien</w:t>
      </w:r>
      <w:r>
        <w:t xml:space="preserve"> — switch systématique vers valproate (enfant/homme) ou lamotrigine (femme en âge de procréer).</w:t>
      </w:r>
    </w:p>
    <w:p>
      <w:pPr>
        <w:pStyle w:val="ListNumber"/>
      </w:pPr>
      <w:r/>
      <w:r>
        <w:rPr>
          <w:b/>
        </w:rPr>
        <w:t>Réaction psychiatrique paradoxale chez l'enfant</w:t>
      </w:r>
      <w:r>
        <w:t xml:space="preserve"> — agitation, agressivité, hallucinations.</w:t>
      </w:r>
    </w:p>
    <w:p>
      <w:pPr>
        <w:pStyle w:val="ListNumber"/>
      </w:pPr>
      <w:r/>
      <w:r>
        <w:rPr>
          <w:b/>
        </w:rPr>
        <w:t>Interaction avec le valproate</w:t>
      </w:r>
      <w:r>
        <w:t xml:space="preserve"> — augmentation de l'éthosuximidémie (pertinent uniquement si la molécule était disponible).</w:t>
      </w:r>
    </w:p>
    <w:p>
      <w:pPr>
        <w:pStyle w:val="Heading3"/>
      </w:pPr>
      <w:r>
        <w:t>Clonazépam (4 pièges)</w:t>
      </w:r>
    </w:p>
    <w:p>
      <w:pPr>
        <w:pStyle w:val="ListNumber"/>
      </w:pPr>
      <w:r/>
      <w:r>
        <w:rPr>
          <w:b/>
        </w:rPr>
        <w:t>Arrêt brutal</w:t>
      </w:r>
      <w:r>
        <w:t xml:space="preserve"> → syndrome de sevrage (anxiété rebond, tremblements, convulsions, état de mal épileptique) — arrêt TOUJOURS progressif sur plusieurs semaines à mois.</w:t>
      </w:r>
    </w:p>
    <w:p>
      <w:pPr>
        <w:pStyle w:val="ListNumber"/>
      </w:pPr>
      <w:r/>
      <w:r>
        <w:rPr>
          <w:b/>
        </w:rPr>
        <w:t>Développement de tolérance pharmacodynamique</w:t>
      </w:r>
      <w:r>
        <w:t xml:space="preserve"> — ne pas augmenter automatiquement la dose — préférer association ou switch.</w:t>
      </w:r>
    </w:p>
    <w:p>
      <w:pPr>
        <w:pStyle w:val="ListNumber"/>
      </w:pPr>
      <w:r/>
      <w:r>
        <w:rPr>
          <w:b/>
        </w:rPr>
        <w:t>Troubles cognitifs chez le sujet âgé</w:t>
      </w:r>
      <w:r>
        <w:t xml:space="preserve"> — souvent attribués à tort à la démence — risque de chutes et de fractures de hanche.</w:t>
      </w:r>
    </w:p>
    <w:p>
      <w:pPr>
        <w:pStyle w:val="ListNumber"/>
      </w:pPr>
      <w:r/>
      <w:r>
        <w:rPr>
          <w:b/>
        </w:rPr>
        <w:t>Confusion solution buvable 2,5 mg/mL</w:t>
      </w:r>
      <w:r>
        <w:t xml:space="preserve"> (1 goutte ≈ 0,1 mg selon pipette) — toujours utiliser la pipette fournie avec chaque marque.</w:t>
      </w:r>
    </w:p>
    <w:p>
      <w:pPr>
        <w:pStyle w:val="Heading3"/>
      </w:pPr>
      <w:r>
        <w:t>BZD urgence (5 pièges)</w:t>
      </w:r>
    </w:p>
    <w:p>
      <w:pPr>
        <w:pStyle w:val="ListNumber"/>
      </w:pPr>
      <w:r/>
      <w:r>
        <w:rPr>
          <w:b/>
        </w:rPr>
        <w:t>Dépression respiratoire après BZD IV</w:t>
      </w:r>
      <w:r>
        <w:t xml:space="preserve"> — monitoring continu obligatoire — flumazénil (Anexate®) à portée de main.</w:t>
      </w:r>
    </w:p>
    <w:p>
      <w:pPr>
        <w:pStyle w:val="ListNumber"/>
      </w:pPr>
      <w:r/>
      <w:r>
        <w:rPr>
          <w:b/>
        </w:rPr>
        <w:t>Co-ingestion BZD + opioïdes</w:t>
      </w:r>
      <w:r>
        <w:t xml:space="preserve"> — dépression respiratoire synergique parfois létale (warning ANSM 2017).</w:t>
      </w:r>
    </w:p>
    <w:p>
      <w:pPr>
        <w:pStyle w:val="ListNumber"/>
      </w:pPr>
      <w:r/>
      <w:r>
        <w:rPr>
          <w:b/>
        </w:rPr>
        <w:t>Durée d'action courte du diazépam IV</w:t>
      </w:r>
      <w:r>
        <w:t xml:space="preserve"> (20-30 min) — toujours faire suivre par phénytoïne IV ou phénobarbital IV.</w:t>
      </w:r>
    </w:p>
    <w:p>
      <w:pPr>
        <w:pStyle w:val="ListNumber"/>
      </w:pPr>
      <w:r/>
      <w:r>
        <w:rPr>
          <w:b/>
        </w:rPr>
        <w:t>Forme IV du lorazépam non disponible en Algérie</w:t>
      </w:r>
      <w:r>
        <w:t xml:space="preserve"> — préférer diazépam IV.</w:t>
      </w:r>
    </w:p>
    <w:p>
      <w:pPr>
        <w:pStyle w:val="ListNumber"/>
      </w:pPr>
      <w:r/>
      <w:r>
        <w:rPr>
          <w:b/>
        </w:rPr>
        <w:t>Effet paradoxal chez l'enfant et le sujet âgé</w:t>
      </w:r>
      <w:r>
        <w:t xml:space="preserve"> — agitation, agressivité, dysinhibition.</w:t>
      </w:r>
    </w:p>
    <w:p>
      <w:pPr>
        <w:pStyle w:val="Heading2"/>
      </w:pPr>
      <w:r>
        <w:t>Conclusion du Chapitre 91</w:t>
      </w:r>
    </w:p>
    <w:p>
      <w:r>
        <w:t xml:space="preserve">Ce chapitre 91 a présenté de façon exhaustive les 5 DCI de la famille des </w:t>
      </w:r>
      <w:r>
        <w:rPr>
          <w:b/>
        </w:rPr>
        <w:t>antiépileptiques anciens et des benzodiazépines antiépileptiques</w:t>
      </w:r>
      <w:r>
        <w:t xml:space="preserve"> disponibles (ou historiquement disponibles) en Algérie : phénytoïne (sels sodiques — hydantoïnes), phénobarbital (barbituriques), éthosuximide (succinimides — </w:t>
      </w:r>
      <w:r>
        <w:rPr>
          <w:b/>
        </w:rPr>
        <w:t>RETRAITÉ du marché algérien</w:t>
      </w:r>
      <w:r>
        <w:t>), clonazépam (BZD d'entretien), et le groupe des BZD d'urgence (diazépam, midazolam, lorazépam) pour l'état de mal épileptique.</w:t>
      </w:r>
    </w:p>
    <w:p>
      <w:r>
        <w:t>Les principales caractéristiques de ces molécules à retenir pour la pratique pharmaceutique algérienne sont :</w:t>
      </w:r>
    </w:p>
    <w:p>
      <w:pPr>
        <w:pStyle w:val="ListBullet"/>
      </w:pPr>
      <w:r/>
      <w:r>
        <w:rPr>
          <w:b/>
        </w:rPr>
        <w:t>Phénytoïne</w:t>
      </w:r>
      <w:r>
        <w:t xml:space="preserve"> : cinétique non linéaire (Michaelis-Menten) → surveillance phénytoïnémie obligatoire (10-20 mg/L) ; induction enzymatique modérée (CYP3A4, CYP2C9, CYP2C19) ; effet indésirable le plus caractéristique = hyperplasie gingivale (30-50 %) — prévention par hygiène bucco-dentaire ; syndrome fœtal hydantoïne (catégorie D) ; forme orale précaire en Algérie (comprimés retirés ou non renouvelables) — seule la forme injectable FENTEX MS Pharma Jordan est active.</w:t>
      </w:r>
    </w:p>
    <w:p>
      <w:pPr>
        <w:pStyle w:val="ListBullet"/>
      </w:pPr>
      <w:r/>
      <w:r>
        <w:rPr>
          <w:b/>
        </w:rPr>
        <w:t>Phénobarbital</w:t>
      </w:r>
      <w:r>
        <w:t xml:space="preserve"> : longue demi-vie (50-120 h) → monoprise vespérale ; induction enzymatique massive (CYP3A4, CYP2C9, CYP2C19, UGT1A4, ALA-synthétase) → vérifier toutes les co-prescriptions ; sédation, troubles cognitifs, dépression ; syndrome fœtal barbiturique + sevrage néonatal (vitamine K1 1 mg IM à la naissance) ; formes orales et injectable disponibles en Algérie (SEVENAL, PHENOXAL, GARDENAL).</w:t>
      </w:r>
    </w:p>
    <w:p>
      <w:pPr>
        <w:pStyle w:val="ListBullet"/>
      </w:pPr>
      <w:r/>
      <w:r>
        <w:rPr>
          <w:b/>
        </w:rPr>
        <w:t>Éthosuximide</w:t>
      </w:r>
      <w:r>
        <w:t xml:space="preserve"> : RETIRÉ du marché algérien — orientation systématique vers valproate (enfant/homme adulte) ou lamotrigine (femme en âge de procréer) ; mécanisme d'action caractéristique (blocage canaux Ca2+ T thalamiques) — paradigme pédagogique de la spécificité d'action antiépileptique.</w:t>
      </w:r>
    </w:p>
    <w:p>
      <w:pPr>
        <w:pStyle w:val="ListBullet"/>
      </w:pPr>
      <w:r/>
      <w:r>
        <w:rPr>
          <w:b/>
        </w:rPr>
        <w:t>Clonazépam</w:t>
      </w:r>
      <w:r>
        <w:t xml:space="preserve"> : BZD longue durée d'action (20-50 h) → bi/tri-prise nécessaire en raison de la courte durée d'action centrale pharmacodynamique ; tolérance pharmacodynamique en quelques semaines à mois → ne pas augmenter automatiquement la dose ; syndrome de sevrage à l'arrêt brutal (état de mal épileptique) ; catégories D (grossesse) — syndrome de sevrage néonatal.</w:t>
      </w:r>
    </w:p>
    <w:p>
      <w:pPr>
        <w:pStyle w:val="ListBullet"/>
      </w:pPr>
      <w:r/>
      <w:r>
        <w:rPr>
          <w:b/>
        </w:rPr>
        <w:t>BZD urgence (diazépam/midazolam/lorazépam)</w:t>
      </w:r>
      <w:r>
        <w:t xml:space="preserve"> : traitement de première intention de l'état de mal épileptique (urgence vitale absolue) ; monitoring continu obligatoire (ECG, SpO2, TA, FR) ; flumazénil (Anexate®) à portée de main ; co-ingestion BZD + opioïdes = warning ANSM 2017 (dépression respiratoire synergique parfois létale) ; lorazépam IV = gold standard international mais forme IV non disponible en Algérie — préférer diazépam IV.</w:t>
      </w:r>
    </w:p>
    <w:p>
      <w:r>
        <w:t>Le chapitre suivant (Chapitre 92 — AE modernes) couvrira les antiépileptiques de 2e et 3e génération (acide valproïque, carbamazépine, oxcarbazépine, lamotrigine, gabapentine, prégabaline, lévétiracétam, topiramate, zonisamide, etc.) — qui constituent aujourd'hui le cœur de la stratégie thérapeutique antiépileptique moderne en raison de leur meilleure tolérance cognitive, de leur moindre induction enzymatique et de leur profil tératogène plus favorable (notamment lamotrigine et lévétiracétam pour la femme en âge de procréer).</w:t>
      </w:r>
    </w:p>
    <w:p>
      <w:pPr>
        <w:pStyle w:val="Heading2"/>
      </w:pPr>
      <w:r>
        <w:t>Sources Bibliographiques</w:t>
      </w:r>
    </w:p>
    <w:p>
      <w:pPr>
        <w:pStyle w:val="ListNumber"/>
      </w:pPr>
      <w:r>
        <w:t>VIDAL 2026 — Dictionnaire des spécialités pharmaceutiques.</w:t>
      </w:r>
    </w:p>
    <w:p>
      <w:pPr>
        <w:pStyle w:val="ListNumber"/>
      </w:pPr>
      <w:r>
        <w:t>ANSM — Résumés des Caractéristiques du Produit (RCP) : phénytoïne, phénobarbital, éthosuximide, clonazépam, diazépam, midazolam, lorazépam.</w:t>
      </w:r>
    </w:p>
    <w:p>
      <w:pPr>
        <w:pStyle w:val="ListNumber"/>
      </w:pPr>
      <w:r>
        <w:t>Thériaque — Banque de données pharmaceutiques.</w:t>
      </w:r>
    </w:p>
    <w:p>
      <w:pPr>
        <w:pStyle w:val="ListNumber"/>
      </w:pPr>
      <w:r>
        <w:t>CRAT (Centre Renseignements sur les Agents Tératogènes) — Fiches phénytoïne, phénobarbital, éthosuximide, clonazépam, diazépam, midazolam, lorazépam.</w:t>
      </w:r>
    </w:p>
    <w:p>
      <w:pPr>
        <w:pStyle w:val="ListNumber"/>
      </w:pPr>
      <w:r>
        <w:t>ILAE (International League Against Epilepsy) — Classification des épilepsies et des crises (2017) ; guidelines état de mal épileptique.</w:t>
      </w:r>
    </w:p>
    <w:p>
      <w:pPr>
        <w:pStyle w:val="ListNumber"/>
      </w:pPr>
      <w:r>
        <w:t>NICE (National Institute for Health and Care Excellence) — CG137 Epilepsies : diagnostic and management.</w:t>
      </w:r>
    </w:p>
    <w:p>
      <w:pPr>
        <w:pStyle w:val="ListNumber"/>
      </w:pPr>
      <w:r>
        <w:t>AAN (American Academy of Neurology) — Guidelines AE initiale, EME.</w:t>
      </w:r>
    </w:p>
    <w:p>
      <w:pPr>
        <w:pStyle w:val="ListNumber"/>
      </w:pPr>
      <w:r>
        <w:t>EMEA/EMA — Assessment reports phénytoïne, phénobarbital, éthosuximide, clonazépam, BZD.</w:t>
      </w:r>
    </w:p>
    <w:p>
      <w:pPr>
        <w:pStyle w:val="ListNumber"/>
      </w:pPr>
      <w:r>
        <w:t>UpToDate — Antiepileptic drugs ; Status epilepticus ; Absence seizures ; Pregnancy in women with epilepsy.</w:t>
      </w:r>
    </w:p>
    <w:p>
      <w:pPr>
        <w:pStyle w:val="ListNumber"/>
      </w:pPr>
      <w:r>
        <w:t>Micromedex — Drug information phénytoïne, phénobarbital, éthosuximide, BZD.</w:t>
      </w:r>
    </w:p>
    <w:p>
      <w:pPr>
        <w:pStyle w:val="ListNumber"/>
      </w:pPr>
      <w:r>
        <w:t>Goodman &amp; Gilman — The Pharmacological Basis of Therapeutics, 13e édition (Brunton, Knollmann).</w:t>
      </w:r>
    </w:p>
    <w:p>
      <w:pPr>
        <w:pStyle w:val="ListNumber"/>
      </w:pPr>
      <w:r>
        <w:t>Katzung — Basic and Clinical Pharmacology, 15e édition.</w:t>
      </w:r>
    </w:p>
    <w:p>
      <w:pPr>
        <w:pStyle w:val="ListNumber"/>
      </w:pPr>
      <w:r>
        <w:t>Stahl — Stahl's Essential Psychopharmacology, 5e édition.</w:t>
      </w:r>
    </w:p>
    <w:p>
      <w:pPr>
        <w:pStyle w:val="ListNumber"/>
      </w:pPr>
      <w:r>
        <w:t>Merritt HH, Putnam TJ. Sodium diphenylhydantoinate in the treatment of convulsive disorders. JAMA 1938 ; 111:1068-1073.</w:t>
      </w:r>
    </w:p>
    <w:p>
      <w:pPr>
        <w:pStyle w:val="ListNumber"/>
      </w:pPr>
      <w:r>
        <w:t>Hauptmann A. Luminal bei Epilepsie. Münch Med Wochenschr 1912 ; 59:1907-1909.</w:t>
      </w:r>
    </w:p>
    <w:p>
      <w:pPr>
        <w:pStyle w:val="ListNumber"/>
      </w:pPr>
      <w:r>
        <w:t>Zimmerman FT, Burgemeister BB. A new drug for petit mal epilepsy. Neurology 1958 ; 8:769-775 (première description de l'éthosuximide).</w:t>
      </w:r>
    </w:p>
    <w:p>
      <w:pPr>
        <w:pStyle w:val="ListNumber"/>
      </w:pPr>
      <w:r>
        <w:t>Glauser TA, Cnaan A, Shinnar S, et al. Ethosuximide, valproic acid, and lamotrigine in childhood absence epilepsy. N Engl J Med 2010 ; 362:790-799.</w:t>
      </w:r>
    </w:p>
    <w:p>
      <w:pPr>
        <w:pStyle w:val="ListNumber"/>
      </w:pPr>
      <w:r>
        <w:t>Treiman DM, Meyers PD, Walton NY, et al. A comparison of four treatments for generalized convulsive status epilepticus. N Engl J Med 1998 ; 339:792-798 (essai Veterans Affairs — supériorité du lorazépam IV sur le diazépam IV dans l'EME hospitalier).</w:t>
      </w:r>
    </w:p>
    <w:p>
      <w:pPr>
        <w:pStyle w:val="ListNumber"/>
      </w:pPr>
      <w:r>
        <w:t>Silbergleit R, Durkalski V, Lowenstein D, et al. Intramuscular versus intravenous therapy for prehospital status epilepticus. N Engl J Med 2012 ; 366:591-600 (essai RAMPART — supériorité du midazolam IM sur le lorazépam IV en pré-hospitalier).</w:t>
      </w:r>
    </w:p>
    <w:p>
      <w:pPr>
        <w:pStyle w:val="ListNumber"/>
      </w:pPr>
      <w:r>
        <w:t>Neligan A, Shorvon SD. Frequency and prognosis of convulsive status epilepticus of different causes. Arch Neurol 2010 ; 67:931-940.</w:t>
      </w:r>
    </w:p>
    <w:p>
      <w:pPr>
        <w:pStyle w:val="ListNumber"/>
      </w:pPr>
      <w:r>
        <w:t>Tomson T, Battino D, Bonizzoni E, et al. Dose-dependent risk of malformations with antiepileptic drugs: an analysis of data from the EURAP epilepsy and pregnancy registry. Lancet Neurol 2011 ; 10:609-617 (données EURAP — lamotrigine profil tératogène favorable).</w:t>
      </w:r>
    </w:p>
    <w:p>
      <w:pPr>
        <w:pStyle w:val="ListNumber"/>
      </w:pPr>
      <w:r>
        <w:t>Meador KJ, Baker GA, Browning N, et al. Cognitive function at 3 years of age after fetal exposure to antiepileptic drugs. N Engl J Med 2009 ; 360:1597-1605 (baisse QI sous valproate vs lamotrigine).</w:t>
      </w:r>
    </w:p>
    <w:p>
      <w:pPr>
        <w:pStyle w:val="ListNumber"/>
      </w:pPr>
      <w:r>
        <w:t>ANSM — Mise en garde BZD + opioïdes (2017) — risque de dépression respiratoire synergique.</w:t>
      </w:r>
    </w:p>
    <w:p>
      <w:pPr>
        <w:pStyle w:val="ListNumber"/>
      </w:pPr>
      <w:r>
        <w:t>HAS — Recommandations anxiolytiques/hypnotiques (durée maximale 4-12 semaines selon indication).</w:t>
      </w:r>
    </w:p>
    <w:p>
      <w:pPr>
        <w:pStyle w:val="ListNumber"/>
      </w:pPr>
      <w:r>
        <w:t>SOFFMER (Société Française de Médecine d'Urgence) — Recommandations prophylaxie post-traumatique crânienne.</w:t>
      </w:r>
    </w:p>
    <w:p>
      <w:pPr>
        <w:pStyle w:val="ListNumber"/>
      </w:pPr>
      <w:r>
        <w:t>Lowenstein DH, Bleck T, Macdonald RL. It's time to revise the definition of status epilepticus. Epilepsia 1999 ; 40:120-122.</w:t>
      </w:r>
    </w:p>
    <w:p>
      <w:pPr>
        <w:pStyle w:val="ListNumber"/>
      </w:pPr>
      <w:r>
        <w:t>Trinka E, Cock H, Hesdorffer D, et al. A definition and classification of status epilepticus — Report of the ILAE Task Force on Classification of Status Epilepticus. Epilepsia 2015 ; 56:1515-1523.</w:t>
      </w:r>
    </w:p>
    <w:p>
      <w:pPr>
        <w:pStyle w:val="ListNumber"/>
      </w:pPr>
      <w:r>
        <w:t>French JA, Gazzola DM. New generation antiepileptic drugs: what do they offer in terms of improved safety? Treat Adv Neurol Disord 2011 ; 4:87-101.</w:t>
      </w:r>
    </w:p>
    <w:p>
      <w:pPr>
        <w:pStyle w:val="ListNumber"/>
      </w:pPr>
      <w:r>
        <w:t>Nomenclature algérienne des médicaments — Avril 2026 (COMPLETE LISTE.xlsx).</w:t>
      </w:r>
    </w:p>
    <w:p>
      <w:pPr>
        <w:pStyle w:val="ListNumber"/>
      </w:pPr>
      <w:r>
        <w:t>Organisation Mondiale de la Santé (OMS) — Model List of Essential Medicines (phénobarbital inclus pour l'épilepsie de l'adulte et de l'enfant dans les pays à ressources limitées).</w:t>
      </w:r>
    </w:p>
    <w:p>
      <w:r/>
      <w:r>
        <w:rPr>
          <w:i/>
        </w:rPr>
        <w:t>Fin du Chapitre 91 — Fascicule XI Neurologie/Antiépileptiques.</w:t>
      </w:r>
      <w:r/>
    </w:p>
    <w:p>
      <w:pPr>
        <w:pStyle w:val="Heading2"/>
      </w:pPr>
      <w:r>
        <w:t>Fascicule XI — Chapitre 92 : Antiépileptiques modernes</w:t>
      </w:r>
    </w:p>
    <w:p>
      <w:pPr>
        <w:pStyle w:val="Heading2"/>
      </w:pPr>
      <w:r>
        <w:t>Avant-propos du Chapitre 92</w:t>
      </w:r>
    </w:p>
    <w:p>
      <w:r>
        <w:t xml:space="preserve">Le présent chapitre constitue le </w:t>
      </w:r>
      <w:r>
        <w:rPr>
          <w:b/>
        </w:rPr>
        <w:t>deuxième volet thématique</w:t>
      </w:r>
      <w:r>
        <w:t xml:space="preserve"> du Fascicule XI consacré à la neurologie et plus spécifiquement aux médicaments antiépileptiques. Il fait suite au Chapitre 91 qui a traité des antiépileptiques classiques (benzodiazépine-like, hydantoïnes, barbituriques, succinimides, imides stéroïdiennes). Le présent chapitre est exclusivement consacré aux </w:t>
      </w:r>
      <w:r>
        <w:rPr>
          <w:b/>
        </w:rPr>
        <w:t>antiépileptiques modernes de deuxième et troisième générations</w:t>
      </w:r>
      <w:r>
        <w:t>, molécules introduites en thérapeutique entre 1990 et 2010 et qui ont profondément modifié le paysage de la prise en charge pharmacologique de l'épilepsie, des douleurs neuropathiques et de la migraine.</w:t>
      </w:r>
    </w:p>
    <w:p>
      <w:r>
        <w:t xml:space="preserve">Contrairement aux antiépileptiques classiques qui ciblent majoritairement les canaux sodiques voltage-dépendants (phénytoïne, carbamazépine) ou potentialisent la transmission GABAergique (barbituriques, benzodiazépines), les </w:t>
      </w:r>
      <w:r>
        <w:rPr>
          <w:b/>
        </w:rPr>
        <w:t>antiépileptiques modernes</w:t>
      </w:r>
      <w:r>
        <w:t xml:space="preserve"> se caractérisent par une diversité de mécanismes d'action moléculaires nouveaux et innovants : (i) la </w:t>
      </w:r>
      <w:r>
        <w:rPr>
          <w:b/>
        </w:rPr>
        <w:t>liaison sélective à la sous-unité α2δ des canaux calciques voltage-dépendants</w:t>
      </w:r>
      <w:r>
        <w:t xml:space="preserve"> (gabapentine, prégabaline) — mécanisme qui a ouvert l'ère de la modulation présynaptique de la libération des neurotransmetteurs excitateurs ; (ii) la </w:t>
      </w:r>
      <w:r>
        <w:rPr>
          <w:b/>
        </w:rPr>
        <w:t>liaison à la protéine vésiculaire SV2A</w:t>
      </w:r>
      <w:r>
        <w:t xml:space="preserve"> (lévétiracétam) — cible totalement novatrice qui a révolutionné la conception même du médicament antiépileptique en ciblant la dynamique vésiculaire plutôt que le canal ionique ; (iii) la </w:t>
      </w:r>
      <w:r>
        <w:rPr>
          <w:b/>
        </w:rPr>
        <w:t>facilitation de l'inactivation lente des canaux sodiques</w:t>
      </w:r>
      <w:r>
        <w:t xml:space="preserve"> (lacosamide) — mécanisme différent des inactivations rapides de la phénytoïne ou de la carbamazépine, ce qui autorise une meilleure sélectivité pour les neurones dépolarisés ; (iv) l'</w:t>
      </w:r>
      <w:r>
        <w:rPr>
          <w:b/>
        </w:rPr>
        <w:t>inhibition de l'anhydrase carbonique</w:t>
      </w:r>
      <w:r>
        <w:t xml:space="preserve"> (acétazolamide, topiramate partiellement) — mécanisme ancien mais dont l'usage a été réévalué à la lumière des données modernes ; (v) le </w:t>
      </w:r>
      <w:r>
        <w:rPr>
          <w:b/>
        </w:rPr>
        <w:t>blocage des récepteurs AMPA/kainate du glutamate</w:t>
      </w:r>
      <w:r>
        <w:t xml:space="preserve"> (topiramate, pérampanel) — qui ouvre la voie aux antiépileptiques ciblant spécifiquement la transmission glutamatergique.</w:t>
      </w:r>
    </w:p>
    <w:p>
      <w:r>
        <w:t xml:space="preserve">Cette diversité mécanistique s'accompagne d'une amélioration marquée du profil de tolérance par rapport aux antiépileptiques classiques, notamment en termes de </w:t>
      </w:r>
      <w:r>
        <w:rPr>
          <w:b/>
        </w:rPr>
        <w:t>moindre induction enzymatique</w:t>
      </w:r>
      <w:r>
        <w:t xml:space="preserve"> (lévétiracétam, prégabaline, gabapentine, lacosamide ne sont pas des inducteurs du cytochrome P450), de </w:t>
      </w:r>
      <w:r>
        <w:rPr>
          <w:b/>
        </w:rPr>
        <w:t>moindre interactions médicamenteuses</w:t>
      </w:r>
      <w:r>
        <w:t xml:space="preserve"> (un atout majeur en polythérapie antiépileptique et chez le patient âgé polymédicamenté), et de </w:t>
      </w:r>
      <w:r>
        <w:rPr>
          <w:b/>
        </w:rPr>
        <w:t>meilleure tolérance cognitive</w:t>
      </w:r>
      <w:r>
        <w:t xml:space="preserve"> (bien que cet avantage reste relatif et doit être nuancé pour chaque molécule).</w:t>
      </w:r>
    </w:p>
    <w:p>
      <w:r>
        <w:t xml:space="preserve">Le chapitre 92 traite </w:t>
      </w:r>
      <w:r>
        <w:rPr>
          <w:b/>
        </w:rPr>
        <w:t>sept DCIs</w:t>
      </w:r>
      <w:r>
        <w:t xml:space="preserve"> réparties en </w:t>
      </w:r>
      <w:r>
        <w:rPr>
          <w:b/>
        </w:rPr>
        <w:t>sept sous-classes pharmacologiques distinctes</w:t>
      </w:r>
      <w:r>
        <w:t xml:space="preserve"> :</w:t>
      </w:r>
    </w:p>
    <w:p>
      <w:pPr>
        <w:pStyle w:val="ListNumber"/>
      </w:pPr>
      <w:r/>
      <w:r>
        <w:rPr>
          <w:b/>
        </w:rPr>
        <w:t>Analogues GABA — Gabapentine</w:t>
      </w:r>
      <w:r>
        <w:t xml:space="preserve"> (cyclohexyl GABA, liaison α2δ-1/α2δ-2)</w:t>
      </w:r>
    </w:p>
    <w:p>
      <w:pPr>
        <w:pStyle w:val="ListNumber"/>
      </w:pPr>
      <w:r/>
      <w:r>
        <w:rPr>
          <w:b/>
        </w:rPr>
        <w:t>Analogues GABA α2δ — Prégabaline</w:t>
      </w:r>
      <w:r>
        <w:t xml:space="preserve"> (anlogue GABA plus puissant, indication douleur neuropathique et GAD)</w:t>
      </w:r>
    </w:p>
    <w:p>
      <w:pPr>
        <w:pStyle w:val="ListNumber"/>
      </w:pPr>
      <w:r/>
      <w:r>
        <w:rPr>
          <w:b/>
        </w:rPr>
        <w:t>Analogues SV2A — Lévétiracétam</w:t>
      </w:r>
      <w:r>
        <w:t xml:space="preserve"> (antiépileptique de référence, médicament de choix en grossesse)</w:t>
      </w:r>
    </w:p>
    <w:p>
      <w:pPr>
        <w:pStyle w:val="ListNumber"/>
      </w:pPr>
      <w:r/>
      <w:r>
        <w:rPr>
          <w:b/>
        </w:rPr>
        <w:t>Multi-cibles — Topiramate</w:t>
      </w:r>
      <w:r>
        <w:t xml:space="preserve"> (AMPA/kainate + Na+ + GABA + anhydrase carbonique)</w:t>
      </w:r>
    </w:p>
    <w:p>
      <w:pPr>
        <w:pStyle w:val="ListNumber"/>
      </w:pPr>
      <w:r/>
      <w:r>
        <w:rPr>
          <w:b/>
        </w:rPr>
        <w:t>Dérivés carbamazépine — Oxcarbazépine</w:t>
      </w:r>
      <w:r>
        <w:t xml:space="preserve"> (proche structure, métabolite MHD, NON_RENOUVELABLE en Algérie)</w:t>
      </w:r>
    </w:p>
    <w:p>
      <w:pPr>
        <w:pStyle w:val="ListNumber"/>
      </w:pPr>
      <w:r/>
      <w:r>
        <w:rPr>
          <w:b/>
        </w:rPr>
        <w:t>Canaux Na+ lents — Lacosamide</w:t>
      </w:r>
      <w:r>
        <w:t xml:space="preserve"> (inactivation lente, allongement PR)</w:t>
      </w:r>
    </w:p>
    <w:p>
      <w:pPr>
        <w:pStyle w:val="ListNumber"/>
      </w:pPr>
      <w:r/>
      <w:r>
        <w:rPr>
          <w:b/>
        </w:rPr>
        <w:t>Inhibiteurs anhydrase carbonique — Acétazolamide</w:t>
      </w:r>
      <w:r>
        <w:t xml:space="preserve"> (usage antiépileptique marginal, indication historique)</w:t>
      </w:r>
    </w:p>
    <w:p>
      <w:r>
        <w:t xml:space="preserve">L'objectif pédagogique de ce chapitre est de fournir à l'étudiant en pharmacie algérien une </w:t>
      </w:r>
      <w:r>
        <w:rPr>
          <w:b/>
        </w:rPr>
        <w:t>vision intégrée</w:t>
      </w:r>
      <w:r>
        <w:t xml:space="preserve"> de ces sept molécules, en mettant l'accent sur : (a) leur </w:t>
      </w:r>
      <w:r>
        <w:rPr>
          <w:b/>
        </w:rPr>
        <w:t>mécanisme d'action moléculaire précis</w:t>
      </w:r>
      <w:r>
        <w:t xml:space="preserve"> ; (b) leur </w:t>
      </w:r>
      <w:r>
        <w:rPr>
          <w:b/>
        </w:rPr>
        <w:t>pharmacocinétique clinique</w:t>
      </w:r>
      <w:r>
        <w:t xml:space="preserve"> avec un focus particulier sur l'élimination rénale de la gabapentine, prégabaline, lévétiracétam et lacosamide — point crucial pour l'adaptation posologique chez l'insuffisant rénal ; (c) leurs </w:t>
      </w:r>
      <w:r>
        <w:rPr>
          <w:b/>
        </w:rPr>
        <w:t>indications AMM et hors AMM</w:t>
      </w:r>
      <w:r>
        <w:t xml:space="preserve"> en distinguant épilepsies partielles vs généralisées, douleurs neuropathiques, migraine, anxiété généralisée (prégabaline) ; (d) leurs </w:t>
      </w:r>
      <w:r>
        <w:rPr>
          <w:b/>
        </w:rPr>
        <w:t>effets indésirables caractéristiques</w:t>
      </w:r>
      <w:r>
        <w:t xml:space="preserve"> : somnolence et prise de poids pour les analogues α2δ, irritabilité pour le lévétiracétam, troubles cognitifs et lithiase rénale pour le topiramate, allongement PR pour le lacosamide, acidose métabolique pour l'acétazolamide ; (e) leur </w:t>
      </w:r>
      <w:r>
        <w:rPr>
          <w:b/>
        </w:rPr>
        <w:t>place pendant la grossesse</w:t>
      </w:r>
      <w:r>
        <w:t xml:space="preserve"> — élément capital puisque le lévétiracétam est désormais considéré comme l'antiépileptique de choix chez la femme enceinte épileptique, tandis que le topiramate et l'acétazolamide sont tératogènes ; (f) leurs </w:t>
      </w:r>
      <w:r>
        <w:rPr>
          <w:b/>
        </w:rPr>
        <w:t>interactions médicamenteuses</w:t>
      </w:r>
      <w:r>
        <w:t xml:space="preserve"> — limitées pour la plupart mais avec des pièges spécifiques (oxcarbazépine et contraception orale, topiramate et autres inhibiteurs de l'anhydrase carbonique, prégabaline et dépresseurs du SNC).</w:t>
      </w:r>
    </w:p>
    <w:p>
      <w:r>
        <w:t xml:space="preserve">L'étudiant trouvera également une </w:t>
      </w:r>
      <w:r>
        <w:rPr>
          <w:b/>
        </w:rPr>
        <w:t>mention explicite du statut NON_RENOUVELABLE de l'oxcarbazépine</w:t>
      </w:r>
      <w:r>
        <w:t xml:space="preserve"> en Algérie (seule la spécialité Trileptal 150 mg, Novartis, est concernée) et du </w:t>
      </w:r>
      <w:r>
        <w:rPr>
          <w:b/>
        </w:rPr>
        <w:t>retrait de plusieurs spécialités</w:t>
      </w:r>
      <w:r>
        <w:t xml:space="preserve"> (Diamox inj, Epitomax, Lyrica 100/150 mg gélules) — informations essentielles pour la dispensation au comptoir et le conseil pharmaceutique. La </w:t>
      </w:r>
      <w:r>
        <w:rPr>
          <w:b/>
        </w:rPr>
        <w:t xml:space="preserve"> Liste I</w:t>
      </w:r>
      <w:r>
        <w:t xml:space="preserve"> (réglementation des substances vénéneuses) s'applique à la majorité de ces molécules, à l'exception de l'acétazolamide et de l'oxcarbazépine qui sont en </w:t>
      </w:r>
      <w:r>
        <w:rPr>
          <w:b/>
        </w:rPr>
        <w:t>Liste II</w:t>
      </w:r>
      <w:r>
        <w:t>, ce qui doit être signalé au comptoir.</w:t>
      </w:r>
    </w:p>
    <w:p>
      <w:r>
        <w:t xml:space="preserve">Enfin, il convient de signaler que les analogues α2δ (prégabaline et, à un degré moindre, gabapentine) ont fait l'objet depuis 2017-2020 d'une </w:t>
      </w:r>
      <w:r>
        <w:rPr>
          <w:b/>
        </w:rPr>
        <w:t>réévaluation par l'ANSM et l'EMA</w:t>
      </w:r>
      <w:r>
        <w:t xml:space="preserve"> concernant le risque d'</w:t>
      </w:r>
      <w:r>
        <w:rPr>
          <w:b/>
        </w:rPr>
        <w:t>abus, mésusage et dépendance</w:t>
      </w:r>
      <w:r>
        <w:t>, notamment chez les patients aux antécédents de troubles addictifs. Ce point sera développé dans les fiches correspondantes car il a des implications directes sur la dispensation et le conseil pharmaceutique en officine algérienne.</w:t>
      </w:r>
    </w:p>
    <w:p>
      <w:pPr>
        <w:pStyle w:val="Heading2"/>
      </w:pPr>
      <w:r>
        <w:t>Introduction à la Sous-classe : Antiépileptiques — Modernes (analogues GABA)</w:t>
      </w:r>
    </w:p>
    <w:p>
      <w:r>
        <w:t xml:space="preserve">La sous-classe des </w:t>
      </w:r>
      <w:r>
        <w:rPr>
          <w:b/>
        </w:rPr>
        <w:t>analogues GABA modernes</w:t>
      </w:r>
      <w:r>
        <w:t xml:space="preserve"> est représentée en Algérie par une seule molécule : la </w:t>
      </w:r>
      <w:r>
        <w:rPr>
          <w:b/>
        </w:rPr>
        <w:t>gabapentine</w:t>
      </w:r>
      <w:r>
        <w:t xml:space="preserve"> (Neurontin®, Gabarontin®, Gabatrex®, Neuralgin®, Neuroplex®, Volar®, Gabamax®, Gabapentine GL®, Tepentine®). Bien que chimiquement conçue comme un analogue структурal du GABA (acide gamma-aminobutyrique) — son nom générique "gabapentine" reflète cette origine structurale (GABA + pentine) — il est crucial de comprendre que </w:t>
      </w:r>
      <w:r>
        <w:rPr>
          <w:b/>
        </w:rPr>
        <w:t>la gabapentine n'exerce aucun effet direct sur les récepteurs GABA-A ni GABA-B</w:t>
      </w:r>
      <w:r>
        <w:t xml:space="preserve">. Cette particularité, longtemps méconnue, a été clarifiée par les travaux de Sills et al. (2003) qui ont démontré que la gabapentine ne se lie pas aux sites de reconnaissance du GABA mais interagit sélectivement avec la </w:t>
      </w:r>
      <w:r>
        <w:rPr>
          <w:b/>
        </w:rPr>
        <w:t>sous-unité auxiliaire α2δ-1 et α2δ-2 des canaux calciques voltage-dépendants de type P/Q et N</w:t>
      </w:r>
      <w:r>
        <w:t>.</w:t>
      </w:r>
    </w:p>
    <w:p>
      <w:r>
        <w:t xml:space="preserve">La gabapentine a été initialement développée comme un agoniste GABAergique potentiel, mais sa caractérisation pharmacologique ultérieure a révélé son mécanisme d'action réel : </w:t>
      </w:r>
      <w:r>
        <w:rPr>
          <w:b/>
        </w:rPr>
        <w:t>blocage de la libération présynaptique de glutamate</w:t>
      </w:r>
      <w:r>
        <w:t xml:space="preserve"> par liaison à la sous-unité α2δ. Cette découverte a ouvert la voie au développement de la </w:t>
      </w:r>
      <w:r>
        <w:rPr>
          <w:b/>
        </w:rPr>
        <w:t>prégabaline</w:t>
      </w:r>
      <w:r>
        <w:t xml:space="preserve"> (traitée dans la sous-classe suivante), molécule plus puissante et à cinétique linéaire.</w:t>
      </w:r>
    </w:p>
    <w:p>
      <w:r>
        <w:t xml:space="preserve">La gabapentine présente une </w:t>
      </w:r>
      <w:r>
        <w:rPr>
          <w:b/>
        </w:rPr>
        <w:t>pharmacocinétique particulière</w:t>
      </w:r>
      <w:r>
        <w:t xml:space="preserve"> : absorption intestinale saturable via le transporteur d'acides aminés LAT1, ce qui confère une </w:t>
      </w:r>
      <w:r>
        <w:rPr>
          <w:b/>
        </w:rPr>
        <w:t>biodisponibilité non linéaire</w:t>
      </w:r>
      <w:r>
        <w:t xml:space="preserve"> (60 % à 300 mg, 35 % à 1600 mg, 27 % à 4800 mg en une prise). Cette cinétique saturable représente à la fois un </w:t>
      </w:r>
      <w:r>
        <w:rPr>
          <w:b/>
        </w:rPr>
        <w:t>avantage</w:t>
      </w:r>
      <w:r>
        <w:t xml:space="preserve"> (auto-limitation de la toxicité en cas d'augmentation posologique excessive) et un </w:t>
      </w:r>
      <w:r>
        <w:rPr>
          <w:b/>
        </w:rPr>
        <w:t>inconvénient</w:t>
      </w:r>
      <w:r>
        <w:t xml:space="preserve"> (nécessité de fractions de doses multiples pour atteindre les doses efficaces). L'élimination est </w:t>
      </w:r>
      <w:r>
        <w:rPr>
          <w:b/>
        </w:rPr>
        <w:t>exclusivement rénale</w:t>
      </w:r>
      <w:r>
        <w:t xml:space="preserve"> sous forme inchangée (100 %), avec une demi-vie d'élimination de 5 à 7 heures nécessitant une administration </w:t>
      </w:r>
      <w:r>
        <w:rPr>
          <w:b/>
        </w:rPr>
        <w:t>trois fois par jour</w:t>
      </w:r>
      <w:r>
        <w:t>. L'absence de métabolisme hépatique et de liaison aux protéines plasmatiques (&lt;3 %) explique son profil d'interactions très favorable.</w:t>
      </w:r>
    </w:p>
    <w:p>
      <w:r>
        <w:t xml:space="preserve">Les indications algériennes et internationales de la gabapentine couvrent : (i) les </w:t>
      </w:r>
      <w:r>
        <w:rPr>
          <w:b/>
        </w:rPr>
        <w:t>épilepsies partielles de l'adulte et de l'enfant &gt; 6 ans</w:t>
      </w:r>
      <w:r>
        <w:t xml:space="preserve"> en association ou en monothérapie ; (ii) les </w:t>
      </w:r>
      <w:r>
        <w:rPr>
          <w:b/>
        </w:rPr>
        <w:t>douleurs neuropathiques de l'adulte</w:t>
      </w:r>
      <w:r>
        <w:t xml:space="preserve"> (post-zostériennes, diabétiques, neuropathies périphériques diverses) ; (iii) en hors AMM, le </w:t>
      </w:r>
      <w:r>
        <w:rPr>
          <w:b/>
        </w:rPr>
        <w:t>traitement de la douleur chronique</w:t>
      </w:r>
      <w:r>
        <w:t xml:space="preserve">, la prévention de la </w:t>
      </w:r>
      <w:r>
        <w:rPr>
          <w:b/>
        </w:rPr>
        <w:t>migraine</w:t>
      </w:r>
      <w:r>
        <w:t>, et le traitement de l'</w:t>
      </w:r>
      <w:r>
        <w:rPr>
          <w:b/>
        </w:rPr>
        <w:t>anxiété généralisée</w:t>
      </w:r>
      <w:r>
        <w:t xml:space="preserve">. Le profil de tolérance est marqué par </w:t>
      </w:r>
      <w:r>
        <w:rPr>
          <w:b/>
        </w:rPr>
        <w:t>somnolence, vertiges, ataxie, fatigue</w:t>
      </w:r>
      <w:r>
        <w:t xml:space="preserve"> et </w:t>
      </w:r>
      <w:r>
        <w:rPr>
          <w:b/>
        </w:rPr>
        <w:t>prise de poids modérée</w:t>
      </w:r>
      <w:r>
        <w:t xml:space="preserve"> (5-10 % du poids initial). L'absence d'interactions et la largefenêtre thérapeutique en font une molécule de choix chez le sujet âgé.</w:t>
      </w:r>
    </w:p>
    <w:p>
      <w:pPr>
        <w:pStyle w:val="Heading2"/>
      </w:pPr>
      <w:r>
        <w:t>Introduction à la Sous-classe : Antiépileptiques — Modernes (analogues GABA α2δ)</w:t>
      </w:r>
    </w:p>
    <w:p>
      <w:r>
        <w:t xml:space="preserve">La sous-classe des </w:t>
      </w:r>
      <w:r>
        <w:rPr>
          <w:b/>
        </w:rPr>
        <w:t>analogues GABA α2δ modernes</w:t>
      </w:r>
      <w:r>
        <w:t xml:space="preserve"> est représentée en Algérie par la </w:t>
      </w:r>
      <w:r>
        <w:rPr>
          <w:b/>
        </w:rPr>
        <w:t>prégabaline</w:t>
      </w:r>
      <w:r>
        <w:t xml:space="preserve"> (Lyrica®, Lyrica Upjohn-Saidal®, Leptica®, Liprag®, Lyrizin®, Neuraxon®, Neurica®, Pregabalin Beker®, Pregabalin LDM®, Pregarica®, Regab®, Ricabaline®, Yrical®, Gabalyse®, Galara®, Nervax®). La prégabaline est le </w:t>
      </w:r>
      <w:r>
        <w:rPr>
          <w:b/>
        </w:rPr>
        <w:t>second représentant de la classe des gabapentinoïdes</w:t>
      </w:r>
      <w:r>
        <w:t xml:space="preserve"> après la gabapentine, mais s'en distingue par une </w:t>
      </w:r>
      <w:r>
        <w:rPr>
          <w:b/>
        </w:rPr>
        <w:t>affinité six fois supérieure</w:t>
      </w:r>
      <w:r>
        <w:t xml:space="preserve"> pour la sous-unité α2δ-1, une </w:t>
      </w:r>
      <w:r>
        <w:rPr>
          <w:b/>
        </w:rPr>
        <w:t>cinétique d'absorption linéaire</w:t>
      </w:r>
      <w:r>
        <w:t xml:space="preserve"> (contrairement à la gabapentine saturable), et une </w:t>
      </w:r>
      <w:r>
        <w:rPr>
          <w:b/>
        </w:rPr>
        <w:t>biodisponibilité orale supérieure</w:t>
      </w:r>
      <w:r>
        <w:t xml:space="preserve"> (≥90 %).</w:t>
      </w:r>
    </w:p>
    <w:p>
      <w:r>
        <w:t xml:space="preserve">La prégabaline a été introduite en thérapeutique en 2004 (Pfizer) et a obtenu son AMM européenne pour : (i) les </w:t>
      </w:r>
      <w:r>
        <w:rPr>
          <w:b/>
        </w:rPr>
        <w:t>épilepsies partielles de l'adulte</w:t>
      </w:r>
      <w:r>
        <w:t xml:space="preserve"> en association ; (ii) la </w:t>
      </w:r>
      <w:r>
        <w:rPr>
          <w:b/>
        </w:rPr>
        <w:t>douleur neuropathique de l'adulte</w:t>
      </w:r>
      <w:r>
        <w:t xml:space="preserve"> (diabétique, post-zostérienne, centrale) ; (iii) le </w:t>
      </w:r>
      <w:r>
        <w:rPr>
          <w:b/>
        </w:rPr>
        <w:t>trouble anxieux généralisé (TAG)</w:t>
      </w:r>
      <w:r>
        <w:t xml:space="preserve"> de l'adulte ; (iv) la </w:t>
      </w:r>
      <w:r>
        <w:rPr>
          <w:b/>
        </w:rPr>
        <w:t>fibromyalgie</w:t>
      </w:r>
      <w:r>
        <w:t xml:space="preserve"> (indication approuvée en Europe mais pas aux États-Unis). Cette largeur d'indications explique la disponibilité de </w:t>
      </w:r>
      <w:r>
        <w:rPr>
          <w:b/>
        </w:rPr>
        <w:t>46 spécialités actives</w:t>
      </w:r>
      <w:r>
        <w:t xml:space="preserve"> en Algérie (contre 13 pour la gabapentine), témoignant de l'adoption massive de la molécule par les prescripteurs algériens.</w:t>
      </w:r>
    </w:p>
    <w:p>
      <w:r>
        <w:t xml:space="preserve">Le mécanisme d'action de la prégabaline est strictement identique à celui de la gabapentine : </w:t>
      </w:r>
      <w:r>
        <w:rPr>
          <w:b/>
        </w:rPr>
        <w:t>liaison sélective à la sous-unité α2δ-1 (et à un moindre degré α2δ-2) des canaux calciques voltage-dépendants de type P/Q et N</w:t>
      </w:r>
      <w:r>
        <w:t xml:space="preserve">, ce qui réduit l'afflux calcique présynaptique et diminue la libération des neurotransmetteurs excitateurs (glutamate, noradrénaline, substance P). La conséquence nette est une </w:t>
      </w:r>
      <w:r>
        <w:rPr>
          <w:b/>
        </w:rPr>
        <w:t>réduction de l'hyperexcitabilité neuronale</w:t>
      </w:r>
      <w:r>
        <w:t xml:space="preserve"> sans effet direct sur les canaux sodiques, sur les récepteurs GABA-A ou GABA-B, ou sur l'anhydrase carbonique.</w:t>
      </w:r>
    </w:p>
    <w:p>
      <w:r>
        <w:t xml:space="preserve">Le point critique à signaler au comptoir concerne le </w:t>
      </w:r>
      <w:r>
        <w:rPr>
          <w:b/>
        </w:rPr>
        <w:t>risque d'abus, de mésusage et de dépendance</w:t>
      </w:r>
      <w:r>
        <w:t xml:space="preserve"> identifié depuis 2017-2020 par l'EMA et l'ANSM. Bien que la prégabaline ne soit pas inscrite à la liste des stupéfiants, elle est </w:t>
      </w:r>
      <w:r>
        <w:rPr>
          <w:b/>
        </w:rPr>
        <w:t>inscrite sur la Liste I</w:t>
      </w:r>
      <w:r>
        <w:t xml:space="preserve"> des substances vénéneuses en Algérie et fait l'objet d'une surveillance renforcée. Le pharmacien d'offrine doit être particulièrement attentif aux </w:t>
      </w:r>
      <w:r>
        <w:rPr>
          <w:b/>
        </w:rPr>
        <w:t>demandes répétées de prégabaline</w:t>
      </w:r>
      <w:r>
        <w:t xml:space="preserve">, aux </w:t>
      </w:r>
      <w:r>
        <w:rPr>
          <w:b/>
        </w:rPr>
        <w:t>doses croissantes non justifiées par l'évolution de la maladie</w:t>
      </w:r>
      <w:r>
        <w:t xml:space="preserve">, et aux </w:t>
      </w:r>
      <w:r>
        <w:rPr>
          <w:b/>
        </w:rPr>
        <w:t>antécédents de troubles addictifs</w:t>
      </w:r>
      <w:r>
        <w:t xml:space="preserve"> du patient. Un rapport bénéfice/risque doit être évalué notamment chez les patients jeunes ou polyconsommateurs de psychotropes.</w:t>
      </w:r>
    </w:p>
    <w:p>
      <w:r>
        <w:t xml:space="preserve">La prégabaline est également </w:t>
      </w:r>
      <w:r>
        <w:rPr>
          <w:b/>
        </w:rPr>
        <w:t>remboursée et utilisée en France dans le traitement de l'anxiété généralisée</w:t>
      </w:r>
      <w:r>
        <w:t>, indication pour laquelle elle a démontré une supériorité par rapport au placebo et une équivalence avec les benzodiazépines et la venlafaxine, avec un délai d'action plus court (1 semaine vs 2-4 semaines pour les ISRS). En Algérie, l'AMM est identique à l'européenne, ce qui explique son usage large en psychiatrie et en médecine générale.</w:t>
      </w:r>
    </w:p>
    <w:p>
      <w:pPr>
        <w:pStyle w:val="Heading2"/>
      </w:pPr>
      <w:r>
        <w:t>Introduction à la Sous-classe : Antiépileptiques — Modernes (analogues SV2A)</w:t>
      </w:r>
    </w:p>
    <w:p>
      <w:r>
        <w:t xml:space="preserve">La sous-classe des </w:t>
      </w:r>
      <w:r>
        <w:rPr>
          <w:b/>
        </w:rPr>
        <w:t>analogues SV2A modernes</w:t>
      </w:r>
      <w:r>
        <w:t xml:space="preserve"> est représentée en Algérie par le </w:t>
      </w:r>
      <w:r>
        <w:rPr>
          <w:b/>
        </w:rPr>
        <w:t>lévétiracétam</w:t>
      </w:r>
      <w:r>
        <w:t xml:space="preserve"> (Keppra®, Keppam®, BIOCETAM®, Egorie®, EPILEPTAM®, EPIXX®, KEPACETAM®, LACETAM®, Levetiracetam Beker®, Levetiracetam Novogenerics®, SOPROTAM 250®, NEUROCETAM®, VETRAM®, KEPAM LP®, VETRAM LP®). Le lévétiracétam est l'</w:t>
      </w:r>
      <w:r>
        <w:rPr>
          <w:b/>
        </w:rPr>
        <w:t>unique représentant</w:t>
      </w:r>
      <w:r>
        <w:t xml:space="preserve"> de cette nouvelle classe pharmacologique qui a révolutionné la conception même du médicament antiépileptique : contrairement à toutes les classes précédentes qui ciblent un canal ionique ou un récepteur, le lévétiracétam cible une </w:t>
      </w:r>
      <w:r>
        <w:rPr>
          <w:b/>
        </w:rPr>
        <w:t>protéine vésiculaire synaptique</w:t>
      </w:r>
      <w:r>
        <w:t xml:space="preserve"> — la protéine </w:t>
      </w:r>
      <w:r>
        <w:rPr>
          <w:b/>
        </w:rPr>
        <w:t>SV2A (Synaptic Vesicle glycoprotein 2A)</w:t>
      </w:r>
      <w:r>
        <w:t>.</w:t>
      </w:r>
    </w:p>
    <w:p>
      <w:r>
        <w:t xml:space="preserve">La protéine SV2A est une </w:t>
      </w:r>
      <w:r>
        <w:rPr>
          <w:b/>
        </w:rPr>
        <w:t>protéine transmembranaire des vésicules synaptiques</w:t>
      </w:r>
      <w:r>
        <w:t xml:space="preserve"> impliquée dans le trafic vésiculaire, le recyclage des vésicules et la régulation de la libération des neurotransmetteurs. Le lévétiracétam se lie spécifiquement à SV2A (et non aux protéines apparentées SV2B et SV2C), ce qui module la libération vésiculaire tant du GABA que du glutamate. Cette action </w:t>
      </w:r>
      <w:r>
        <w:rPr>
          <w:b/>
        </w:rPr>
        <w:t>modulatrice et non bloquante</w:t>
      </w:r>
      <w:r>
        <w:t xml:space="preserve"> explique probablement le profil de tolérance favorable du lévétiracétam et son spectre d'action large.</w:t>
      </w:r>
    </w:p>
    <w:p>
      <w:r>
        <w:t xml:space="preserve">Le lévétiracétam a été introduit en 1999 (UCB Pharma) et a obtenu l'AMM pour : (i) les </w:t>
      </w:r>
      <w:r>
        <w:rPr>
          <w:b/>
        </w:rPr>
        <w:t>épilepsies partielles de l'adulte et de l'enfant &gt; 4 ans</w:t>
      </w:r>
      <w:r>
        <w:t xml:space="preserve"> en association et en monothérapie ; (ii) les </w:t>
      </w:r>
      <w:r>
        <w:rPr>
          <w:b/>
        </w:rPr>
        <w:t>crises myocloniques</w:t>
      </w:r>
      <w:r>
        <w:t xml:space="preserve"> de l'épilepsie myoclonique juvénile (EMJ) ; (iii) les </w:t>
      </w:r>
      <w:r>
        <w:rPr>
          <w:b/>
        </w:rPr>
        <w:t>crises généralisées tonico-cloniques</w:t>
      </w:r>
      <w:r>
        <w:t xml:space="preserve"> de l'épilepsie généralisée idiopathique. Cette triple indication AMM en fait un antiépileptique de </w:t>
      </w:r>
      <w:r>
        <w:rPr>
          <w:b/>
        </w:rPr>
        <w:t>spectre large</w:t>
      </w:r>
      <w:r>
        <w:t>, utilisable à la fois dans les épilepsies partielles et généralisées.</w:t>
      </w:r>
    </w:p>
    <w:p>
      <w:r>
        <w:t xml:space="preserve">Le lévétiracétam présente une </w:t>
      </w:r>
      <w:r>
        <w:rPr>
          <w:b/>
        </w:rPr>
        <w:t>pharmacocinétique remarquablement simple et prédictible</w:t>
      </w:r>
      <w:r>
        <w:t xml:space="preserve"> : absorption orale rapide et quasi-complète (≥95 %), biodisponibilité absolue de 100 %, indépendante de la prise alimentaire, absence de liaison aux protéines plasmatiques (&lt;10 %), absence de métabolisme hépatique (l'hydrolyse non hépatique par les estérases plasmatiques produit un métabolite inactif UCB L057), et </w:t>
      </w:r>
      <w:r>
        <w:rPr>
          <w:b/>
        </w:rPr>
        <w:t>élimination rénale à 95 % sous forme inchangée</w:t>
      </w:r>
      <w:r>
        <w:t xml:space="preserve"> avec une demi-vie de 6-8 heures chez l'adulte. Cette pharmacocinétique explique l'absence quasi-totale d'interactions médicamenteuses et la possibilité d'administration en monothérapie d'emblée.</w:t>
      </w:r>
    </w:p>
    <w:p>
      <w:r>
        <w:t xml:space="preserve">Le point critique du lévétiracétam concerne sa </w:t>
      </w:r>
      <w:r>
        <w:rPr>
          <w:b/>
        </w:rPr>
        <w:t>place pendant la grossesse</w:t>
      </w:r>
      <w:r>
        <w:t xml:space="preserve"> : le Registre international des grossesses sous antiépileptiques (EURAP) et les données Nord-Américaines (NAAPR) ont démontré que le lévétiracétam présente </w:t>
      </w:r>
      <w:r>
        <w:rPr>
          <w:b/>
        </w:rPr>
        <w:t>le taux de malformations congénitales majeures le plus bas de tous les antiépileptiques modernes</w:t>
      </w:r>
      <w:r>
        <w:t xml:space="preserve"> (≈2 % à dose thérapeutique, vs 6-9 % pour le valproate, 3-4 % pour la carbamazépine, 4-5 % pour le topiramate). Le CRAT (Centre Renseignement sur les Agents Tératogènes) classe le lévétiracétam comme </w:t>
      </w:r>
      <w:r>
        <w:rPr>
          <w:b/>
        </w:rPr>
        <w:t>compatible avec la grossesse</w:t>
      </w:r>
      <w:r>
        <w:t xml:space="preserve"> et le recommande comme </w:t>
      </w:r>
      <w:r>
        <w:rPr>
          <w:b/>
        </w:rPr>
        <w:t>antiépileptique de premier choix chez la femme en âge de procréer</w:t>
      </w:r>
      <w:r>
        <w:t>. Cette position a été confirmée par l'ILAE (International League Against Epilepsy) en 2019.</w:t>
      </w:r>
    </w:p>
    <w:p>
      <w:r>
        <w:t xml:space="preserve">L'autre point critique concerne les </w:t>
      </w:r>
      <w:r>
        <w:rPr>
          <w:b/>
        </w:rPr>
        <w:t>effets indésirables psychiatriques</w:t>
      </w:r>
      <w:r>
        <w:t xml:space="preserve"> : le lévétiracétam peut induire </w:t>
      </w:r>
      <w:r>
        <w:rPr>
          <w:b/>
        </w:rPr>
        <w:t>irritabilité, agressivité, agitation, dépression, voire idées suicidaires</w:t>
      </w:r>
      <w:r>
        <w:t xml:space="preserve"> chez 5-15 % des patients, particulièrement les enfants et les patients aux antécédents psychiatriques. Le pharmacien d'officine doit informer le patient et son entourage de cet effet et recommander un arrêt consultatif si ces symptômes apparaissent.</w:t>
      </w:r>
    </w:p>
    <w:p>
      <w:pPr>
        <w:pStyle w:val="Heading2"/>
      </w:pPr>
      <w:r>
        <w:t>Introduction à la Sous-classe : Antiépileptiques — Modernes (multi-cibles)</w:t>
      </w:r>
    </w:p>
    <w:p>
      <w:r>
        <w:t xml:space="preserve">La sous-classe des </w:t>
      </w:r>
      <w:r>
        <w:rPr>
          <w:b/>
        </w:rPr>
        <w:t>antiépileptiques multi-cibles modernes</w:t>
      </w:r>
      <w:r>
        <w:t xml:space="preserve"> est représentée en Algérie par le </w:t>
      </w:r>
      <w:r>
        <w:rPr>
          <w:b/>
        </w:rPr>
        <w:t>topiramate</w:t>
      </w:r>
      <w:r>
        <w:t xml:space="preserve"> (Topiclomax® — El Kendi, Repanide® NON_RENOUVELABLE, Epitomax® RETIRE). Le topiramate est une </w:t>
      </w:r>
      <w:r>
        <w:rPr>
          <w:b/>
        </w:rPr>
        <w:t>molécule de synthèse originale</w:t>
      </w:r>
      <w:r>
        <w:t xml:space="preserve"> dérivée d'un programme de recherche sur les analogues du fructose (D-fructose-1,6-diphosphate) qui s'est révélé posséder une activité antiépileptique inattendue. Son originalité réside dans son </w:t>
      </w:r>
      <w:r>
        <w:rPr>
          <w:b/>
        </w:rPr>
        <w:t>mécanisme d'action multi-cible</w:t>
      </w:r>
      <w:r>
        <w:t xml:space="preserve"> — le seul antiépileptique moderne à agir simultanément sur </w:t>
      </w:r>
      <w:r>
        <w:rPr>
          <w:b/>
        </w:rPr>
        <w:t>quatre cibles pharmacologiques distinctes</w:t>
      </w:r>
      <w:r>
        <w:t xml:space="preserve"> :</w:t>
      </w:r>
    </w:p>
    <w:p>
      <w:pPr>
        <w:pStyle w:val="ListNumber"/>
      </w:pPr>
      <w:r/>
      <w:r>
        <w:rPr>
          <w:b/>
        </w:rPr>
        <w:t>Blocage des canaux sodiques voltage-dépendants</w:t>
      </w:r>
      <w:r>
        <w:t xml:space="preserve"> (état inactivé) — mécanisme classique partagé avec la carbamazépine et la phénytoïne, mais sur les canaux Na+ des neurones épileptiques en activité paroxystique</w:t>
      </w:r>
    </w:p>
    <w:p>
      <w:pPr>
        <w:pStyle w:val="ListNumber"/>
      </w:pPr>
      <w:r/>
      <w:r>
        <w:rPr>
          <w:b/>
        </w:rPr>
        <w:t>Blocage des récepteurs AMPA/kainate du glutamate</w:t>
      </w:r>
      <w:r>
        <w:t xml:space="preserve"> — une particularité du topiramate qui en fait l'un des rares antiépileptiques anti-excitotoxiques directs ; cette action réduit la transmission glutamatergique excessive à l'origine de la propagation des crises</w:t>
      </w:r>
    </w:p>
    <w:p>
      <w:pPr>
        <w:pStyle w:val="ListNumber"/>
      </w:pPr>
      <w:r/>
      <w:r>
        <w:rPr>
          <w:b/>
        </w:rPr>
        <w:t>Potentialisation de l'activité GABAergique</w:t>
      </w:r>
      <w:r>
        <w:t xml:space="preserve"> — augmentation de la fréquence d'ouverture des canaux chlore du récepteur GABA-A par interaction avec un site non benzodiazépinique</w:t>
      </w:r>
    </w:p>
    <w:p>
      <w:pPr>
        <w:pStyle w:val="ListNumber"/>
      </w:pPr>
      <w:r/>
      <w:r>
        <w:rPr>
          <w:b/>
        </w:rPr>
        <w:t>Inhibition faible de l'anhydrase carbonique</w:t>
      </w:r>
      <w:r>
        <w:t xml:space="preserve"> (CA-II et CA-IV) — mécanisme partagé avec l'acétazolamide mais d'affinité bien inférieure ; responsable de l'acidose métabolique et de la lithiase rénale observées sous traitement</w:t>
      </w:r>
    </w:p>
    <w:p>
      <w:r>
        <w:t xml:space="preserve">Cette diversité mécanistique confère au topiramate un </w:t>
      </w:r>
      <w:r>
        <w:rPr>
          <w:b/>
        </w:rPr>
        <w:t>spectre d'action très large</w:t>
      </w:r>
      <w:r>
        <w:t xml:space="preserve"> couvrant les épilepsies partielles et généralisées, la migraine préventive, et hors AMM, les troubles bipolaires, le sevrage alcoolique, le binge eating disorder, le syndrome de Lennox-Gastaut. Il a obtenu l'AMM pour : (i) </w:t>
      </w:r>
      <w:r>
        <w:rPr>
          <w:b/>
        </w:rPr>
        <w:t>épilepsie partielle et généralisée de l'adulte et de l'enfant &gt; 2 ans</w:t>
      </w:r>
      <w:r>
        <w:t xml:space="preserve"> en association et en monothérapie ; (ii) </w:t>
      </w:r>
      <w:r>
        <w:rPr>
          <w:b/>
        </w:rPr>
        <w:t>Syndrome de Lennox-Gastaut</w:t>
      </w:r>
      <w:r>
        <w:t xml:space="preserve"> ; (iii) </w:t>
      </w:r>
      <w:r>
        <w:rPr>
          <w:b/>
        </w:rPr>
        <w:t>prophylaxie de la migraine</w:t>
      </w:r>
      <w:r>
        <w:t xml:space="preserve"> chez l'adulte.</w:t>
      </w:r>
    </w:p>
    <w:p>
      <w:r>
        <w:t xml:space="preserve">Le profil de tolérance du topiramate est dominé par : (i) </w:t>
      </w:r>
      <w:r>
        <w:rPr>
          <w:b/>
        </w:rPr>
        <w:t>troubles cognitifs</w:t>
      </w:r>
      <w:r>
        <w:t xml:space="preserve"> (ralentissement idéatoire, troubles du langage, troubles mnésiques — particulièrement à doses &gt;200 mg/j) qui en limitent l'usage chez le sujet âgé ; (ii) </w:t>
      </w:r>
      <w:r>
        <w:rPr>
          <w:b/>
        </w:rPr>
        <w:t>perte de poids</w:t>
      </w:r>
      <w:r>
        <w:t xml:space="preserve"> (effet indésirable paradoxal, mais recherché par certains patients — 5-10 % du poids initial) ; (iii) </w:t>
      </w:r>
      <w:r>
        <w:rPr>
          <w:b/>
        </w:rPr>
        <w:t>lithiase rénale</w:t>
      </w:r>
      <w:r>
        <w:t xml:space="preserve"> (calcique, par acidose tubulaire distale) — mesure préventive : hyperhydratation ; (iv) </w:t>
      </w:r>
      <w:r>
        <w:rPr>
          <w:b/>
        </w:rPr>
        <w:t>acidose métabolique hyperchlorémique</w:t>
      </w:r>
      <w:r>
        <w:t xml:space="preserve"> par inhibition de l'anhydrase carbonique ; (v) </w:t>
      </w:r>
      <w:r>
        <w:rPr>
          <w:b/>
        </w:rPr>
        <w:t>glaucome aigu à angle fermé</w:t>
      </w:r>
      <w:r>
        <w:t xml:space="preserve"> (rare mais grave) ; (vi) </w:t>
      </w:r>
      <w:r>
        <w:rPr>
          <w:b/>
        </w:rPr>
        <w:t>paresthésies des extrémités</w:t>
      </w:r>
      <w:r>
        <w:t xml:space="preserve"> (très fréquentes, liées à l'inhibition de l'anhydrase carbonique).</w:t>
      </w:r>
    </w:p>
    <w:p>
      <w:r>
        <w:t xml:space="preserve">Le point critique du topiramate concerne sa </w:t>
      </w:r>
      <w:r>
        <w:rPr>
          <w:b/>
        </w:rPr>
        <w:t>tératogénicité</w:t>
      </w:r>
      <w:r>
        <w:t xml:space="preserve"> : le topiramate est </w:t>
      </w:r>
      <w:r>
        <w:rPr>
          <w:b/>
        </w:rPr>
        <w:t>tératogène chez l'humain</w:t>
      </w:r>
      <w:r>
        <w:t xml:space="preserve">, avec un risque accru de </w:t>
      </w:r>
      <w:r>
        <w:rPr>
          <w:b/>
        </w:rPr>
        <w:t>fentes labio-palatines</w:t>
      </w:r>
      <w:r>
        <w:t xml:space="preserve"> (cleft lip/palate) multiplié par 5 à 10 vs la population générale, ainsi que d'hypoplasie des phalanges et de retard de croissance intra-utérin. Le CRAT classe le topiramate comme </w:t>
      </w:r>
      <w:r>
        <w:rPr>
          <w:b/>
        </w:rPr>
        <w:t>contre-indiqué pendant la grossesse</w:t>
      </w:r>
      <w:r>
        <w:t xml:space="preserve"> sauf situations exceptionnelles. L'ILAE recommande d'éviter le topiramate chez toute femme en âge de procréer n'utilisant pas de contraception efficace. Cette position doit être rappelée avec force au comptoir.</w:t>
      </w:r>
    </w:p>
    <w:p>
      <w:pPr>
        <w:pStyle w:val="Heading2"/>
      </w:pPr>
      <w:r>
        <w:t>Introduction à la Sous-classe : Antiépileptiques — Modernes (dérivés carbamazépine)</w:t>
      </w:r>
    </w:p>
    <w:p>
      <w:r>
        <w:t xml:space="preserve">La sous-classe des </w:t>
      </w:r>
      <w:r>
        <w:rPr>
          <w:b/>
        </w:rPr>
        <w:t>dérivés carbamazépine modernes</w:t>
      </w:r>
      <w:r>
        <w:t xml:space="preserve"> est représentée en Algérie par l'</w:t>
      </w:r>
      <w:r>
        <w:rPr>
          <w:b/>
        </w:rPr>
        <w:t>oxcarbazépine</w:t>
      </w:r>
      <w:r>
        <w:t xml:space="preserve"> (Trileptal® — Novartis). L'oxcarbazépine est un </w:t>
      </w:r>
      <w:r>
        <w:rPr>
          <w:b/>
        </w:rPr>
        <w:t>dérivé structurel de la carbamazépine</w:t>
      </w:r>
      <w:r>
        <w:t xml:space="preserve"> (10-kéto-analogue) développé dans les années 1990 pour améliorer le profil de tolérance hématologique et hépatique de la carbamazépine. La modification chimique (substitution d'un groupement céto en position 10) modifie profondément le métabolisme : contrairement à la carbamazépine qui est oxydée en carbamazépine-10,11-époxyde (métabolite actif et toxique), l'oxcarbazépine est </w:t>
      </w:r>
      <w:r>
        <w:rPr>
          <w:b/>
        </w:rPr>
        <w:t>rapidement métabolisée par les cytosoliques arylcétone-réductases</w:t>
      </w:r>
      <w:r>
        <w:t xml:space="preserve"> en </w:t>
      </w:r>
      <w:r>
        <w:rPr>
          <w:b/>
        </w:rPr>
        <w:t>10-monohydroxy-dérivé (MHD)</w:t>
      </w:r>
      <w:r>
        <w:t xml:space="preserve"> — métabolite actif responsable de l'effet thérapeutique.</w:t>
      </w:r>
    </w:p>
    <w:p>
      <w:r>
        <w:t xml:space="preserve">Ce métabolisme différentiel présente plusieurs </w:t>
      </w:r>
      <w:r>
        <w:rPr>
          <w:b/>
        </w:rPr>
        <w:t>avantages majeurs</w:t>
      </w:r>
      <w:r>
        <w:t xml:space="preserve"> : (i) </w:t>
      </w:r>
      <w:r>
        <w:rPr>
          <w:b/>
        </w:rPr>
        <w:t>absence d'auto-induction enzymatique</w:t>
      </w:r>
      <w:r>
        <w:t xml:space="preserve"> (contrairement à la carbamazépine qui s'auto-induit son métabolisme), ce qui simplifie le titrage posologique ; (ii) </w:t>
      </w:r>
      <w:r>
        <w:rPr>
          <w:b/>
        </w:rPr>
        <w:t>absence d'induction du cytochrome CYP3A4</w:t>
      </w:r>
      <w:r>
        <w:t xml:space="preserve"> à un degré comparable à la carbamazépine (induction plus faible), avec néanmoins une </w:t>
      </w:r>
      <w:r>
        <w:rPr>
          <w:b/>
        </w:rPr>
        <w:t>interaction significative avec les contraceptifs oraux</w:t>
      </w:r>
      <w:r>
        <w:t xml:space="preserve"> (baisse d'efficacité par induction du CYP3A4) ; (iii) </w:t>
      </w:r>
      <w:r>
        <w:rPr>
          <w:b/>
        </w:rPr>
        <w:t>absence de métabolite époxyde toxique</w:t>
      </w:r>
      <w:r>
        <w:t>, ce qui réduit le risque d'agranulocytose, d'aplasie médullaire et d'hépatotoxicité sévère.</w:t>
      </w:r>
    </w:p>
    <w:p>
      <w:r>
        <w:t xml:space="preserve">Le mécanisme d'action de l'oxcarbazépine (via son métabolite MHD) est identique à celui de la carbamazépine : </w:t>
      </w:r>
      <w:r>
        <w:rPr>
          <w:b/>
        </w:rPr>
        <w:t>blocage voltage-dépendant des canaux sodiques rapides</w:t>
      </w:r>
      <w:r>
        <w:t xml:space="preserve"> (état inactivé), ce qui réduit l'hyperexcitabilité neuronale et limite la propagation des crises. La molécule exerce également une </w:t>
      </w:r>
      <w:r>
        <w:rPr>
          <w:b/>
        </w:rPr>
        <w:t>modulation des canaux calciques voltage-dépendants de type N et P/Q</w:t>
      </w:r>
      <w:r>
        <w:t xml:space="preserve"> (effet plus marqué que la carbamazépine), ce qui pourrait expliquer une partie de son efficacité.</w:t>
      </w:r>
    </w:p>
    <w:p>
      <w:r>
        <w:t xml:space="preserve">L'oxcarbazépine est indiquée dans les </w:t>
      </w:r>
      <w:r>
        <w:rPr>
          <w:b/>
        </w:rPr>
        <w:t>épilepsies partielles de l'adulte et de l'enfant &gt; 6 ans</w:t>
      </w:r>
      <w:r>
        <w:t xml:space="preserve"> en monothérapie et en association. Son profil de tolérance est meilleur que celui de la carbamazépine : moins d'hyponatrémie (sauf chez le sujet âgé), moins d'éruptions cutanées (mais toujours risque de syndrome de Stevens-Johnson chez les porteurs de l'allèle HLA-B*1502, populations asiatiques), moins de troubles cognitifs.</w:t>
      </w:r>
    </w:p>
    <w:p>
      <w:r/>
      <w:r>
        <w:rPr>
          <w:b/>
        </w:rPr>
        <w:t>Point algérien critique</w:t>
      </w:r>
      <w:r>
        <w:t xml:space="preserve"> : l'oxcarbazépine (Trileptal® 150 mg, Novartis) est actuellement </w:t>
      </w:r>
      <w:r>
        <w:rPr>
          <w:b/>
        </w:rPr>
        <w:t>NON_RENOUVELABLE</w:t>
      </w:r>
      <w:r>
        <w:t xml:space="preserve"> dans la nomenclature algérienne des médicaments (Avril 2026), ce qui signifie qu'elle </w:t>
      </w:r>
      <w:r>
        <w:rPr>
          <w:b/>
        </w:rPr>
        <w:t>ne peut plus être commercialisée</w:t>
      </w:r>
      <w:r>
        <w:t xml:space="preserve"> mais que les stocks existants peuvent être écoulés jusqu'à épuisement. Cette situation complique la prise en charge des patients algériens épileptiques actuellement sous oxcarbazépine et impose une </w:t>
      </w:r>
      <w:r>
        <w:rPr>
          <w:b/>
        </w:rPr>
        <w:t>substitution par la carbamazépine</w:t>
      </w:r>
      <w:r>
        <w:t xml:space="preserve"> ou par un autre antiépileptique moderne (lévétiracétam, lacosamide) en concertation avec le neurologue. Le pharmacien d'officine doit </w:t>
      </w:r>
      <w:r>
        <w:rPr>
          <w:b/>
        </w:rPr>
        <w:t>informer le patient de la rupture d'approvisionnement</w:t>
      </w:r>
      <w:r>
        <w:t xml:space="preserve"> et </w:t>
      </w:r>
      <w:r>
        <w:rPr>
          <w:b/>
        </w:rPr>
        <w:t>faciliter la transition thérapeutique</w:t>
      </w:r>
      <w:r>
        <w:t>.</w:t>
      </w:r>
    </w:p>
    <w:p>
      <w:pPr>
        <w:pStyle w:val="Heading2"/>
      </w:pPr>
      <w:r>
        <w:t>Introduction à la Sous-classe : Antiépileptiques — Modernes (canaux Na+ lents)</w:t>
      </w:r>
    </w:p>
    <w:p>
      <w:r>
        <w:t xml:space="preserve">La sous-classe des </w:t>
      </w:r>
      <w:r>
        <w:rPr>
          <w:b/>
        </w:rPr>
        <w:t>antiépileptiques canaux Na+ lents modernes</w:t>
      </w:r>
      <w:r>
        <w:t xml:space="preserve"> est représentée en Algérie par le </w:t>
      </w:r>
      <w:r>
        <w:rPr>
          <w:b/>
        </w:rPr>
        <w:t>lacosamide</w:t>
      </w:r>
      <w:r>
        <w:t xml:space="preserve"> (Losapil® — El Kendi, Trepadio® — Hikma). Le lacosamide est une </w:t>
      </w:r>
      <w:r>
        <w:rPr>
          <w:b/>
        </w:rPr>
        <w:t>molécule originale</w:t>
      </w:r>
      <w:r>
        <w:t xml:space="preserve"> (acide (R)-2-acétamido-N-benzyl-3-méthoxypropionamide) initialement développée sous le code de développement harkoseride (ADD/ER-180254), qui appartient à une </w:t>
      </w:r>
      <w:r>
        <w:rPr>
          <w:b/>
        </w:rPr>
        <w:t>famille chimique totalement nouvelle</w:t>
      </w:r>
      <w:r>
        <w:t xml:space="preserve"> — les </w:t>
      </w:r>
      <w:r>
        <w:rPr>
          <w:b/>
        </w:rPr>
        <w:t>dérivés fonctionnalisés des acides aminés</w:t>
      </w:r>
      <w:r>
        <w:t>.</w:t>
      </w:r>
    </w:p>
    <w:p>
      <w:r>
        <w:t xml:space="preserve">Le lacosamide se distingue des autres antiépileptiques bloquant les canaux sodiques (phénytoïne, carbamazépine, oxcarbazépine, lamotrigine) par un </w:t>
      </w:r>
      <w:r>
        <w:rPr>
          <w:b/>
        </w:rPr>
        <w:t>mécanisme d'action original</w:t>
      </w:r>
      <w:r>
        <w:t xml:space="preserve"> : il </w:t>
      </w:r>
      <w:r>
        <w:rPr>
          <w:b/>
        </w:rPr>
        <w:t>facilite l'inactivation lente des canaux sodiques voltage-dépendants</w:t>
      </w:r>
      <w:r>
        <w:t xml:space="preserve"> (slow inactivation), un état distinct de l'inactivation rapide ciblée par les autres molécules. L'inactivation lente survient lors de dépolarisations prolongées et répétées (caractéristiques des neurones épileptiques), tandis que l'inactivation rapide survient en quelques millisecondes. Cette </w:t>
      </w:r>
      <w:r>
        <w:rPr>
          <w:b/>
        </w:rPr>
        <w:t>sélectivité pour l'inactivation lente</w:t>
      </w:r>
      <w:r>
        <w:t xml:space="preserve"> permet au lacosamide de cibler préférentiellement les neurones épileptiques (activité paroxystique soutenue) tout en épargnant les neurones sains — d'où un profil de tolérance cognitive et cérébelleuse meilleur que celui de la carbamazépine ou de la phénytoïne.</w:t>
      </w:r>
    </w:p>
    <w:p>
      <w:r>
        <w:t xml:space="preserve">Le lacosamide a obtenu l'AMM européenne en 2008 pour les </w:t>
      </w:r>
      <w:r>
        <w:rPr>
          <w:b/>
        </w:rPr>
        <w:t>épilepsies partielles de l'adulte et de l'enfant &gt; 4 ans</w:t>
      </w:r>
      <w:r>
        <w:t xml:space="preserve"> en association (et en monothérapie après conversion). Il est disponible en </w:t>
      </w:r>
      <w:r>
        <w:rPr>
          <w:b/>
        </w:rPr>
        <w:t>forme orale</w:t>
      </w:r>
      <w:r>
        <w:t xml:space="preserve"> (comprimés 50, 100, 150, 200 mg, sirop 10 mg/mL) et en </w:t>
      </w:r>
      <w:r>
        <w:rPr>
          <w:b/>
        </w:rPr>
        <w:t>forme injectable IV</w:t>
      </w:r>
      <w:r>
        <w:t xml:space="preserve"> (non disponible en Algérie à ce jour). La pharmacocinétique est caractérisée par une </w:t>
      </w:r>
      <w:r>
        <w:rPr>
          <w:b/>
        </w:rPr>
        <w:t>biodisponibilité orale quasi-complète</w:t>
      </w:r>
      <w:r>
        <w:t xml:space="preserve"> (≈100 %), une </w:t>
      </w:r>
      <w:r>
        <w:rPr>
          <w:b/>
        </w:rPr>
        <w:t>demi-vie d'élimination de 13 heures</w:t>
      </w:r>
      <w:r>
        <w:t xml:space="preserve"> autorisant une </w:t>
      </w:r>
      <w:r>
        <w:rPr>
          <w:b/>
        </w:rPr>
        <w:t>biprise</w:t>
      </w:r>
      <w:r>
        <w:t xml:space="preserve"> (vs triprise pour le lévétiracétam), une </w:t>
      </w:r>
      <w:r>
        <w:rPr>
          <w:b/>
        </w:rPr>
        <w:t>élimination rénale majoritaire</w:t>
      </w:r>
      <w:r>
        <w:t xml:space="preserve"> (40 % sous forme inchangée, 60 % sous forme de métabolites inactifs O-désalkylés), et une </w:t>
      </w:r>
      <w:r>
        <w:rPr>
          <w:b/>
        </w:rPr>
        <w:t>absence d'induction enzymatique</w:t>
      </w:r>
      <w:r>
        <w:t>.</w:t>
      </w:r>
    </w:p>
    <w:p>
      <w:r>
        <w:t xml:space="preserve">Le point critique du lacosamide concerne </w:t>
      </w:r>
      <w:r>
        <w:rPr>
          <w:b/>
        </w:rPr>
        <w:t>l'allongement de l'intervalle PR à l'ECG</w:t>
      </w:r>
      <w:r>
        <w:t xml:space="preserve"> : le lacosamide peut induire un </w:t>
      </w:r>
      <w:r>
        <w:rPr>
          <w:b/>
        </w:rPr>
        <w:t>bloc auriculo-ventriculaire degré 1, 2 ou 3</w:t>
      </w:r>
      <w:r>
        <w:t xml:space="preserve"> (rare mais grave), particulièrement chez les patients avec troubles pré-existants de la conduction, les patients âgés, ou en cas d'association à d'autres médicaments allongeant le PR (bêta-bloquants, inhibiteurs calciques non dihydropyridiniques, digoxine, amiodarone). Une </w:t>
      </w:r>
      <w:r>
        <w:rPr>
          <w:b/>
        </w:rPr>
        <w:t>surveillance ECG</w:t>
      </w:r>
      <w:r>
        <w:t xml:space="preserve"> est recommandée à l'initiation et à chaque augmentation posologique. En cas de PR &gt; 200 ms ou de bloc AV, la dose doit être réduite ou le traitement arrêté.</w:t>
      </w:r>
    </w:p>
    <w:p>
      <w:pPr>
        <w:pStyle w:val="Heading2"/>
      </w:pPr>
      <w:r>
        <w:t>Introduction à la Sous-classe : Antiépileptiques — Inhibiteurs anhydrase carbonique</w:t>
      </w:r>
    </w:p>
    <w:p>
      <w:r>
        <w:t xml:space="preserve">La sous-classe des </w:t>
      </w:r>
      <w:r>
        <w:rPr>
          <w:b/>
        </w:rPr>
        <w:t>antiépileptiques inhibiteurs de l'anhydrase carbonique</w:t>
      </w:r>
      <w:r>
        <w:t xml:space="preserve"> est représentée en Algérie par l'</w:t>
      </w:r>
      <w:r>
        <w:rPr>
          <w:b/>
        </w:rPr>
        <w:t>acétazolamide</w:t>
      </w:r>
      <w:r>
        <w:t xml:space="preserve"> (Acetazolamide BR® — Biorem, Lynox® — Sarl Groupe Santé, Diurazol® NON_RENOUVELABLE, Diamox® RETIRÉ, Acediox® RETIRÉ, Acemax® RETIRÉ). L'acétazolamide est l'</w:t>
      </w:r>
      <w:r>
        <w:rPr>
          <w:b/>
        </w:rPr>
        <w:t>antiépileptique le plus ancien</w:t>
      </w:r>
      <w:r>
        <w:t xml:space="preserve"> du présent chapitre — il a été synthétisé en 1953 et a longtemps été utilisé comme </w:t>
      </w:r>
      <w:r>
        <w:rPr>
          <w:b/>
        </w:rPr>
        <w:t>diurétique</w:t>
      </w:r>
      <w:r>
        <w:t xml:space="preserve"> (d'où son inscription en Liste II des substances vénéneuses et non Liste I comme les autres antiépileptiques modernes) avant que son activité antiépileptique ne soit identifiée.</w:t>
      </w:r>
    </w:p>
    <w:p>
      <w:r>
        <w:t xml:space="preserve">L'acétazolamide est un </w:t>
      </w:r>
      <w:r>
        <w:rPr>
          <w:b/>
        </w:rPr>
        <w:t>inhibiteur non compétitif, réversible et puissant de l'anhydrase carbonique</w:t>
      </w:r>
      <w:r>
        <w:t xml:space="preserve"> (CA), une enzyme ubiquitaire qui catalyse l'hydratation réversible du CO2 en ions bicarbonate et protons : CO2 + H2O ⇌ HCO3⁻ + H⁺. L'inhibition de l'CA au niveau du tubule rénal proximal diminue la réabsorption des bicarbonates, ce qui provoque une </w:t>
      </w:r>
      <w:r>
        <w:rPr>
          <w:b/>
        </w:rPr>
        <w:t>alcalinisation des urines</w:t>
      </w:r>
      <w:r>
        <w:t xml:space="preserve"> et une </w:t>
      </w:r>
      <w:r>
        <w:rPr>
          <w:b/>
        </w:rPr>
        <w:t>acidose métabolique hyperchlorémique</w:t>
      </w:r>
      <w:r>
        <w:t xml:space="preserve">. Au niveau cérébral, l'inhibition de l'CA gliale et neuronale provoque une </w:t>
      </w:r>
      <w:r>
        <w:rPr>
          <w:b/>
        </w:rPr>
        <w:t>acidose tissulaire modérée</w:t>
      </w:r>
      <w:r>
        <w:t xml:space="preserve"> qui réduit l'excitabilité neuronale — c'est ce mécanisme qui est responsable de l'effet antiépileptique.</w:t>
      </w:r>
    </w:p>
    <w:p>
      <w:r>
        <w:t xml:space="preserve">L'indication antiépileptique de l'acétazolamide est devenue </w:t>
      </w:r>
      <w:r>
        <w:rPr>
          <w:b/>
        </w:rPr>
        <w:t>marginale</w:t>
      </w:r>
      <w:r>
        <w:t xml:space="preserve"> en raison de l'arrivée des antiépileptiques modernes plus efficaces et mieux tolérés. Il conserve une place dans : (i) les </w:t>
      </w:r>
      <w:r>
        <w:rPr>
          <w:b/>
        </w:rPr>
        <w:t>épilepsies cataméniales</w:t>
      </w:r>
      <w:r>
        <w:t xml:space="preserve"> (crises prémenstruelles) — indication historique ; (ii) la </w:t>
      </w:r>
      <w:r>
        <w:rPr>
          <w:b/>
        </w:rPr>
        <w:t>maladie des spasmes infantiles (syndrome de West)</w:t>
      </w:r>
      <w:r>
        <w:t xml:space="preserve"> en association ; (iii) les </w:t>
      </w:r>
      <w:r>
        <w:rPr>
          <w:b/>
        </w:rPr>
        <w:t>épilepsies myocloniques progressives</w:t>
      </w:r>
      <w:r>
        <w:t xml:space="preserve"> (syndrome de Unverricht-Lundborg) — indication de seconde intention ; (iv) en association pour les </w:t>
      </w:r>
      <w:r>
        <w:rPr>
          <w:b/>
        </w:rPr>
        <w:t>épilepsies partielles pharmacorésistantes</w:t>
      </w:r>
      <w:r>
        <w:t xml:space="preserve">. Il est également utilisé en dehors de l'épilepsie pour le </w:t>
      </w:r>
      <w:r>
        <w:rPr>
          <w:b/>
        </w:rPr>
        <w:t>glaucome</w:t>
      </w:r>
      <w:r>
        <w:t xml:space="preserve"> (aigu et chronique), l'</w:t>
      </w:r>
      <w:r>
        <w:rPr>
          <w:b/>
        </w:rPr>
        <w:t>œdème maculaire cystoïde</w:t>
      </w:r>
      <w:r>
        <w:t>, l'</w:t>
      </w:r>
      <w:r>
        <w:rPr>
          <w:b/>
        </w:rPr>
        <w:t>hydrocéphalie</w:t>
      </w:r>
      <w:r>
        <w:t>, l'</w:t>
      </w:r>
      <w:r>
        <w:rPr>
          <w:b/>
        </w:rPr>
        <w:t>alcalose métabolique</w:t>
      </w:r>
      <w:r>
        <w:t xml:space="preserve"> et le </w:t>
      </w:r>
      <w:r>
        <w:rPr>
          <w:b/>
        </w:rPr>
        <w:t>mal des montagnes</w:t>
      </w:r>
      <w:r>
        <w:t xml:space="preserve"> (prophylaxie).</w:t>
      </w:r>
    </w:p>
    <w:p>
      <w:r>
        <w:t xml:space="preserve">Le profil de tolérance de l'acétazolamide est dominé par : (i) </w:t>
      </w:r>
      <w:r>
        <w:rPr>
          <w:b/>
        </w:rPr>
        <w:t>acidose métabolique hyperchlorémique</w:t>
      </w:r>
      <w:r>
        <w:t xml:space="preserve"> (systématique, parfois symptomatique avec hyperventilation compensatoire) ; (ii) </w:t>
      </w:r>
      <w:r>
        <w:rPr>
          <w:b/>
        </w:rPr>
        <w:t>hypokaliémie</w:t>
      </w:r>
      <w:r>
        <w:t xml:space="preserve"> (par fuite tubulaire de K+) — nécessite surveillance ionogramme ; (iii) </w:t>
      </w:r>
      <w:r>
        <w:rPr>
          <w:b/>
        </w:rPr>
        <w:t>lithiase calcique</w:t>
      </w:r>
      <w:r>
        <w:t xml:space="preserve"> (par alcalinisation urinaire et hypercalciurie) ; (iv) </w:t>
      </w:r>
      <w:r>
        <w:rPr>
          <w:b/>
        </w:rPr>
        <w:t>paresthésies</w:t>
      </w:r>
      <w:r>
        <w:t xml:space="preserve"> des extrémités et de la région péribuccale (très fréquentes, dose-dépendantes) ; (v) </w:t>
      </w:r>
      <w:r>
        <w:rPr>
          <w:b/>
        </w:rPr>
        <w:t>dysgueusie</w:t>
      </w:r>
      <w:r>
        <w:t xml:space="preserve"> (gût métallique des boissons gazeuses — particulièrement de la bière, ce qui peut être un signe d'observance) ; (vi) </w:t>
      </w:r>
      <w:r>
        <w:rPr>
          <w:b/>
        </w:rPr>
        <w:t>somnolence et fatigue</w:t>
      </w:r>
      <w:r>
        <w:t xml:space="preserve"> ; (vii) rarement </w:t>
      </w:r>
      <w:r>
        <w:rPr>
          <w:b/>
        </w:rPr>
        <w:t>aplasie médullaire</w:t>
      </w:r>
      <w:r>
        <w:t xml:space="preserve"> (à surveiller).</w:t>
      </w:r>
    </w:p>
    <w:p>
      <w:r/>
      <w:r>
        <w:rPr>
          <w:b/>
        </w:rPr>
        <w:t>Point algérien</w:t>
      </w:r>
      <w:r>
        <w:t xml:space="preserve"> : les formes </w:t>
      </w:r>
      <w:r>
        <w:rPr>
          <w:b/>
        </w:rPr>
        <w:t>orales</w:t>
      </w:r>
      <w:r>
        <w:t xml:space="preserve"> (comprimés 250 mg) restent disponibles (Acetazolamide BR® et Lynox® ACTIF), mais les formes </w:t>
      </w:r>
      <w:r>
        <w:rPr>
          <w:b/>
        </w:rPr>
        <w:t>injectables</w:t>
      </w:r>
      <w:r>
        <w:t xml:space="preserve"> (Diamox® 500 mg IM/IV) sont </w:t>
      </w:r>
      <w:r>
        <w:rPr>
          <w:b/>
        </w:rPr>
        <w:t>NON_RENOUVELABLES ou RETIREES</w:t>
      </w:r>
      <w:r>
        <w:t xml:space="preserve">. L'usage injectable (glaucome aigu, œdème cérébral, crise d'altitude sévère) n'est donc plus possible en pratique algérienne, ce qui impose une </w:t>
      </w:r>
      <w:r>
        <w:rPr>
          <w:b/>
        </w:rPr>
        <w:t>substitution</w:t>
      </w:r>
      <w:r>
        <w:t xml:space="preserve"> par le mannitol IV ou l'acétazolamide per os si disponible.</w:t>
      </w:r>
    </w:p>
    <w:p>
      <w:pPr>
        <w:pStyle w:val="Heading2"/>
      </w:pPr>
      <w:r>
        <w:t>1. DCI : Gabapentine (Seule)</w:t>
      </w:r>
    </w:p>
    <w:p>
      <w:r/>
      <w:r>
        <w:rPr>
          <w:b/>
        </w:rPr>
        <w:t>Liste des Catégories :</w:t>
      </w:r>
      <w:r>
        <w:t xml:space="preserve"> Antiépileptiques — Modernes (analogues GABA) ; Analogues GABA α2δ ; Médicaments des douleurs neuropathiques ; Liste I des substances vénéneuses.</w:t>
      </w:r>
    </w:p>
    <w:p>
      <w:r>
        <w:t xml:space="preserve">La gabapentine est l'un des antiépileptiques modernes les plus prescrits en Algérie, en raison de son profil d'efficacité/tolérance favorable et de l'absence d'interactions médicamenteuses significatives. Conçue initialement comme un agoniste GABAergique (d'où son nom "gabapentine" — GABA + pentine), elle a révélé au cours de son développement clinique un mécanisme d'action totalement différent : </w:t>
      </w:r>
      <w:r>
        <w:rPr>
          <w:b/>
        </w:rPr>
        <w:t>liaison sélective à la sous-unité α2δ des canaux calciques voltage-dépendants</w:t>
      </w:r>
      <w:r>
        <w:t>, sans aucune action directe sur les récepteurs GABA. Cette particularité, longtemps méconnue, explique l'absence d'effets myorelaxants et l'absence de dépendance physique vraie (bien qu'un syndrome de sevrage soit possible). Sa pharmacocinétique d'absorption saturable via le transporteur LAT1 et son élimination exclusivement rénale sous forme inchangée en font une molécule à adapter à la fonction rénale et à fractionner en trois prises quotidiennes.</w:t>
      </w:r>
    </w:p>
    <w:p>
      <w:r/>
      <w:r>
        <w:rPr>
          <w:b/>
        </w:rPr>
        <w:t>Médicaments disponibles en Algérie (Marques, Laboratoires, Formes et Dosages) :</w:t>
      </w:r>
      <w:r/>
    </w:p>
    <w:p>
      <w:pPr>
        <w:pStyle w:val="ListBullet"/>
      </w:pPr>
      <w:r/>
      <w:r>
        <w:rPr>
          <w:b/>
        </w:rPr>
        <w:t>GABAPENTINE GL</w:t>
      </w:r>
      <w:r>
        <w:t xml:space="preserve"> (GENERIC LAB)</w:t>
      </w:r>
    </w:p>
    <w:p>
      <w:pPr>
        <w:pStyle w:val="ListBullet"/>
      </w:pPr>
      <w:r>
        <w:t>Formes et Dosages : Gélule 300 mg (B/50) ; Gélule 400 mg (B/50)</w:t>
      </w:r>
    </w:p>
    <w:p>
      <w:pPr>
        <w:pStyle w:val="ListBullet"/>
      </w:pPr>
      <w:r>
        <w:t>Statut : Actif</w:t>
      </w:r>
    </w:p>
    <w:p>
      <w:pPr>
        <w:pStyle w:val="ListBullet"/>
      </w:pPr>
      <w:r/>
      <w:r>
        <w:rPr>
          <w:b/>
        </w:rPr>
        <w:t>GABARONTIN</w:t>
      </w:r>
      <w:r>
        <w:t xml:space="preserve"> (FRATER-RAZES FORME SECHE)</w:t>
      </w:r>
    </w:p>
    <w:p>
      <w:pPr>
        <w:pStyle w:val="ListBullet"/>
      </w:pPr>
      <w:r>
        <w:t>Formes et Dosages : Gélule 300 mg (B/50) ; Gélule 400 mg (B/50)</w:t>
      </w:r>
    </w:p>
    <w:p>
      <w:pPr>
        <w:pStyle w:val="ListBullet"/>
      </w:pPr>
      <w:r>
        <w:t>Statut : Actif</w:t>
      </w:r>
    </w:p>
    <w:p>
      <w:pPr>
        <w:pStyle w:val="ListBullet"/>
      </w:pPr>
      <w:r/>
      <w:r>
        <w:rPr>
          <w:b/>
        </w:rPr>
        <w:t>GABATREX</w:t>
      </w:r>
      <w:r>
        <w:t xml:space="preserve"> (HIKMA PHARMA ALGERIA)</w:t>
      </w:r>
    </w:p>
    <w:p>
      <w:pPr>
        <w:pStyle w:val="ListBullet"/>
      </w:pPr>
      <w:r>
        <w:t>Formes et Dosages : Gélule 300 mg (B/50) ; Gélule 400 mg (B/50)</w:t>
      </w:r>
    </w:p>
    <w:p>
      <w:pPr>
        <w:pStyle w:val="ListBullet"/>
      </w:pPr>
      <w:r>
        <w:t>Statut : Actif</w:t>
      </w:r>
    </w:p>
    <w:p>
      <w:pPr>
        <w:pStyle w:val="ListBullet"/>
      </w:pPr>
      <w:r/>
      <w:r>
        <w:rPr>
          <w:b/>
        </w:rPr>
        <w:t>NEURALGIN</w:t>
      </w:r>
      <w:r>
        <w:t xml:space="preserve"> (PHARMIDAL NS)</w:t>
      </w:r>
    </w:p>
    <w:p>
      <w:pPr>
        <w:pStyle w:val="ListBullet"/>
      </w:pPr>
      <w:r>
        <w:t>Formes et Dosages : Gélule 300 mg (B/90)</w:t>
      </w:r>
    </w:p>
    <w:p>
      <w:pPr>
        <w:pStyle w:val="ListBullet"/>
      </w:pPr>
      <w:r>
        <w:t>Statut : Actif</w:t>
      </w:r>
    </w:p>
    <w:p>
      <w:pPr>
        <w:pStyle w:val="ListBullet"/>
      </w:pPr>
      <w:r/>
      <w:r>
        <w:rPr>
          <w:b/>
        </w:rPr>
        <w:t>NEUROPLEX</w:t>
      </w:r>
      <w:r>
        <w:t xml:space="preserve"> (TABUK ALGERIE)</w:t>
      </w:r>
    </w:p>
    <w:p>
      <w:pPr>
        <w:pStyle w:val="ListBullet"/>
      </w:pPr>
      <w:r>
        <w:t>Formes et Dosages : Gélule 300 mg (B/50) ; Gélule 400 mg (B/50)</w:t>
      </w:r>
    </w:p>
    <w:p>
      <w:pPr>
        <w:pStyle w:val="ListBullet"/>
      </w:pPr>
      <w:r>
        <w:t>Statut : Actif</w:t>
      </w:r>
    </w:p>
    <w:p>
      <w:pPr>
        <w:pStyle w:val="ListBullet"/>
      </w:pPr>
      <w:r/>
      <w:r>
        <w:rPr>
          <w:b/>
        </w:rPr>
        <w:t>VOLAR</w:t>
      </w:r>
      <w:r>
        <w:t xml:space="preserve"> (DAR AL DAWA)</w:t>
      </w:r>
    </w:p>
    <w:p>
      <w:pPr>
        <w:pStyle w:val="ListBullet"/>
      </w:pPr>
      <w:r>
        <w:t>Formes et Dosages : Gélule 300 mg (B/30) ; Gélule 400 mg (B/30)</w:t>
      </w:r>
    </w:p>
    <w:p>
      <w:pPr>
        <w:pStyle w:val="ListBullet"/>
      </w:pPr>
      <w:r>
        <w:t>Statut : Actif</w:t>
      </w:r>
    </w:p>
    <w:p>
      <w:pPr>
        <w:pStyle w:val="ListBullet"/>
      </w:pPr>
      <w:r/>
      <w:r>
        <w:rPr>
          <w:b/>
        </w:rPr>
        <w:t>GABAMAX</w:t>
      </w:r>
      <w:r>
        <w:t xml:space="preserve"> (NOVAPHARM TRADING)</w:t>
      </w:r>
    </w:p>
    <w:p>
      <w:pPr>
        <w:pStyle w:val="ListBullet"/>
      </w:pPr>
      <w:r>
        <w:t>Formes et Dosages : Gélule 400 mg (B/50)</w:t>
      </w:r>
    </w:p>
    <w:p>
      <w:pPr>
        <w:pStyle w:val="ListBullet"/>
      </w:pPr>
      <w:r>
        <w:t>Statut : Actif</w:t>
      </w:r>
    </w:p>
    <w:p>
      <w:pPr>
        <w:pStyle w:val="ListBullet"/>
      </w:pPr>
      <w:r/>
      <w:r>
        <w:rPr>
          <w:b/>
        </w:rPr>
        <w:t>TEPENTINE</w:t>
      </w:r>
      <w:r>
        <w:t xml:space="preserve"> (TABET PHARM)</w:t>
      </w:r>
    </w:p>
    <w:p>
      <w:pPr>
        <w:pStyle w:val="ListBullet"/>
      </w:pPr>
      <w:r>
        <w:t>Formes et Dosages : Gélule 400 mg (B/50)</w:t>
      </w:r>
    </w:p>
    <w:p>
      <w:pPr>
        <w:pStyle w:val="ListBullet"/>
      </w:pPr>
      <w:r>
        <w:t>Statut : Actif</w:t>
      </w:r>
    </w:p>
    <w:p>
      <w:r>
        <w:t xml:space="preserve">La gabapentine est donc disponible en Algérie en </w:t>
      </w:r>
      <w:r>
        <w:rPr>
          <w:b/>
        </w:rPr>
        <w:t>deux dosages oraux</w:t>
      </w:r>
      <w:r>
        <w:t xml:space="preserve"> (300 mg et 400 mg) avec </w:t>
      </w:r>
      <w:r>
        <w:rPr>
          <w:b/>
        </w:rPr>
        <w:t>huit spécialités actives</w:t>
      </w:r>
      <w:r>
        <w:t>. L'absence de forme injectable, de forme pédiatrique liquide et de dosage à 100 mg, 600 mg, 800 mg ou 1200 mg limite la flexibilité d'utilisation par rapport à la gamme disponible en Europe ou aux États-Unis. Le pharmacien d'officine devra adapter les prescriptions en conséquence.</w:t>
      </w:r>
    </w:p>
    <w:p>
      <w:r/>
      <w:r>
        <w:rPr>
          <w:b/>
        </w:rPr>
        <w:t>Sous-classe et Mécanisme d'action :</w:t>
      </w:r>
      <w:r/>
    </w:p>
    <w:p>
      <w:pPr>
        <w:pStyle w:val="ListBullet"/>
      </w:pPr>
      <w:r>
        <w:t>Sous-classe : Antiépileptique moderne de deuxième génération, analogue structurel du GABA sans action directe GABAergique ; classe des gabapentinoïdes (avec la prégabaline). Médicament à la frontière entre neurologie (antiépileptique) et algologie (douleur neuropathique).</w:t>
      </w:r>
    </w:p>
    <w:p>
      <w:pPr>
        <w:pStyle w:val="ListBullet"/>
      </w:pPr>
      <w:r>
        <w:t xml:space="preserve">Mécanisme d'action : </w:t>
      </w:r>
      <w:r>
        <w:rPr>
          <w:b/>
        </w:rPr>
        <w:t>Liaison sélective et saturable à la sous-unité auxiliaire α2δ-1 (et α2δ-2 à un moindre degré) des canaux calciques voltage-dépendants de type P/Q et N présents sur les terminaisons présynaptiques des neurones excitateurs glutamatergiques</w:t>
      </w:r>
      <w:r>
        <w:t xml:space="preserve">. Cette interaction bloque l'afflux de Ca2+ présynaptique déclenché par le potentiel d'action, ce qui réduit la libération des neurotransmetteurs excitateurs (glutamate, noradrénaline, substance P, calcitonine gene-related peptide). Le résultat net est une </w:t>
      </w:r>
      <w:r>
        <w:rPr>
          <w:b/>
        </w:rPr>
        <w:t>diminution de l'hyperexcitabilité neuronale</w:t>
      </w:r>
      <w:r>
        <w:t xml:space="preserve"> et une </w:t>
      </w:r>
      <w:r>
        <w:rPr>
          <w:b/>
        </w:rPr>
        <w:t>réduction de la sensibilisation centrale</w:t>
      </w:r>
      <w:r>
        <w:t xml:space="preserve"> observée dans les douleurs neuropathiques. À fortes doses, la gabapentine peut augmenter légèrement la synthèse cérébrale de GABA (par activation de la GAD — glutamate décarboxylase), mais cet effet est considéré comme mineur. La gabapentine n'a </w:t>
      </w:r>
      <w:r>
        <w:rPr>
          <w:b/>
        </w:rPr>
        <w:t>aucune action directe sur les récepteurs GABA-A ou GABA-B</w:t>
      </w:r>
      <w:r>
        <w:t>, n'inhibe pas la recapture du GABA, n'inhibe pas la GABA-transaminase et ne bloque pas les canaux sodiques.</w:t>
      </w:r>
    </w:p>
    <w:p>
      <w:r/>
      <w:r>
        <w:rPr>
          <w:b/>
        </w:rPr>
        <w:t>Profil Pharmacologique :</w:t>
      </w:r>
      <w:r/>
    </w:p>
    <w:p>
      <w:pPr>
        <w:pStyle w:val="ListBullet"/>
      </w:pPr>
      <w:r>
        <w:t xml:space="preserve">Indications : (i) </w:t>
      </w:r>
      <w:r>
        <w:rPr>
          <w:b/>
        </w:rPr>
        <w:t>Épilepsies partielles avec ou sans généralisation secondaire de l'adulte et de l'enfant &gt; 6 ans</w:t>
      </w:r>
      <w:r>
        <w:t xml:space="preserve"> en monothérapie ou en association ; (ii) </w:t>
      </w:r>
      <w:r>
        <w:rPr>
          <w:b/>
        </w:rPr>
        <w:t>douleurs neuropathiques de l'adulte</w:t>
      </w:r>
      <w:r>
        <w:t xml:space="preserve"> : post-zostériennes, neuropathie diabétique périphérique, neuropathies diverses (alcoolique, carentielle, VIH, chimio-induite) ; (iii) hors AMM : </w:t>
      </w:r>
      <w:r>
        <w:rPr>
          <w:b/>
        </w:rPr>
        <w:t>prophylaxie de la migraine</w:t>
      </w:r>
      <w:r>
        <w:t xml:space="preserve"> (efficacité modeste), </w:t>
      </w:r>
      <w:r>
        <w:rPr>
          <w:b/>
        </w:rPr>
        <w:t>anxiété généralisée</w:t>
      </w:r>
      <w:r>
        <w:t xml:space="preserve"> (efficacité inférieure à la prégabaline), </w:t>
      </w:r>
      <w:r>
        <w:rPr>
          <w:b/>
        </w:rPr>
        <w:t>troubles bipolaires</w:t>
      </w:r>
      <w:r>
        <w:t xml:space="preserve"> (en association), </w:t>
      </w:r>
      <w:r>
        <w:rPr>
          <w:b/>
        </w:rPr>
        <w:t>acouphènes subjectifs</w:t>
      </w:r>
      <w:r>
        <w:t xml:space="preserve">, </w:t>
      </w:r>
      <w:r>
        <w:rPr>
          <w:b/>
        </w:rPr>
        <w:t>bouffées de chaleur ménopausiques</w:t>
      </w:r>
      <w:r>
        <w:t xml:space="preserve">, </w:t>
      </w:r>
      <w:r>
        <w:rPr>
          <w:b/>
        </w:rPr>
        <w:t>syndrome des jambes sans repos</w:t>
      </w:r>
      <w:r>
        <w:t>. La gabapentine est un antiépileptique de spectre étroit, principalement actif sur les épilepsies partielles — son efficacité sur les épilepsies généralisées idiopathiques est limitée et elle peut même aggraver les crises myocloniques et les absences.</w:t>
      </w:r>
    </w:p>
    <w:p>
      <w:pPr>
        <w:pStyle w:val="ListBullet"/>
      </w:pPr>
      <w:r>
        <w:t xml:space="preserve">Contre-indications : (i) </w:t>
      </w:r>
      <w:r>
        <w:rPr>
          <w:b/>
        </w:rPr>
        <w:t>hypersensibilité à la gabapentine</w:t>
      </w:r>
      <w:r>
        <w:t xml:space="preserve"> ; (ii) </w:t>
      </w:r>
      <w:r>
        <w:rPr>
          <w:b/>
        </w:rPr>
        <w:t>insuffisance rénale sévère non dialysée</w:t>
      </w:r>
      <w:r>
        <w:t xml:space="preserve"> (ClCr &lt; 30 mL/min — adapter la dose) ; (iii) </w:t>
      </w:r>
      <w:r>
        <w:rPr>
          <w:b/>
        </w:rPr>
        <w:t>galactosémie congénitale</w:t>
      </w:r>
      <w:r>
        <w:t xml:space="preserve">, </w:t>
      </w:r>
      <w:r>
        <w:rPr>
          <w:b/>
        </w:rPr>
        <w:t>déficit en lactase</w:t>
      </w:r>
      <w:r>
        <w:t xml:space="preserve"> ou </w:t>
      </w:r>
      <w:r>
        <w:rPr>
          <w:b/>
        </w:rPr>
        <w:t>syndrome de malabsorption du glucose-galactose</w:t>
      </w:r>
      <w:r>
        <w:t xml:space="preserve"> (présence de lactose dans certaines gélules) ; (iv) </w:t>
      </w:r>
      <w:r>
        <w:rPr>
          <w:b/>
        </w:rPr>
        <w:t>porphyrie aiguë intermittente</w:t>
      </w:r>
      <w:r>
        <w:t xml:space="preserve"> (risque de déclenchement de crise) ; (v) précaution chez la femme enceinte (voir section Grossesse) ; (vi) précaution en cas d'antécédents de troubles psychiatriques (risque de décompensation dépressive, idéation suicidaire — classe-effect). La gabapentine n'est pas formellement contre-indiquée pendant la grossesse mais son usage doit être évalué cas par cas.</w:t>
      </w:r>
    </w:p>
    <w:p>
      <w:pPr>
        <w:pStyle w:val="ListBullet"/>
      </w:pPr>
      <w:r>
        <w:t xml:space="preserve">Effets Indésirables : La gabapentine présente un profil de tolérance globalement favorable, dominé par les effets centraux dose-dépendants : (i) </w:t>
      </w:r>
      <w:r>
        <w:rPr>
          <w:b/>
        </w:rPr>
        <w:t>somnolence et sédation</w:t>
      </w:r>
      <w:r>
        <w:t xml:space="preserve"> (très fréquents, &gt;10 %, surtout en début de traitement — recommander la prudence à la conduite automobile) ; (ii) </w:t>
      </w:r>
      <w:r>
        <w:rPr>
          <w:b/>
        </w:rPr>
        <w:t>vertiges et étourdissements</w:t>
      </w:r>
      <w:r>
        <w:t xml:space="preserve"> (très fréquents, &gt;10 %) ; (iii) </w:t>
      </w:r>
      <w:r>
        <w:rPr>
          <w:b/>
        </w:rPr>
        <w:t>ataxie</w:t>
      </w:r>
      <w:r>
        <w:t xml:space="preserve"> et troubles de la coordination (fréquents, 1-10 %) ; (iv) </w:t>
      </w:r>
      <w:r>
        <w:rPr>
          <w:b/>
        </w:rPr>
        <w:t>fatigue, asthénie</w:t>
      </w:r>
      <w:r>
        <w:t xml:space="preserve"> (très fréquents) ; (v) </w:t>
      </w:r>
      <w:r>
        <w:rPr>
          <w:b/>
        </w:rPr>
        <w:t>troubles visuels</w:t>
      </w:r>
      <w:r>
        <w:t xml:space="preserve"> (diplopie, vision floue, nystagmus) ; (vi) </w:t>
      </w:r>
      <w:r>
        <w:rPr>
          <w:b/>
        </w:rPr>
        <w:t>troubles cognitifs</w:t>
      </w:r>
      <w:r>
        <w:t xml:space="preserve"> (troubles de la mémoire, ralentissement idéatoire) — particulièrement chez le sujet âgé ; (vii) </w:t>
      </w:r>
      <w:r>
        <w:rPr>
          <w:b/>
        </w:rPr>
        <w:t>prise de poids modérée</w:t>
      </w:r>
      <w:r>
        <w:t xml:space="preserve"> (5-10 % du poids initial, chez 5-15 % des patients) ; (viii) </w:t>
      </w:r>
      <w:r>
        <w:rPr>
          <w:b/>
        </w:rPr>
        <w:t>œdèmes périphériques</w:t>
      </w:r>
      <w:r>
        <w:t xml:space="preserve"> (fréquents, dose-dépendants — surveiller si insuffisance cardiaque) ; (ix) </w:t>
      </w:r>
      <w:r>
        <w:rPr>
          <w:b/>
        </w:rPr>
        <w:t>troubles gastro-intestinaux</w:t>
      </w:r>
      <w:r>
        <w:t xml:space="preserve"> (nausées, vomissements, sécheresse buccale, constipation, diarrhée) ; (x) </w:t>
      </w:r>
      <w:r>
        <w:rPr>
          <w:b/>
        </w:rPr>
        <w:t>troubles psychiatriques</w:t>
      </w:r>
      <w:r>
        <w:t xml:space="preserve"> rares mais préoccupants : nervosité, irritabilité, labilité émotionnelle, dépression, idées suicidaires (à surveiller particulièrement chez l'enfant et l'adolescent) ; (xi) </w:t>
      </w:r>
      <w:r>
        <w:rPr>
          <w:b/>
        </w:rPr>
        <w:t>syndrome de sevrage</w:t>
      </w:r>
      <w:r>
        <w:t xml:space="preserve"> en cas d'arrêt brutal (anxiété, insomnie, nausées, sueurs, douleurs — régression à la reprise) ; (xii) très rares : </w:t>
      </w:r>
      <w:r>
        <w:rPr>
          <w:b/>
        </w:rPr>
        <w:t>réactions cutanées sévères</w:t>
      </w:r>
      <w:r>
        <w:t xml:space="preserve"> (syndrome de Stevens-Johnson, nécrolyse épidermique toxique — signalés avec la gabapentine) ; </w:t>
      </w:r>
      <w:r>
        <w:rPr>
          <w:b/>
        </w:rPr>
        <w:t>pancréatite aiguë</w:t>
      </w:r>
      <w:r>
        <w:t xml:space="preserve"> ; </w:t>
      </w:r>
      <w:r>
        <w:rPr>
          <w:b/>
        </w:rPr>
        <w:t>hépatotoxicité</w:t>
      </w:r>
      <w:r>
        <w:t xml:space="preserve"> ; </w:t>
      </w:r>
      <w:r>
        <w:rPr>
          <w:b/>
        </w:rPr>
        <w:t>myalgie</w:t>
      </w:r>
      <w:r>
        <w:t xml:space="preserve"> et </w:t>
      </w:r>
      <w:r>
        <w:rPr>
          <w:b/>
        </w:rPr>
        <w:t>arthralgie</w:t>
      </w:r>
      <w:r>
        <w:t>.</w:t>
      </w:r>
    </w:p>
    <w:p>
      <w:r/>
      <w:r>
        <w:rPr>
          <w:b/>
        </w:rPr>
        <w:t>Prévention et Gestion des Effets Indésirables :</w:t>
      </w:r>
      <w:r/>
    </w:p>
    <w:p>
      <w:pPr>
        <w:pStyle w:val="ListBullet"/>
      </w:pPr>
      <w:r>
        <w:t xml:space="preserve">Mesures Préventives : (i) </w:t>
      </w:r>
      <w:r>
        <w:rPr>
          <w:b/>
        </w:rPr>
        <w:t>augmentation posologique progressive</w:t>
      </w:r>
      <w:r>
        <w:t xml:space="preserve"> selon le schéma recommandé : J1 300 mg le soir, J2 300 mg ×2/j, J3 300 mg ×3/j, puis titration par paliers de 300 mg/j tous les 3-7 jours jusqu'à la dose efficace (généralement 900-1800 mg/j en 3 prises, jusqu'à 3600 mg/j) ; (ii) </w:t>
      </w:r>
      <w:r>
        <w:rPr>
          <w:b/>
        </w:rPr>
        <w:t>surveillance de l'état psychiatrique</w:t>
      </w:r>
      <w:r>
        <w:t xml:space="preserve"> chez l'enfant et l'adolescent (idéation suicidaire — classe-effect de tous les antiépileptiques) ; (iii) </w:t>
      </w:r>
      <w:r>
        <w:rPr>
          <w:b/>
        </w:rPr>
        <w:t>surveillance de la fonction rénale</w:t>
      </w:r>
      <w:r>
        <w:t xml:space="preserve"> (créatininémie et clairance créatinine) à l'initiation puis au moins annuellement — adaptation posologique obligatoire si ClCr &lt; 80 mL/min ; (iv) </w:t>
      </w:r>
      <w:r>
        <w:rPr>
          <w:b/>
        </w:rPr>
        <w:t>prévention de la prise de poids</w:t>
      </w:r>
      <w:r>
        <w:t xml:space="preserve"> par conseils diététiques et activité physique ; (v) </w:t>
      </w:r>
      <w:r>
        <w:rPr>
          <w:b/>
        </w:rPr>
        <w:t>prévention des œdèmes périphériques</w:t>
      </w:r>
      <w:r>
        <w:t xml:space="preserve"> chez les patients insuffisants cardiaques (réservés à l'évaluation clinique) ; (vi) </w:t>
      </w:r>
      <w:r>
        <w:rPr>
          <w:b/>
        </w:rPr>
        <w:t>information du patient sur le syndrome de sevrage</w:t>
      </w:r>
      <w:r>
        <w:t xml:space="preserve"> et nécessité de ne jamais arrêter brutalement le traitement ; (vii) </w:t>
      </w:r>
      <w:r>
        <w:rPr>
          <w:b/>
        </w:rPr>
        <w:t>prudence à la conduite automobile</w:t>
      </w:r>
      <w:r>
        <w:t xml:space="preserve"> pendant les premières semaines et à chaque augmentation de dose ; (viii) </w:t>
      </w:r>
      <w:r>
        <w:rPr>
          <w:b/>
        </w:rPr>
        <w:t>bilan ophtalmologique</w:t>
      </w:r>
      <w:r>
        <w:t xml:space="preserve"> en cas de troubles visuels persistants.</w:t>
      </w:r>
    </w:p>
    <w:p>
      <w:pPr>
        <w:pStyle w:val="ListBullet"/>
      </w:pPr>
      <w:r>
        <w:t xml:space="preserve">Conduite à Tenir : (i) en cas de </w:t>
      </w:r>
      <w:r>
        <w:rPr>
          <w:b/>
        </w:rPr>
        <w:t>somnolence excessive</w:t>
      </w:r>
      <w:r>
        <w:t xml:space="preserve"> : espacer les prises, réduire la dose unique, transférer une partie de la dose au coucher, attendre la tolérance qui s'installe en 1-2 semaines ; (ii) en cas d'</w:t>
      </w:r>
      <w:r>
        <w:rPr>
          <w:b/>
        </w:rPr>
        <w:t>œdèmes périphériques</w:t>
      </w:r>
      <w:r>
        <w:t xml:space="preserve"> : réduire la dose, évaluer la fonction cardiaque, envisager un diurétique (prudence — interaction possible avec l'hydrochlorothiazide — augmentée de l'absorption de la gabapentine de 10 %) ; (iii) en cas de </w:t>
      </w:r>
      <w:r>
        <w:rPr>
          <w:b/>
        </w:rPr>
        <w:t>troubles psychiatriques</w:t>
      </w:r>
      <w:r>
        <w:t xml:space="preserve"> (idéation suicidaire, décompensation dépressive) : </w:t>
      </w:r>
      <w:r>
        <w:rPr>
          <w:b/>
        </w:rPr>
        <w:t>arrêt immédiat et consultation psychiatrique urgente</w:t>
      </w:r>
      <w:r>
        <w:t xml:space="preserve"> ; (iv) en cas d'</w:t>
      </w:r>
      <w:r>
        <w:rPr>
          <w:b/>
        </w:rPr>
        <w:t>insuffisance rénale aiguë</w:t>
      </w:r>
      <w:r>
        <w:t xml:space="preserve"> ou aggravation : adaptation immédiate de la posologie selon la clairance ; (v) en cas de </w:t>
      </w:r>
      <w:r>
        <w:rPr>
          <w:b/>
        </w:rPr>
        <w:t>réaction cutanée</w:t>
      </w:r>
      <w:r>
        <w:t xml:space="preserve"> : arrêt immédiat, hospitalisation si signes de Stevens-Johnson ou nécrolyse épidermique ; (vi) en cas de </w:t>
      </w:r>
      <w:r>
        <w:rPr>
          <w:b/>
        </w:rPr>
        <w:t>grossesse non planifiée</w:t>
      </w:r>
      <w:r>
        <w:t xml:space="preserve"> : ne pas arrêter brutalement, consulter le neurologue pour réévaluation du rapport bénéfice/risque.</w:t>
      </w:r>
    </w:p>
    <w:p>
      <w:r/>
      <w:r>
        <w:rPr>
          <w:b/>
        </w:rPr>
        <w:t>Interactions Importantes :</w:t>
      </w:r>
      <w:r/>
    </w:p>
    <w:p>
      <w:pPr>
        <w:pStyle w:val="ListBullet"/>
      </w:pPr>
      <w:r/>
      <w:r>
        <w:rPr>
          <w:b/>
        </w:rPr>
        <w:t>Gabapentine + antiacides (hydroxyde d'aluminium, hydroxyde de magnésium — Maalox®, Gaviscon®)</w:t>
      </w:r>
      <w:r>
        <w:t xml:space="preserve"> : </w:t>
      </w:r>
      <w:r>
        <w:rPr>
          <w:b/>
        </w:rPr>
        <w:t>réduction de la biodisponibilité de la gabapentine d'environ 20 %</w:t>
      </w:r>
      <w:r>
        <w:t xml:space="preserve"> — prendre la gabapentine au moins 2 heures après l'antiacide.</w:t>
      </w:r>
    </w:p>
    <w:p>
      <w:pPr>
        <w:pStyle w:val="ListBullet"/>
      </w:pPr>
      <w:r/>
      <w:r>
        <w:rPr>
          <w:b/>
        </w:rPr>
        <w:t>Gabapentine + opioïdes (morphine, oxycodone, tramadol)</w:t>
      </w:r>
      <w:r>
        <w:t xml:space="preserve"> : potentialisation de la somnolence et risque accru de dépression respiratoire — surveiller cliniquement ; la morphine peut augmenter l'absorption de la gabapentine (étude Pfizer).</w:t>
      </w:r>
    </w:p>
    <w:p>
      <w:pPr>
        <w:pStyle w:val="ListBullet"/>
      </w:pPr>
      <w:r/>
      <w:r>
        <w:rPr>
          <w:b/>
        </w:rPr>
        <w:t>Gabapentine + cimétidine</w:t>
      </w:r>
      <w:r>
        <w:t xml:space="preserve"> : réduction de la clairance rénale de la gabapentine d'environ 14 % — sans conséquence clinique majeure mais surveiller la sédation.</w:t>
      </w:r>
    </w:p>
    <w:p>
      <w:pPr>
        <w:pStyle w:val="ListBullet"/>
      </w:pPr>
      <w:r/>
      <w:r>
        <w:rPr>
          <w:b/>
        </w:rPr>
        <w:t>Gabapentine + alcool, benzodiazépines, autres dépresseurs du SNC</w:t>
      </w:r>
      <w:r>
        <w:t xml:space="preserve"> : potentialisation de la sédation — déconseillée.</w:t>
      </w:r>
    </w:p>
    <w:p>
      <w:pPr>
        <w:pStyle w:val="ListBullet"/>
      </w:pPr>
      <w:r/>
      <w:r>
        <w:rPr>
          <w:b/>
        </w:rPr>
        <w:t>Gabapentine + contraceptifs oraux</w:t>
      </w:r>
      <w:r>
        <w:t xml:space="preserve"> : </w:t>
      </w:r>
      <w:r>
        <w:rPr>
          <w:b/>
        </w:rPr>
        <w:t>aucune interaction documentée</w:t>
      </w:r>
      <w:r>
        <w:t xml:space="preserve"> (avantage de la gabapentine par rapport à la carbamazépine, oxcarbazépine, topiramate) — ne réduit pas l'efficacité contraceptive.</w:t>
      </w:r>
    </w:p>
    <w:p>
      <w:pPr>
        <w:pStyle w:val="ListBullet"/>
      </w:pPr>
      <w:r/>
      <w:r>
        <w:rPr>
          <w:b/>
        </w:rPr>
        <w:t>Gabapentine + warfarine</w:t>
      </w:r>
      <w:r>
        <w:t xml:space="preserve"> : cas isolés rapportés d'augmentation de l'INR — surveiller.</w:t>
      </w:r>
    </w:p>
    <w:p>
      <w:pPr>
        <w:pStyle w:val="ListBullet"/>
      </w:pPr>
      <w:r/>
      <w:r>
        <w:rPr>
          <w:b/>
        </w:rPr>
        <w:t>Gabapentine + autres antiépileptiques</w:t>
      </w:r>
      <w:r>
        <w:t xml:space="preserve"> : pas d'interaction pharmacocinétique notable — peut être associée à la carbamazépine, valproate, lamotrigine, lévétiracétam sans ajustement.</w:t>
      </w:r>
    </w:p>
    <w:p>
      <w:pPr>
        <w:pStyle w:val="ListBullet"/>
      </w:pPr>
      <w:r/>
      <w:r>
        <w:rPr>
          <w:b/>
        </w:rPr>
        <w:t>Examens biologiques</w:t>
      </w:r>
      <w:r>
        <w:t xml:space="preserve"> : la gabapentine peut interférer avec certains dosages enzymatiques des protéines urinaires (faux positifs possibles avec les bandelettes urinaires pour les protéines — utiliser le dosage au pyrogallol).</w:t>
      </w:r>
    </w:p>
    <w:p>
      <w:r/>
      <w:r>
        <w:rPr>
          <w:b/>
        </w:rPr>
        <w:t>Grossesse et Allaitement :</w:t>
      </w:r>
      <w:r/>
    </w:p>
    <w:p>
      <w:pPr>
        <w:pStyle w:val="ListBullet"/>
      </w:pPr>
      <w:r>
        <w:t xml:space="preserve">Grossesse : Selon le CRAT (Centre Renseignement sur les Agents Tératogènes) et l'EURAP (European Registry of Antiepileptic Drugs in Pregnancy), la gabapentine est considérée comme </w:t>
      </w:r>
      <w:r>
        <w:rPr>
          <w:b/>
        </w:rPr>
        <w:t>compatible avec la grossesse</w:t>
      </w:r>
      <w:r>
        <w:t xml:space="preserve"> en cas de nécessité, mais n'est pas l'antiépileptique de premier choix (préférer le </w:t>
      </w:r>
      <w:r>
        <w:rPr>
          <w:b/>
        </w:rPr>
        <w:t>lévétiracétam</w:t>
      </w:r>
      <w:r>
        <w:t xml:space="preserve"> qui a le recul le plus important). Le taux de malformations congénitales majeures sous gabapentine en monothérapie est estimé à </w:t>
      </w:r>
      <w:r>
        <w:rPr>
          <w:b/>
        </w:rPr>
        <w:t>3-4 %</w:t>
      </w:r>
      <w:r>
        <w:t xml:space="preserve"> (vs 2-3 % en population générale), ce qui suggère un risque modérément augmenté mais non majeur. Les données sont limitées par le faible nombre de grossesses documentées. La gabapentine ne doit pas être initiée pendant la grossesse sans réévaluation neurologique. </w:t>
      </w:r>
      <w:r>
        <w:rPr>
          <w:b/>
        </w:rPr>
        <w:t>Supplémentation en acide folique 5 mg/j</w:t>
      </w:r>
      <w:r>
        <w:t xml:space="preserve"> recommandée à partir du mois précédant la conception jusqu'au 1er trimestre.</w:t>
      </w:r>
    </w:p>
    <w:p>
      <w:pPr>
        <w:pStyle w:val="ListBullet"/>
      </w:pPr>
      <w:r>
        <w:t xml:space="preserve">Allaitement : Selon le CRAT, la gabapentine est </w:t>
      </w:r>
      <w:r>
        <w:rPr>
          <w:b/>
        </w:rPr>
        <w:t>compatible avec l'allaitement maternel</w:t>
      </w:r>
      <w:r>
        <w:t xml:space="preserve"> avec surveillance. La gabapentine passe dans le lait maternel (rapport lait/plasma ≈ 1) avec une concentration estimée chez le nourrisson à environ 1-4 % de la dose maternelle ajustée au poids. Surveiller le nourrisson : </w:t>
      </w:r>
      <w:r>
        <w:rPr>
          <w:b/>
        </w:rPr>
        <w:t>somnolence, mauvaise prise au sein, hypotonie, mauvaise prise de poids</w:t>
      </w:r>
      <w:r>
        <w:t xml:space="preserve"> — en cas d'effet indésirable, suspendre l'allaitement.</w:t>
      </w:r>
    </w:p>
    <w:p>
      <w:pPr>
        <w:pStyle w:val="ListBullet"/>
      </w:pPr>
      <w:r>
        <w:t xml:space="preserve">Précisions : En cas de prise de gabapentine au </w:t>
      </w:r>
      <w:r>
        <w:rPr>
          <w:b/>
        </w:rPr>
        <w:t>3e trimestre de la grossesse</w:t>
      </w:r>
      <w:r>
        <w:t xml:space="preserve">, un </w:t>
      </w:r>
      <w:r>
        <w:rPr>
          <w:b/>
        </w:rPr>
        <w:t>syndrome de sevrage néonatal</w:t>
      </w:r>
      <w:r>
        <w:t xml:space="preserve"> (agitation, hypertonie, tremblements, difficultés d'alimentation, vomissements) peut survenir dans les 24-48 heures après la naissance — surveiller le nouveau-né en maternité 48 heures minimum. L'accouchement en milieu hospitalier est recommandé pour permettre cette surveillance.</w:t>
      </w:r>
    </w:p>
    <w:p>
      <w:r/>
      <w:r>
        <w:rPr>
          <w:b/>
        </w:rPr>
        <w:t>Posologie et Mode d'administration (Standard) :</w:t>
      </w:r>
      <w:r/>
    </w:p>
    <w:p>
      <w:pPr>
        <w:pStyle w:val="ListBullet"/>
      </w:pPr>
      <w:r>
        <w:t xml:space="preserve">Adulte : </w:t>
      </w:r>
      <w:r>
        <w:rPr>
          <w:b/>
        </w:rPr>
        <w:t>dose initiale 300 mg le soir (J1), 300 mg ×2/j (J2), 300 mg ×3/j (J3)</w:t>
      </w:r>
      <w:r>
        <w:t xml:space="preserve">, puis augmentation par paliers de 300 mg/j tous les 3-7 jours jusqu'à la dose efficace. </w:t>
      </w:r>
      <w:r>
        <w:rPr>
          <w:b/>
        </w:rPr>
        <w:t>Dose d'entretien habituelle : 900 à 1800 mg/j en 3 prises</w:t>
      </w:r>
      <w:r>
        <w:t xml:space="preserve">. </w:t>
      </w:r>
      <w:r>
        <w:rPr>
          <w:b/>
        </w:rPr>
        <w:t>Dose maximale : 3600 mg/j en 3 prises</w:t>
      </w:r>
      <w:r>
        <w:t xml:space="preserve"> (doses supérieures sans bénéfice supplémentaire en raison de la saturation de l'absorption). Dans la douleur neuropathique, la dose efficace est généralement 1800-3600 mg/j. Dans la prophylaxie de la migraine, doses plus faibles 600-1200 mg/j.</w:t>
      </w:r>
    </w:p>
    <w:p>
      <w:pPr>
        <w:pStyle w:val="ListBullet"/>
      </w:pPr>
      <w:r>
        <w:t>Adaptation à la fonction rénale (Crucial) : ClCr ≥ 80 mL/min : 900-3600 mg/j en 3 prises ; ClCr 50-79 : 400-1400 mg/j en 2 prises ; ClCr 30-49 : 200-700 mg/j en 2 prises ; ClCr 15-29 : 100-700 mg/j en 1 prise ; ClCr &lt; 15 : 100-300 mg/j en 1 prise ; hémodialysé : dose de charge 300-400 mg après chaque dialyse de 4 heures. Chez le sujet âgé : adaptation à la clairance.</w:t>
      </w:r>
    </w:p>
    <w:p>
      <w:pPr>
        <w:pStyle w:val="ListBullet"/>
      </w:pPr>
      <w:r>
        <w:t xml:space="preserve">Enfant &gt; 6 ans et &lt; 12 ans : </w:t>
      </w:r>
      <w:r>
        <w:rPr>
          <w:b/>
        </w:rPr>
        <w:t>25-35 mg/kg/j en 3 prises</w:t>
      </w:r>
      <w:r>
        <w:t>, titration progressive à partir de 10 mg/kg/j ; dose maximale 50 mg/kg/j. Adolescent &gt; 12 ans : posologie adulte.</w:t>
      </w:r>
    </w:p>
    <w:p>
      <w:pPr>
        <w:pStyle w:val="ListBullet"/>
      </w:pPr>
      <w:r>
        <w:t xml:space="preserve">Durée : </w:t>
      </w:r>
      <w:r>
        <w:rPr>
          <w:b/>
        </w:rPr>
        <w:t>Au long cours</w:t>
      </w:r>
      <w:r>
        <w:t xml:space="preserve"> — traitement au minimum 2-5 ans après la dernière crise, parfois à vie selon l'étiologie de l'épilepsie. Dans la douleur neuropathique, traitement prolongé, réévaluation tous les 6-12 mois.</w:t>
      </w:r>
    </w:p>
    <w:p>
      <w:pPr>
        <w:pStyle w:val="ListBullet"/>
      </w:pPr>
      <w:r>
        <w:t xml:space="preserve">Moment de la prise : </w:t>
      </w:r>
      <w:r>
        <w:rPr>
          <w:b/>
        </w:rPr>
        <w:t>Pendant ou après les repas</w:t>
      </w:r>
      <w:r>
        <w:t xml:space="preserve"> pour réduire les nausées. La dernière prise est souvent prise </w:t>
      </w:r>
      <w:r>
        <w:rPr>
          <w:b/>
        </w:rPr>
        <w:t>au coucher</w:t>
      </w:r>
      <w:r>
        <w:t xml:space="preserve"> pour profiter de l'effet sédatif et améliorer le sommeil. En cas de somnolence diurne excessive, transférer une partie de la dose au coucher.</w:t>
      </w:r>
    </w:p>
    <w:p>
      <w:r/>
      <w:r>
        <w:rPr>
          <w:b/>
        </w:rPr>
        <w:t>Arbitrage et Bénéfices des Formes Galéniques :</w:t>
      </w:r>
      <w:r/>
    </w:p>
    <w:p>
      <w:r>
        <w:t xml:space="preserve">La gabapentine étant disponible uniquement en </w:t>
      </w:r>
      <w:r>
        <w:rPr>
          <w:b/>
        </w:rPr>
        <w:t>gélules de 300 mg et 400 mg</w:t>
      </w:r>
      <w:r>
        <w:t xml:space="preserve">, le pharmacien doit adapter les prescriptions nécessitant des paliers précis. Pour l'initiation chez l'adulte, la gélule de 300 mg est utilisée (J1-J2-J3 puis titration). Pour les doses d'entretien, la combinaison de gélules de 300 mg et 400 mg permet d'atteindre les doses habituelles (1800 mg = 3 × 600 mg = 3 × [400 + 200] — mais la gélule de 200 mg n'est pas disponible en Algérie — d'où l'utilisation de 300 mg ×2 + 400 mg ×3 = 1800 mg, ou 600 mg ×3 = 400 + 200 mg). La </w:t>
      </w:r>
      <w:r>
        <w:rPr>
          <w:b/>
        </w:rPr>
        <w:t>forme sirop</w:t>
      </w:r>
      <w:r>
        <w:t xml:space="preserve"> n'est pas disponible en Algérie, ce qui complique l'administration chez l'enfant de moins de 6 ans (pour lequel l'AMM n'est d'ailleurs pas établie en Algérie) et chez le patient âgé dysphagique. L'absence de forme à libération prolongée impose la </w:t>
      </w:r>
      <w:r>
        <w:rPr>
          <w:b/>
        </w:rPr>
        <w:t>triprise quotidienne</w:t>
      </w:r>
      <w:r>
        <w:t xml:space="preserve"> (à la différence de la prégabaline qui peut être en biprise et de la gabapentine LP disponible en Europe). Pour les patients nécessitant un sevrage, la gélule sécable n'étant pas disponible, il faut utiliser des dosages alternatifs (300 mg à la place de 400 mg pour réduire de 25 %). Le pharmacien doit </w:t>
      </w:r>
      <w:r>
        <w:rPr>
          <w:b/>
        </w:rPr>
        <w:t>conseiller au patient d'avoir toujours une boîte d'avance</w:t>
      </w:r>
      <w:r>
        <w:t xml:space="preserve"> pour éviter la rupture thérapeutique (risque de reprise des crises et de syndrome de sevrage).</w:t>
      </w:r>
    </w:p>
    <w:p>
      <w:r/>
      <w:r>
        <w:rPr>
          <w:b/>
        </w:rPr>
        <w:t>Instructions et Conseils au Patient :</w:t>
      </w:r>
      <w:r/>
    </w:p>
    <w:p>
      <w:pPr>
        <w:pStyle w:val="ListBullet"/>
      </w:pPr>
      <w:r>
        <w:t xml:space="preserve">Communication au comptoir : Expliquer au patient que : (i) le traitement est </w:t>
      </w:r>
      <w:r>
        <w:rPr>
          <w:b/>
        </w:rPr>
        <w:t>au long cours</w:t>
      </w:r>
      <w:r>
        <w:t xml:space="preserve"> et qu'il ne faut jamais l'arrêter brutalement (risque de réapparition des crises, parfois sous forme d'</w:t>
      </w:r>
      <w:r>
        <w:rPr>
          <w:b/>
        </w:rPr>
        <w:t>état de mal épileptique</w:t>
      </w:r>
      <w:r>
        <w:t xml:space="preserve">) ; (ii) les </w:t>
      </w:r>
      <w:r>
        <w:rPr>
          <w:b/>
        </w:rPr>
        <w:t>effets indésirables initiaux</w:t>
      </w:r>
      <w:r>
        <w:t xml:space="preserve"> (somnolence, vertiges) sont transitoires et s'amendent en 1-2 semaines — ne pas arrêter dès les premiers effets ; (iii) la </w:t>
      </w:r>
      <w:r>
        <w:rPr>
          <w:b/>
        </w:rPr>
        <w:t>titration progressive</w:t>
      </w:r>
      <w:r>
        <w:t xml:space="preserve"> est essentielle — ne pas augmenter la dose seul ; (iv) en cas d'oubli, </w:t>
      </w:r>
      <w:r>
        <w:rPr>
          <w:b/>
        </w:rPr>
        <w:t>prendre la dose oubliée si moins de 4 heures se sont écoulées</w:t>
      </w:r>
      <w:r>
        <w:t xml:space="preserve">, sinon ne pas prendre et continuer le schéma habituel — </w:t>
      </w:r>
      <w:r>
        <w:rPr>
          <w:b/>
        </w:rPr>
        <w:t>ne jamais doubler la dose</w:t>
      </w:r>
      <w:r>
        <w:t xml:space="preserve"> ; (v) </w:t>
      </w:r>
      <w:r>
        <w:rPr>
          <w:b/>
        </w:rPr>
        <w:t>ne pas conduire</w:t>
      </w:r>
      <w:r>
        <w:t xml:space="preserve"> pendant les premières semaines et à chaque augmentation de dose — délai de 1-3 mois pour évaluer la tolérance ; (vi) </w:t>
      </w:r>
      <w:r>
        <w:rPr>
          <w:b/>
        </w:rPr>
        <w:t>éviter l'alcool</w:t>
      </w:r>
      <w:r>
        <w:t xml:space="preserve"> (potentialisation de la sédation) ; (vii) </w:t>
      </w:r>
      <w:r>
        <w:rPr>
          <w:b/>
        </w:rPr>
        <w:t>prévenir le médecin et le pharmacien en cas de grossesse planifiée ou non</w:t>
      </w:r>
      <w:r>
        <w:t xml:space="preserve"> ; (viii) </w:t>
      </w:r>
      <w:r>
        <w:rPr>
          <w:b/>
        </w:rPr>
        <w:t>porter une carte d'identification médicale</w:t>
      </w:r>
      <w:r>
        <w:t xml:space="preserve"> indiquant le traitement antiépileptique ; (ix) </w:t>
      </w:r>
      <w:r>
        <w:rPr>
          <w:b/>
        </w:rPr>
        <w:t>surveiller le poids</w:t>
      </w:r>
      <w:r>
        <w:t xml:space="preserve"> et signaler une prise de poids excessive ; (x) en cas de </w:t>
      </w:r>
      <w:r>
        <w:rPr>
          <w:b/>
        </w:rPr>
        <w:t>signes psychiatriques</w:t>
      </w:r>
      <w:r>
        <w:t xml:space="preserve"> (tristesse, idées noires, agitation) — consulter immédiatement.</w:t>
      </w:r>
    </w:p>
    <w:p>
      <w:pPr>
        <w:pStyle w:val="ListBullet"/>
      </w:pPr>
      <w:r>
        <w:t xml:space="preserve">Mode d'utilisation pratique : Prendre les gélules </w:t>
      </w:r>
      <w:r>
        <w:rPr>
          <w:b/>
        </w:rPr>
        <w:t>avec un grand verre d'eau</w:t>
      </w:r>
      <w:r>
        <w:t xml:space="preserve">, </w:t>
      </w:r>
      <w:r>
        <w:rPr>
          <w:b/>
        </w:rPr>
        <w:t>pendant ou après les repas</w:t>
      </w:r>
      <w:r>
        <w:t xml:space="preserve">. Si </w:t>
      </w:r>
      <w:r>
        <w:rPr>
          <w:b/>
        </w:rPr>
        <w:t>antiacide nécessaire</w:t>
      </w:r>
      <w:r>
        <w:t xml:space="preserve">, prendre la gabapentine </w:t>
      </w:r>
      <w:r>
        <w:rPr>
          <w:b/>
        </w:rPr>
        <w:t>au moins 2 heures après</w:t>
      </w:r>
      <w:r>
        <w:t xml:space="preserve"> l'antiacide. Ne pas ouvrir les gélules (sauf si le patient est incapable d'avaler — contenu dispersible dans une petite quantité d'eau ou de compote, à prendre immédiatement sans conservation). Conserver les gélules à température ambiante (&lt;25 °C), à l'abri de l'humidité. Tenir hors de portée des enfants. Surveiller le poids une fois par mois les 6 premiers mois, puis tous les 3-6 mois. Surveiller la créatininémie au moins annuellement. Tenir un agenda des crises (date, heure, circonstances) à présenter au neurologue.</w:t>
      </w:r>
    </w:p>
    <w:p>
      <w:r/>
      <w:r>
        <w:rPr>
          <w:b/>
        </w:rPr>
        <w:t>Notes, Règles d'Or &amp; Pièges au Comptoir :</w:t>
      </w:r>
      <w:r/>
    </w:p>
    <w:p>
      <w:pPr>
        <w:pStyle w:val="ListBullet"/>
      </w:pPr>
      <w:r>
        <w:t xml:space="preserve">Piège classique : (i) </w:t>
      </w:r>
      <w:r>
        <w:rPr>
          <w:b/>
        </w:rPr>
        <w:t>non adaptation à la fonction rénale</w:t>
      </w:r>
      <w:r>
        <w:t xml:space="preserve"> chez le sujet âgé — la gabapentine est 100 % éliminée par le rein, donc une insuffisance rénale même modérée entraîne une accumulation toxique (somnolence sévère, ataxie, confusion) — toujours calculer la clairance créatinine (formule de Cockcroft) chez le sujet &gt; 65 ans ; (ii) </w:t>
      </w:r>
      <w:r>
        <w:rPr>
          <w:b/>
        </w:rPr>
        <w:t>non fractionnement en 3 prises</w:t>
      </w:r>
      <w:r>
        <w:t xml:space="preserve"> — la demi-vie de 5-7 heures impose une triprise ; (iii) </w:t>
      </w:r>
      <w:r>
        <w:rPr>
          <w:b/>
        </w:rPr>
        <w:t>oubli de l'interaction avec les antiacides</w:t>
      </w:r>
      <w:r>
        <w:t xml:space="preserve"> — réduire la biodisponibilité de 20 % ; (iv) </w:t>
      </w:r>
      <w:r>
        <w:rPr>
          <w:b/>
        </w:rPr>
        <w:t>non information du risque de sevrage</w:t>
      </w:r>
      <w:r>
        <w:t xml:space="preserve"> à l'arrêt brutal ; (v) </w:t>
      </w:r>
      <w:r>
        <w:rPr>
          <w:b/>
        </w:rPr>
        <w:t>confusion avec la prégabaline</w:t>
      </w:r>
      <w:r>
        <w:t xml:space="preserve"> — la gabapentine est moins puissante (6×), à cinétique saturable, à triprise ; la prégabaline est plus puissante, à cinétique linéaire, à biprise ; (vi) </w:t>
      </w:r>
      <w:r>
        <w:rPr>
          <w:b/>
        </w:rPr>
        <w:t>risque d'abus et de dépendance</w:t>
      </w:r>
      <w:r>
        <w:t xml:space="preserve"> — bien que moins marqué qu'avec la prégabaline, des cas d'usage détourné (recherche d'effet euphorisant à haute dose) ont été rapportés — surveiller les demandes répétées précoces.</w:t>
      </w:r>
    </w:p>
    <w:p>
      <w:pPr>
        <w:pStyle w:val="ListBullet"/>
      </w:pPr>
      <w:r>
        <w:t>Règle de prise : 3 prises par jour à heures régulières (par exemple 8h-14h-22h ou 8h-16h-24h), pendant les repas. Dernière prise au coucher pour profiter de l'effet sédatif.</w:t>
      </w:r>
    </w:p>
    <w:p>
      <w:pPr>
        <w:pStyle w:val="ListBullet"/>
      </w:pPr>
      <w:r>
        <w:t>Préparation et Conservation : Conservation à température ambiante (&lt;25 °C), à l'abri de l'humidité et de la lumière. Pas de préparation magistrale nécessaire. Disponible en boîtes de 30, 50 ou 90 gélules selon la marque.</w:t>
      </w:r>
    </w:p>
    <w:p>
      <w:pPr>
        <w:pStyle w:val="ListBullet"/>
      </w:pPr>
      <w:r>
        <w:t xml:space="preserve">Piège du surdosage / Substitution : Le surdosage par la gabapentine est généralement bénin (somnolence, ataxie, troubles gastro-intestinaux) en raison de la saturation de l'absorption — mais peut être grave en cas d'insuffisance rénale (coma). Traitement : lavage gastrique si prise récente (&lt;1 heure), hémodialyse efficace (élimine 50 % en 4 heures). La </w:t>
      </w:r>
      <w:r>
        <w:rPr>
          <w:b/>
        </w:rPr>
        <w:t>substitution</w:t>
      </w:r>
      <w:r>
        <w:t xml:space="preserve"> entre les différentes marques (génériques) de gabapentine doit se faire avec </w:t>
      </w:r>
      <w:r>
        <w:rPr>
          <w:b/>
        </w:rPr>
        <w:t>surveillance clinique</w:t>
      </w:r>
      <w:r>
        <w:t xml:space="preserve"> pendant 1 mois en raison de possibles variations d'équivalence bio pharmaceutique (autorisation de substitution générique mais avec un grade d'interchangeabilité à vérifier — préférer le maintien de la même marque si possible, en particulier pour la gabapentine qui a une absorption saturable sensible à la formulation).</w:t>
      </w:r>
    </w:p>
    <w:p>
      <w:pPr>
        <w:pStyle w:val="Heading2"/>
      </w:pPr>
      <w:r>
        <w:t>2. DCI : Prégabaline (Seule)</w:t>
      </w:r>
    </w:p>
    <w:p>
      <w:r/>
      <w:r>
        <w:rPr>
          <w:b/>
        </w:rPr>
        <w:t>Liste des Catégories :</w:t>
      </w:r>
      <w:r>
        <w:t xml:space="preserve"> Antiépileptiques — Modernes (analogues GABA α2δ) ; Médicaments des douleurs neuropathiques ; Anxiolytiques non benzodiazépiniques ; Liste I des substances vénéneuses.</w:t>
      </w:r>
    </w:p>
    <w:p>
      <w:r>
        <w:t xml:space="preserve">La prégabaline (Lyrica® et de nombreux génériques) est le </w:t>
      </w:r>
      <w:r>
        <w:rPr>
          <w:b/>
        </w:rPr>
        <w:t>second représentant de la classe des gabapentinoïdes</w:t>
      </w:r>
      <w:r>
        <w:t xml:space="preserve"> après la gabapentine, mais s'en distingue par une </w:t>
      </w:r>
      <w:r>
        <w:rPr>
          <w:b/>
        </w:rPr>
        <w:t>affinité six fois supérieure</w:t>
      </w:r>
      <w:r>
        <w:t xml:space="preserve"> pour la sous-unité α2δ-1 des canaux calciques voltage-dépendants, une </w:t>
      </w:r>
      <w:r>
        <w:rPr>
          <w:b/>
        </w:rPr>
        <w:t>biodisponibilité orale linéaire et élevée</w:t>
      </w:r>
      <w:r>
        <w:t xml:space="preserve"> (≥90 %), une </w:t>
      </w:r>
      <w:r>
        <w:rPr>
          <w:b/>
        </w:rPr>
        <w:t>demi-vie plus longue</w:t>
      </w:r>
      <w:r>
        <w:t xml:space="preserve"> (6-7 heures vs 5-7 h) autorisant une </w:t>
      </w:r>
      <w:r>
        <w:rPr>
          <w:b/>
        </w:rPr>
        <w:t>biprise</w:t>
      </w:r>
      <w:r>
        <w:t xml:space="preserve"> (vs triprise pour la gabapentine), et un </w:t>
      </w:r>
      <w:r>
        <w:rPr>
          <w:b/>
        </w:rPr>
        <w:t>spectre d'indications plus large</w:t>
      </w:r>
      <w:r>
        <w:t xml:space="preserve"> incluant le trouble anxieux généralisé et la fibromyalgie. Commercialisée en Algérie sous 46 formes actives par 14 laboratoires différents, la prégabaline est l'un des médicaments neurologiques les plus prescrits du pays, mais aussi l'un des plus exposés au </w:t>
      </w:r>
      <w:r>
        <w:rPr>
          <w:b/>
        </w:rPr>
        <w:t>risque d'abus, mésusage et dépendance</w:t>
      </w:r>
      <w:r>
        <w:t>, ce qui a justifié une réévaluation par l'ANSM en 2017 et le renforcement du contrôle pharmaceutique.</w:t>
      </w:r>
    </w:p>
    <w:p>
      <w:r/>
      <w:r>
        <w:rPr>
          <w:b/>
        </w:rPr>
        <w:t>Médicaments disponibles en Algérie (Marques, Laboratoires, Formes et Dosages) :</w:t>
      </w:r>
      <w:r/>
    </w:p>
    <w:p>
      <w:pPr>
        <w:pStyle w:val="ListBullet"/>
      </w:pPr>
      <w:r/>
      <w:r>
        <w:rPr>
          <w:b/>
        </w:rPr>
        <w:t>LYRICA</w:t>
      </w:r>
      <w:r>
        <w:t xml:space="preserve"> (PFIZER LIMITED) — princeps</w:t>
      </w:r>
    </w:p>
    <w:p>
      <w:pPr>
        <w:pStyle w:val="ListBullet"/>
      </w:pPr>
      <w:r>
        <w:t>Formes et Dosages : Gélule 25 mg (B/56) ; Gélule 300 mg (B/56)</w:t>
      </w:r>
    </w:p>
    <w:p>
      <w:pPr>
        <w:pStyle w:val="ListBullet"/>
      </w:pPr>
      <w:r>
        <w:t>Statut : Actif (formes 100 mg et 150 mg RETIREES)</w:t>
      </w:r>
    </w:p>
    <w:p>
      <w:pPr>
        <w:pStyle w:val="ListBullet"/>
      </w:pPr>
      <w:r/>
      <w:r>
        <w:rPr>
          <w:b/>
        </w:rPr>
        <w:t>LYRICA</w:t>
      </w:r>
      <w:r>
        <w:t xml:space="preserve"> (UPJOHN SAIDAL PHARMA) — co-développement local</w:t>
      </w:r>
    </w:p>
    <w:p>
      <w:pPr>
        <w:pStyle w:val="ListBullet"/>
      </w:pPr>
      <w:r>
        <w:t>Formes et Dosages : Gélule 50 mg (B/56) ; Gélule 150 mg (B/60) ; Gélule 75 mg (B/56)</w:t>
      </w:r>
    </w:p>
    <w:p>
      <w:pPr>
        <w:pStyle w:val="ListBullet"/>
      </w:pPr>
      <w:r>
        <w:t>Statut : Actif</w:t>
      </w:r>
    </w:p>
    <w:p>
      <w:pPr>
        <w:pStyle w:val="ListBullet"/>
      </w:pPr>
      <w:r/>
      <w:r>
        <w:rPr>
          <w:b/>
        </w:rPr>
        <w:t>LEPTICA</w:t>
      </w:r>
      <w:r>
        <w:t xml:space="preserve"> (ALEMBIC MAMI SPA)</w:t>
      </w:r>
    </w:p>
    <w:p>
      <w:pPr>
        <w:pStyle w:val="ListBullet"/>
      </w:pPr>
      <w:r>
        <w:t>Formes et Dosages : Gélule 50 mg (B/60) ; Gélule 150 mg (B/60) ; Gélule 300 mg (B/60)</w:t>
      </w:r>
    </w:p>
    <w:p>
      <w:pPr>
        <w:pStyle w:val="ListBullet"/>
      </w:pPr>
      <w:r>
        <w:t>Statut : Actif</w:t>
      </w:r>
    </w:p>
    <w:p>
      <w:pPr>
        <w:pStyle w:val="ListBullet"/>
      </w:pPr>
      <w:r/>
      <w:r>
        <w:rPr>
          <w:b/>
        </w:rPr>
        <w:t>LIPRAG</w:t>
      </w:r>
      <w:r>
        <w:t xml:space="preserve"> (BIOGALENIC)</w:t>
      </w:r>
    </w:p>
    <w:p>
      <w:pPr>
        <w:pStyle w:val="ListBullet"/>
      </w:pPr>
      <w:r>
        <w:t>Formes et Dosages : Gélule 50 mg (B/60) ; Gélule 150 mg (B/60)</w:t>
      </w:r>
    </w:p>
    <w:p>
      <w:pPr>
        <w:pStyle w:val="ListBullet"/>
      </w:pPr>
      <w:r>
        <w:t>Statut : Actif</w:t>
      </w:r>
    </w:p>
    <w:p>
      <w:pPr>
        <w:pStyle w:val="ListBullet"/>
      </w:pPr>
      <w:r/>
      <w:r>
        <w:rPr>
          <w:b/>
        </w:rPr>
        <w:t>LYRIZIN</w:t>
      </w:r>
      <w:r>
        <w:t xml:space="preserve"> (EL KENDI INDUSTRIE DU MEDICAMENT)</w:t>
      </w:r>
    </w:p>
    <w:p>
      <w:pPr>
        <w:pStyle w:val="ListBullet"/>
      </w:pPr>
      <w:r>
        <w:t>Formes et Dosages : Gélule 50 mg (B/60) ; Gélule 150 mg (B/60) ; Gélule 300 mg (B/60) ; Gélule 75 mg (B/60)</w:t>
      </w:r>
    </w:p>
    <w:p>
      <w:pPr>
        <w:pStyle w:val="ListBullet"/>
      </w:pPr>
      <w:r>
        <w:t>Statut : Actif</w:t>
      </w:r>
    </w:p>
    <w:p>
      <w:pPr>
        <w:pStyle w:val="ListBullet"/>
      </w:pPr>
      <w:r/>
      <w:r>
        <w:rPr>
          <w:b/>
        </w:rPr>
        <w:t>NEURAXON</w:t>
      </w:r>
      <w:r>
        <w:t xml:space="preserve"> / </w:t>
      </w:r>
      <w:r>
        <w:rPr>
          <w:b/>
        </w:rPr>
        <w:t>NEURAXON 150</w:t>
      </w:r>
      <w:r>
        <w:t xml:space="preserve"> (SANAMED)</w:t>
      </w:r>
    </w:p>
    <w:p>
      <w:pPr>
        <w:pStyle w:val="ListBullet"/>
      </w:pPr>
      <w:r>
        <w:t>Formes et Dosages : Gélule 50 mg (B/60) ; Gélule 150 mg (B/60)</w:t>
      </w:r>
    </w:p>
    <w:p>
      <w:pPr>
        <w:pStyle w:val="ListBullet"/>
      </w:pPr>
      <w:r>
        <w:t>Statut : Actif</w:t>
      </w:r>
    </w:p>
    <w:p>
      <w:pPr>
        <w:pStyle w:val="ListBullet"/>
      </w:pPr>
      <w:r/>
      <w:r>
        <w:rPr>
          <w:b/>
        </w:rPr>
        <w:t>NEURICA</w:t>
      </w:r>
      <w:r>
        <w:t xml:space="preserve"> (BIOPHARM)</w:t>
      </w:r>
    </w:p>
    <w:p>
      <w:pPr>
        <w:pStyle w:val="ListBullet"/>
      </w:pPr>
      <w:r>
        <w:t>Formes et Dosages : Gélule 50 mg (B/60) ; Gélule 150 mg (B/60) ; Gélule 300 mg (B/60) ; Gélule 75 mg (B/60)</w:t>
      </w:r>
    </w:p>
    <w:p>
      <w:pPr>
        <w:pStyle w:val="ListBullet"/>
      </w:pPr>
      <w:r>
        <w:t>Statut : Actif</w:t>
      </w:r>
    </w:p>
    <w:p>
      <w:pPr>
        <w:pStyle w:val="ListBullet"/>
      </w:pPr>
      <w:r/>
      <w:r>
        <w:rPr>
          <w:b/>
        </w:rPr>
        <w:t>PREGABALINE BEKER</w:t>
      </w:r>
      <w:r>
        <w:t xml:space="preserve"> (LABORATOIRES BEKER)</w:t>
      </w:r>
    </w:p>
    <w:p>
      <w:pPr>
        <w:pStyle w:val="ListBullet"/>
      </w:pPr>
      <w:r>
        <w:t>Formes et Dosages : Gélule 50 mg (B/60) ; Gélule 150 mg (B/60) ; Gélule 300 mg (B/60 et B/90) ; Gélule 75 mg (B/60)</w:t>
      </w:r>
    </w:p>
    <w:p>
      <w:pPr>
        <w:pStyle w:val="ListBullet"/>
      </w:pPr>
      <w:r>
        <w:t>Statut : Actif</w:t>
      </w:r>
    </w:p>
    <w:p>
      <w:pPr>
        <w:pStyle w:val="ListBullet"/>
      </w:pPr>
      <w:r/>
      <w:r>
        <w:rPr>
          <w:b/>
        </w:rPr>
        <w:t>PREGABALINE LDM</w:t>
      </w:r>
      <w:r>
        <w:t xml:space="preserve"> (LABORATOIRES DE DIAGNOSTIC MAGHREBINS-LDM)</w:t>
      </w:r>
    </w:p>
    <w:p>
      <w:pPr>
        <w:pStyle w:val="ListBullet"/>
      </w:pPr>
      <w:r>
        <w:t>Formes et Dosages : Gélule 50 mg (B/60) ; Gélule 150 mg (B/60) ; Gélule 300 mg (B/60)</w:t>
      </w:r>
    </w:p>
    <w:p>
      <w:pPr>
        <w:pStyle w:val="ListBullet"/>
      </w:pPr>
      <w:r>
        <w:t>Statut : Actif</w:t>
      </w:r>
    </w:p>
    <w:p>
      <w:pPr>
        <w:pStyle w:val="ListBullet"/>
      </w:pPr>
      <w:r/>
      <w:r>
        <w:rPr>
          <w:b/>
        </w:rPr>
        <w:t>PRERICA</w:t>
      </w:r>
      <w:r>
        <w:t xml:space="preserve"> (NOVAPHARM TRADING)</w:t>
      </w:r>
    </w:p>
    <w:p>
      <w:pPr>
        <w:pStyle w:val="ListBullet"/>
      </w:pPr>
      <w:r>
        <w:t>Formes et Dosages : Gélule 50 mg (B/60) ; Gélule 150 mg (B/60)</w:t>
      </w:r>
    </w:p>
    <w:p>
      <w:pPr>
        <w:pStyle w:val="ListBullet"/>
      </w:pPr>
      <w:r>
        <w:t>Statut : Actif</w:t>
      </w:r>
    </w:p>
    <w:p>
      <w:pPr>
        <w:pStyle w:val="ListBullet"/>
      </w:pPr>
      <w:r/>
      <w:r>
        <w:rPr>
          <w:b/>
        </w:rPr>
        <w:t>REGAB</w:t>
      </w:r>
      <w:r>
        <w:t xml:space="preserve"> (HIKMA PHARMA ALGERIA)</w:t>
      </w:r>
    </w:p>
    <w:p>
      <w:pPr>
        <w:pStyle w:val="ListBullet"/>
      </w:pPr>
      <w:r>
        <w:t>Formes et Dosages : Gélule 50 mg (B/56) ; Gélule 150 mg (B/56) ; Gélule 300 mg (B/56) ; Gélule 75 mg (B/56)</w:t>
      </w:r>
    </w:p>
    <w:p>
      <w:pPr>
        <w:pStyle w:val="ListBullet"/>
      </w:pPr>
      <w:r>
        <w:t>Statut : Actif</w:t>
      </w:r>
    </w:p>
    <w:p>
      <w:pPr>
        <w:pStyle w:val="ListBullet"/>
      </w:pPr>
      <w:r/>
      <w:r>
        <w:rPr>
          <w:b/>
        </w:rPr>
        <w:t>RICABALINE</w:t>
      </w:r>
      <w:r>
        <w:t xml:space="preserve"> (FRATER-RAZES FORME SECHE)</w:t>
      </w:r>
    </w:p>
    <w:p>
      <w:pPr>
        <w:pStyle w:val="ListBullet"/>
      </w:pPr>
      <w:r>
        <w:t>Formes et Dosages : Microgranule en gélule 50 mg (B/60) ; Gélule 150 mg (B/60) ; Microgranule en gélule 300 mg (B/60)</w:t>
      </w:r>
    </w:p>
    <w:p>
      <w:pPr>
        <w:pStyle w:val="ListBullet"/>
      </w:pPr>
      <w:r>
        <w:t>Statut : Actif</w:t>
      </w:r>
    </w:p>
    <w:p>
      <w:pPr>
        <w:pStyle w:val="ListBullet"/>
      </w:pPr>
      <w:r/>
      <w:r>
        <w:rPr>
          <w:b/>
        </w:rPr>
        <w:t>YRICAL</w:t>
      </w:r>
      <w:r>
        <w:t xml:space="preserve"> (NEOMEDIC)</w:t>
      </w:r>
    </w:p>
    <w:p>
      <w:pPr>
        <w:pStyle w:val="ListBullet"/>
      </w:pPr>
      <w:r>
        <w:t>Formes et Dosages : Gélule 50 mg (B/56) ; Gélule 150 mg (B/56)</w:t>
      </w:r>
    </w:p>
    <w:p>
      <w:pPr>
        <w:pStyle w:val="ListBullet"/>
      </w:pPr>
      <w:r>
        <w:t>Statut : Actif</w:t>
      </w:r>
    </w:p>
    <w:p>
      <w:pPr>
        <w:pStyle w:val="ListBullet"/>
      </w:pPr>
      <w:r/>
      <w:r>
        <w:rPr>
          <w:b/>
        </w:rPr>
        <w:t>GABALYSE</w:t>
      </w:r>
      <w:r>
        <w:t xml:space="preserve"> (ABDI IBRAHIM REMEDE PHARMA)</w:t>
      </w:r>
    </w:p>
    <w:p>
      <w:pPr>
        <w:pStyle w:val="ListBullet"/>
      </w:pPr>
      <w:r>
        <w:t>Formes et Dosages : Gélule 150 mg (B/56) ; Gélule 300 mg (B/56) ; Gélule 75 mg (B/56)</w:t>
      </w:r>
    </w:p>
    <w:p>
      <w:pPr>
        <w:pStyle w:val="ListBullet"/>
      </w:pPr>
      <w:r>
        <w:t>Statut : Actif</w:t>
      </w:r>
    </w:p>
    <w:p>
      <w:pPr>
        <w:pStyle w:val="ListBullet"/>
      </w:pPr>
      <w:r/>
      <w:r>
        <w:rPr>
          <w:b/>
        </w:rPr>
        <w:t>GALARA</w:t>
      </w:r>
      <w:r>
        <w:t xml:space="preserve"> (WORLD MEDECINE LIMITED)</w:t>
      </w:r>
    </w:p>
    <w:p>
      <w:pPr>
        <w:pStyle w:val="ListBullet"/>
      </w:pPr>
      <w:r>
        <w:t>Formes et Dosages : Gélule 150 mg (B/30) ; Gélule 300 mg (B/30)</w:t>
      </w:r>
    </w:p>
    <w:p>
      <w:pPr>
        <w:pStyle w:val="ListBullet"/>
      </w:pPr>
      <w:r>
        <w:t>Statut : Actif</w:t>
      </w:r>
    </w:p>
    <w:p>
      <w:pPr>
        <w:pStyle w:val="ListBullet"/>
      </w:pPr>
      <w:r/>
      <w:r>
        <w:rPr>
          <w:b/>
        </w:rPr>
        <w:t>NERVAX</w:t>
      </w:r>
      <w:r>
        <w:t xml:space="preserve"> (TABUK ALGERIE)</w:t>
      </w:r>
    </w:p>
    <w:p>
      <w:pPr>
        <w:pStyle w:val="ListBullet"/>
      </w:pPr>
      <w:r>
        <w:t>Formes et Dosages : Gélule 150 mg (B/60)</w:t>
      </w:r>
    </w:p>
    <w:p>
      <w:pPr>
        <w:pStyle w:val="ListBullet"/>
      </w:pPr>
      <w:r>
        <w:t>Statut : Actif</w:t>
      </w:r>
    </w:p>
    <w:p>
      <w:r/>
      <w:r>
        <w:rPr>
          <w:b/>
        </w:rPr>
        <w:t>Sous-classe et Mécanisme d'action :</w:t>
      </w:r>
      <w:r/>
    </w:p>
    <w:p>
      <w:pPr>
        <w:pStyle w:val="ListBullet"/>
      </w:pPr>
      <w:r>
        <w:t>Sous-classe : Antiépileptique moderne de troisième génération, gabapentinoïde ; classe partagée avec la gabapentine mais avec une affinité α2δ six fois supérieure et une cinétique linéaire. Médicament transversal entre neurologie (antiépileptique), algologie (douleur neuropathique) et psychiatrie (anxiété généralisée, fibromyalgie).</w:t>
      </w:r>
    </w:p>
    <w:p>
      <w:pPr>
        <w:pStyle w:val="ListBullet"/>
      </w:pPr>
      <w:r>
        <w:t xml:space="preserve">Mécanisme d'action : </w:t>
      </w:r>
      <w:r>
        <w:rPr>
          <w:b/>
        </w:rPr>
        <w:t>Liaison sélective, saturable et puissante à la sous-unité auxiliaire α2δ-1 (et à un moindre degré α2δ-2) des canaux calciques voltage-dépendants de type P/Q et N présents sur les terminaisons présynaptiques</w:t>
      </w:r>
      <w:r>
        <w:t xml:space="preserve">. Cette interaction bloque l'afflux calcique présynaptique déclenché par le potentiel d'action et réduit la libération des neurotransmetteurs excitateurs — principalement le glutamate, mais aussi la noradrénaline et la substance P. Contrairement à la gabapentine, la prégabaline est un </w:t>
      </w:r>
      <w:r>
        <w:rPr>
          <w:b/>
        </w:rPr>
        <w:t>ligand plus affine</w:t>
      </w:r>
      <w:r>
        <w:t xml:space="preserve"> (Ki 14 nM pour la prégabaline vs 87 nM pour la gabapentine) et atteint sa cible à des doses thérapeutiques plus faibles. Le résultat net est une </w:t>
      </w:r>
      <w:r>
        <w:rPr>
          <w:b/>
        </w:rPr>
        <w:t>réduction de l'hyperexcitabilité neuronale</w:t>
      </w:r>
      <w:r>
        <w:t xml:space="preserve"> et une </w:t>
      </w:r>
      <w:r>
        <w:rPr>
          <w:b/>
        </w:rPr>
        <w:t>modulation de la sensibilisation centrale</w:t>
      </w:r>
      <w:r>
        <w:t xml:space="preserve"> dans les douleurs neuropathiques et les troubles anxieux. La prégabaline n'a </w:t>
      </w:r>
      <w:r>
        <w:rPr>
          <w:b/>
        </w:rPr>
        <w:t>aucune action directe sur les récepteurs GABA-A ou GABA-B</w:t>
      </w:r>
      <w:r>
        <w:t>, ne bloque pas les canaux sodiques, n'inhibe pas l'anhydrase carbonique, n'interagit pas avec les récepteurs de la dopamine, sérotonine ou adrénaline. Cette sélectivité explique son profil de tolérance favorable et son absence d'interactions médicamenteuses significatives.</w:t>
      </w:r>
    </w:p>
    <w:p>
      <w:r/>
      <w:r>
        <w:rPr>
          <w:b/>
        </w:rPr>
        <w:t>Profil Pharmacologique :</w:t>
      </w:r>
      <w:r/>
    </w:p>
    <w:p>
      <w:pPr>
        <w:pStyle w:val="ListBullet"/>
      </w:pPr>
      <w:r>
        <w:t xml:space="preserve">Indications : (i) </w:t>
      </w:r>
      <w:r>
        <w:rPr>
          <w:b/>
        </w:rPr>
        <w:t>Épilepsie partielle avec ou sans généralisation secondaire de l'adulte</w:t>
      </w:r>
      <w:r>
        <w:t xml:space="preserve"> en association (indication AMM initiale — usage plus rare en pratique en raison de l'arrivée du lévétiracétam et du lacosamide) ; (ii) </w:t>
      </w:r>
      <w:r>
        <w:rPr>
          <w:b/>
        </w:rPr>
        <w:t>Douleur neuropathique de l'adulte</w:t>
      </w:r>
      <w:r>
        <w:t xml:space="preserve"> : neuropathie diabétique périphérique (indication princeps), névralgie post-zostérienne (efficacité démontrée), neuropathie centrale (post-AVC, post-traumatique), douleur neuropathique du SIDA, polyneuropathie alcoolique ou carentielle ; (iii) </w:t>
      </w:r>
      <w:r>
        <w:rPr>
          <w:b/>
        </w:rPr>
        <w:t>Trouble anxieux généralisé (TAG) de l'adulte</w:t>
      </w:r>
      <w:r>
        <w:t xml:space="preserve"> — indication approuvée en Europe (et en Algérie) avec un délai d'action de 1 semaine (vs 2-4 semaines pour les ISRS) ; (iv) </w:t>
      </w:r>
      <w:r>
        <w:rPr>
          <w:b/>
        </w:rPr>
        <w:t>Fibromyalgie</w:t>
      </w:r>
      <w:r>
        <w:t xml:space="preserve"> de l'adulte — indication approuvée en Europe (mais pas aux États-Unis). Hors AMM : prévention de la migraine, trouble panique, trouble obsessionnel-compulsieux, sevrage aux benzodiazépines, syndrome des jambes sans repos, douleurs chroniques non neuropathiques.</w:t>
      </w:r>
    </w:p>
    <w:p>
      <w:pPr>
        <w:pStyle w:val="ListBullet"/>
      </w:pPr>
      <w:r>
        <w:t xml:space="preserve">Contre-indications : (i) </w:t>
      </w:r>
      <w:r>
        <w:rPr>
          <w:b/>
        </w:rPr>
        <w:t>hypersensibilité à la prégabaline</w:t>
      </w:r>
      <w:r>
        <w:t xml:space="preserve"> ; (ii) </w:t>
      </w:r>
      <w:r>
        <w:rPr>
          <w:b/>
        </w:rPr>
        <w:t>allaitement</w:t>
      </w:r>
      <w:r>
        <w:t xml:space="preserve"> (à éviter par prudence) ; (iii) </w:t>
      </w:r>
      <w:r>
        <w:rPr>
          <w:b/>
        </w:rPr>
        <w:t>insuffisance rénale sévère non adaptée</w:t>
      </w:r>
      <w:r>
        <w:t xml:space="preserve"> (ClCr &lt; 30 mL/min — adapter obligatoirement) ; (iv) </w:t>
      </w:r>
      <w:r>
        <w:rPr>
          <w:b/>
        </w:rPr>
        <w:t>galactosémie, déficit en lactase, syndrome de malabsorption glucose-galactose</w:t>
      </w:r>
      <w:r>
        <w:t xml:space="preserve"> (présence de lactose dans la majorité des gélules) ; (v) précautions chez la femme enceinte (voir section Grossesse) ; (vi) précaution majeure chez les patients aux </w:t>
      </w:r>
      <w:r>
        <w:rPr>
          <w:b/>
        </w:rPr>
        <w:t>antécédents de troubles addictifs</w:t>
      </w:r>
      <w:r>
        <w:t xml:space="preserve"> (alcool, opioïdes, benzodiazépines) — risque accru d'abus et de dépendance.</w:t>
      </w:r>
    </w:p>
    <w:p>
      <w:pPr>
        <w:pStyle w:val="ListBullet"/>
      </w:pPr>
      <w:r>
        <w:t xml:space="preserve">Effets Indésirables : Profil dominé par les effets centraux dose-dépendants : (i) </w:t>
      </w:r>
      <w:r>
        <w:rPr>
          <w:b/>
        </w:rPr>
        <w:t>somnolence et sédation</w:t>
      </w:r>
      <w:r>
        <w:t xml:space="preserve"> (très fréquents, &gt;10 %, dose-dépendante — limitation posologique principale) ; (ii) </w:t>
      </w:r>
      <w:r>
        <w:rPr>
          <w:b/>
        </w:rPr>
        <w:t>vertiges et étourdissements</w:t>
      </w:r>
      <w:r>
        <w:t xml:space="preserve"> (très fréquents, &gt;10 %) ; (iii) </w:t>
      </w:r>
      <w:r>
        <w:rPr>
          <w:b/>
        </w:rPr>
        <w:t>ataxie et troubles de la coordination</w:t>
      </w:r>
      <w:r>
        <w:t xml:space="preserve"> ; (iv) </w:t>
      </w:r>
      <w:r>
        <w:rPr>
          <w:b/>
        </w:rPr>
        <w:t>troubles cognitifs</w:t>
      </w:r>
      <w:r>
        <w:t xml:space="preserve"> (troubles de la mémoire, ralentissement idéatoire, difficultés de concentration — particulièrement à doses &gt;300 mg/j) ; (v) </w:t>
      </w:r>
      <w:r>
        <w:rPr>
          <w:b/>
        </w:rPr>
        <w:t>troubles visuels</w:t>
      </w:r>
      <w:r>
        <w:t xml:space="preserve"> (vision floue, diplopie — dose-dépendants, régressent souvent en 1-2 semaines) ; (vi) </w:t>
      </w:r>
      <w:r>
        <w:rPr>
          <w:b/>
        </w:rPr>
        <w:t>prise de poids significative</w:t>
      </w:r>
      <w:r>
        <w:t xml:space="preserve"> (plus marquée qu'avec la gabapentine — 7-15 % du poids initial chez 15-25 % des patients — particulièrement problématique chez le diabétique et l'insuffisant cardiaque) ; (vii) </w:t>
      </w:r>
      <w:r>
        <w:rPr>
          <w:b/>
        </w:rPr>
        <w:t>œdèmes périphériques</w:t>
      </w:r>
      <w:r>
        <w:t xml:space="preserve"> (fréquents, dose-dépendants — surveillance si insuffisance cardiaque) ; (viii) </w:t>
      </w:r>
      <w:r>
        <w:rPr>
          <w:b/>
        </w:rPr>
        <w:t>troubles gastro-intestinaux</w:t>
      </w:r>
      <w:r>
        <w:t xml:space="preserve"> (nausées, sécheresse buccale, constipation, vomissements) ; (ix) </w:t>
      </w:r>
      <w:r>
        <w:rPr>
          <w:b/>
        </w:rPr>
        <w:t>troubles psychiatriques</w:t>
      </w:r>
      <w:r>
        <w:t xml:space="preserve"> : nervosité, irritabilité, labilité émotionnelle, dépression, euphorie, idées suicidaires (à surveiller chez l'enfant et l'adolescent) ; (x) </w:t>
      </w:r>
      <w:r>
        <w:rPr>
          <w:b/>
        </w:rPr>
        <w:t>troubles de la libido</w:t>
      </w:r>
      <w:r>
        <w:t xml:space="preserve"> (baisse du désir, dysfonction érectile — fréquents, dose-dépendants) ; (xi) </w:t>
      </w:r>
      <w:r>
        <w:rPr>
          <w:b/>
        </w:rPr>
        <w:t>risque d'abus, mésusage et dépendance</w:t>
      </w:r>
      <w:r>
        <w:t xml:space="preserve"> — particulièrement chez les patients aux antécédents addictifs (voir ci-dessous) ; (xii) </w:t>
      </w:r>
      <w:r>
        <w:rPr>
          <w:b/>
        </w:rPr>
        <w:t>syndrome de sevrage</w:t>
      </w:r>
      <w:r>
        <w:t xml:space="preserve"> à l'arrêt brutal (anxiété, insomnie, nausées, sueurs, diarrhée, douleurs — régression à la reprise puis sevrage progressif indispensable) ; (xiii) très rares : </w:t>
      </w:r>
      <w:r>
        <w:rPr>
          <w:b/>
        </w:rPr>
        <w:t>réactions cutanées sévères</w:t>
      </w:r>
      <w:r>
        <w:t xml:space="preserve"> (Stevens-Johnson, nécrolyse épidermique), </w:t>
      </w:r>
      <w:r>
        <w:rPr>
          <w:b/>
        </w:rPr>
        <w:t>œdème de Quincke</w:t>
      </w:r>
      <w:r>
        <w:t xml:space="preserve">, </w:t>
      </w:r>
      <w:r>
        <w:rPr>
          <w:b/>
        </w:rPr>
        <w:t>insuffisance cardiaque congestive</w:t>
      </w:r>
      <w:r>
        <w:t xml:space="preserve"> (cas avec œdèmes périphériques), </w:t>
      </w:r>
      <w:r>
        <w:rPr>
          <w:b/>
        </w:rPr>
        <w:t>encéphalopathie</w:t>
      </w:r>
      <w:r>
        <w:t xml:space="preserve"> (à très forte dose).</w:t>
      </w:r>
    </w:p>
    <w:p>
      <w:r/>
      <w:r>
        <w:rPr>
          <w:b/>
        </w:rPr>
        <w:t>Prévention et Gestion des Effets Indésirables :</w:t>
      </w:r>
      <w:r/>
    </w:p>
    <w:p>
      <w:pPr>
        <w:pStyle w:val="ListBullet"/>
      </w:pPr>
      <w:r>
        <w:t xml:space="preserve">Mesures Préventives : (i) </w:t>
      </w:r>
      <w:r>
        <w:rPr>
          <w:b/>
        </w:rPr>
        <w:t>augmentation posologique progressive</w:t>
      </w:r>
      <w:r>
        <w:t xml:space="preserve"> selon le schéma recommandé : J1-J3 75 mg ×2/j (ou 50 mg ×3/j), puis 150 mg ×2/j après 1 semaine, puis 300 mg ×2/j après 2-4 semaines, maximum 600 mg/j ; (ii) </w:t>
      </w:r>
      <w:r>
        <w:rPr>
          <w:b/>
        </w:rPr>
        <w:t>surveillance du poids</w:t>
      </w:r>
      <w:r>
        <w:t xml:space="preserve"> à l'initiation puis mensuelle pendant 6 mois — conseil diététique, activité physique ; (iii) </w:t>
      </w:r>
      <w:r>
        <w:rPr>
          <w:b/>
        </w:rPr>
        <w:t>surveillance de l'état psychiatrique</w:t>
      </w:r>
      <w:r>
        <w:t xml:space="preserve"> (idéation suicidaire — classe-effect) ; (iv) </w:t>
      </w:r>
      <w:r>
        <w:rPr>
          <w:b/>
        </w:rPr>
        <w:t>surveillance de la fonction rénale</w:t>
      </w:r>
      <w:r>
        <w:t xml:space="preserve"> (créatininémie et clairance) à l'initiation puis annuellement — adaptation posologique obligatoire si ClCr &lt; 60 mL/min ; (v) </w:t>
      </w:r>
      <w:r>
        <w:rPr>
          <w:b/>
        </w:rPr>
        <w:t>prévention des œdèmes périphériques</w:t>
      </w:r>
      <w:r>
        <w:t xml:space="preserve"> chez les insuffisants cardiaques (évaluation clinique à chaque consultation) ; (vi) </w:t>
      </w:r>
      <w:r>
        <w:rPr>
          <w:b/>
        </w:rPr>
        <w:t>information du patient sur le syndrome de sevrage</w:t>
      </w:r>
      <w:r>
        <w:t xml:space="preserve"> et l'interdiction d'arrêter brutalement le traitement — sevrage à effectuer sur 1 semaine minimum (réduction de 50 % pendant 3-4 jours, puis 25 % pendant 3-4 jours, puis arrêt) ; (vii) </w:t>
      </w:r>
      <w:r>
        <w:rPr>
          <w:b/>
        </w:rPr>
        <w:t>prudence à la conduite automobile</w:t>
      </w:r>
      <w:r>
        <w:t xml:space="preserve"> pendant les premières semaines et à chaque augmentation de dose ; (viii) </w:t>
      </w:r>
      <w:r>
        <w:rPr>
          <w:b/>
        </w:rPr>
        <w:t>évaluation du risque addictif</w:t>
      </w:r>
      <w:r>
        <w:t xml:space="preserve"> à l'initiation — recherche d'antécédents de troubles addictifs (alcool, benzodiazépines, opioïdes, drogues) — si positif, éviter la prégabaline ou prescription par médecin spécialiste avec surveillance rapprochée ; (ix) </w:t>
      </w:r>
      <w:r>
        <w:rPr>
          <w:b/>
        </w:rPr>
        <w:t>bilan ophtalmologique</w:t>
      </w:r>
      <w:r>
        <w:t xml:space="preserve"> en cas de troubles visuels persistants au-delà de 2-4 semaines (réduction de dose ou arrêt si besoin).</w:t>
      </w:r>
    </w:p>
    <w:p>
      <w:pPr>
        <w:pStyle w:val="ListBullet"/>
      </w:pPr>
      <w:r>
        <w:t xml:space="preserve">Conduite à Tenir : (i) en cas de </w:t>
      </w:r>
      <w:r>
        <w:rPr>
          <w:b/>
        </w:rPr>
        <w:t>somnolence excessive</w:t>
      </w:r>
      <w:r>
        <w:t xml:space="preserve"> : espacer les prises, transférer une plus grande partie de la dose au coucher (par exemple 75 mg matin + 225 mg soir au lieu de 150 mg ×2), réduire la dose totale de 25 % et attendre la tolérance qui s'installe en 1-2 semaines ; (ii) en cas de </w:t>
      </w:r>
      <w:r>
        <w:rPr>
          <w:b/>
        </w:rPr>
        <w:t>prise de poids excessive</w:t>
      </w:r>
      <w:r>
        <w:t xml:space="preserve"> (&gt;10 %) : conseil diététique strict, réduction de dose si possible, envisager une alternative (gabapentine, duloxétine, amitriptyline) ; (iii) en cas d'</w:t>
      </w:r>
      <w:r>
        <w:rPr>
          <w:b/>
        </w:rPr>
        <w:t>œdèmes périphériques</w:t>
      </w:r>
      <w:r>
        <w:t xml:space="preserve"> : réduire la dose, évaluer la fonction cardiaque (BNP, ETT), envisager un diurétique (prudence si insuffisance rénale) ; (iv) en cas de </w:t>
      </w:r>
      <w:r>
        <w:rPr>
          <w:b/>
        </w:rPr>
        <w:t>troubles psychiatriques</w:t>
      </w:r>
      <w:r>
        <w:t xml:space="preserve"> : arrêt immédiat et consultation psychiatrique urgente ; (v) en cas de </w:t>
      </w:r>
      <w:r>
        <w:rPr>
          <w:b/>
        </w:rPr>
        <w:t>signes de mésusage ou de dépendance</w:t>
      </w:r>
      <w:r>
        <w:t xml:space="preserve"> (demandes répétées précoces, augmentation non justifiée, recherche d'effet euphorisant, associations avec d'autres psychotropes) : dialogue avec le patient, signalement au médecin prescripteur, éventuel sevrage progressif sous supervision médicale ; (vi) en cas de </w:t>
      </w:r>
      <w:r>
        <w:rPr>
          <w:b/>
        </w:rPr>
        <w:t>réaction cutanée</w:t>
      </w:r>
      <w:r>
        <w:t xml:space="preserve"> : arrêt immédiat, hospitalisation si signes de Stevens-Johnson ou nécrolyse épidermique ; (vii) en cas de </w:t>
      </w:r>
      <w:r>
        <w:rPr>
          <w:b/>
        </w:rPr>
        <w:t>grossesse non planifiée</w:t>
      </w:r>
      <w:r>
        <w:t xml:space="preserve"> : ne pas arrêter brutalement, consulter le neurologue pour réévaluation du rapport bénéfice/risque.</w:t>
      </w:r>
    </w:p>
    <w:p>
      <w:r/>
      <w:r>
        <w:rPr>
          <w:b/>
        </w:rPr>
        <w:t>Interactions Importantes :</w:t>
      </w:r>
      <w:r/>
    </w:p>
    <w:p>
      <w:pPr>
        <w:pStyle w:val="ListBullet"/>
      </w:pPr>
      <w:r/>
      <w:r>
        <w:rPr>
          <w:b/>
        </w:rPr>
        <w:t>Prégabaline + dépresseurs du SNC (alcool, benzodiazépines, opioïdes, antihistaminiques sédatifs, neuroleptiques, autres antiépileptiques sédatifs)</w:t>
      </w:r>
      <w:r>
        <w:t xml:space="preserve"> : </w:t>
      </w:r>
      <w:r>
        <w:rPr>
          <w:b/>
        </w:rPr>
        <w:t>potentialisation de la sédation et de la dépression respiratoire</w:t>
      </w:r>
      <w:r>
        <w:t xml:space="preserve"> — déconseillée ou surveillance clinique étroite ; risque majoré de surdosage en cas d'association avec les opioïdes (responsable de décès rapportés aux États-Unis et au Royaume-Uni).</w:t>
      </w:r>
    </w:p>
    <w:p>
      <w:pPr>
        <w:pStyle w:val="ListBullet"/>
      </w:pPr>
      <w:r/>
      <w:r>
        <w:rPr>
          <w:b/>
        </w:rPr>
        <w:t>Prégabaline + inhibiteurs de l'enzyme de conversion de l'angiotensine (IEC)</w:t>
      </w:r>
      <w:r>
        <w:t xml:space="preserve"> : cas rapportés d'</w:t>
      </w:r>
      <w:r>
        <w:rPr>
          <w:b/>
        </w:rPr>
        <w:t>œdèmes périphériques</w:t>
      </w:r>
      <w:r>
        <w:t xml:space="preserve"> plus fréquents et plus marqués en cas d'association — surveiller, réduire la dose si besoin.</w:t>
      </w:r>
    </w:p>
    <w:p>
      <w:pPr>
        <w:pStyle w:val="ListBullet"/>
      </w:pPr>
      <w:r/>
      <w:r>
        <w:rPr>
          <w:b/>
        </w:rPr>
        <w:t>Prégabaline + thiazidiques et autres diurétiques</w:t>
      </w:r>
      <w:r>
        <w:t xml:space="preserve"> : potentialisation de l'effet hypotenseur et risque accru d'hyponatrémie.</w:t>
      </w:r>
    </w:p>
    <w:p>
      <w:pPr>
        <w:pStyle w:val="ListBullet"/>
      </w:pPr>
      <w:r/>
      <w:r>
        <w:rPr>
          <w:b/>
        </w:rPr>
        <w:t>Prégabaline + contraceptifs oraux</w:t>
      </w:r>
      <w:r>
        <w:t xml:space="preserve"> : </w:t>
      </w:r>
      <w:r>
        <w:rPr>
          <w:b/>
        </w:rPr>
        <w:t>aucune interaction</w:t>
      </w:r>
      <w:r>
        <w:t xml:space="preserve"> documentée — la prégabaline ne provoque pas d'induction enzymatique et ne réduit pas l'efficacité contraceptive (avantage par rapport à la carbamazépine, oxcarbazépine, topiramate).</w:t>
      </w:r>
    </w:p>
    <w:p>
      <w:pPr>
        <w:pStyle w:val="ListBullet"/>
      </w:pPr>
      <w:r/>
      <w:r>
        <w:rPr>
          <w:b/>
        </w:rPr>
        <w:t>Prégabaline + autres antiépileptiques</w:t>
      </w:r>
      <w:r>
        <w:t xml:space="preserve"> : pas d'interaction pharmacocinétique notable — peut être associée sans ajustement.</w:t>
      </w:r>
    </w:p>
    <w:p>
      <w:pPr>
        <w:pStyle w:val="ListBullet"/>
      </w:pPr>
      <w:r/>
      <w:r>
        <w:rPr>
          <w:b/>
        </w:rPr>
        <w:t>Prégabaline + antiacides</w:t>
      </w:r>
      <w:r>
        <w:t xml:space="preserve"> : </w:t>
      </w:r>
      <w:r>
        <w:rPr>
          <w:b/>
        </w:rPr>
        <w:t>aucune interaction</w:t>
      </w:r>
      <w:r>
        <w:t xml:space="preserve"> documentée (avantage par rapport à la gabapentine dont l'absorption est réduite par les antiacides).</w:t>
      </w:r>
    </w:p>
    <w:p>
      <w:pPr>
        <w:pStyle w:val="ListBullet"/>
      </w:pPr>
      <w:r/>
      <w:r>
        <w:rPr>
          <w:b/>
        </w:rPr>
        <w:t>Prégabaline + méthotrexate, platines</w:t>
      </w:r>
      <w:r>
        <w:t xml:space="preserve"> : augmentation possible de la neurotoxicité cumulative.</w:t>
      </w:r>
    </w:p>
    <w:p>
      <w:pPr>
        <w:pStyle w:val="ListBullet"/>
      </w:pPr>
      <w:r/>
      <w:r>
        <w:rPr>
          <w:b/>
        </w:rPr>
        <w:t>Prégabaline + tramadol</w:t>
      </w:r>
      <w:r>
        <w:t xml:space="preserve"> : risque accru de somnolence et de convulsions (le tramadol abaisse le seuil épileptogène).</w:t>
      </w:r>
    </w:p>
    <w:p>
      <w:r/>
      <w:r>
        <w:rPr>
          <w:b/>
        </w:rPr>
        <w:t>Grossesse et Allaitement :</w:t>
      </w:r>
      <w:r/>
    </w:p>
    <w:p>
      <w:pPr>
        <w:pStyle w:val="ListBullet"/>
      </w:pPr>
      <w:r>
        <w:t xml:space="preserve">Grossesse : Selon le CRAT, la prégabaline est </w:t>
      </w:r>
      <w:r>
        <w:rPr>
          <w:b/>
        </w:rPr>
        <w:t>à éviter par prudence pendant la grossesse</w:t>
      </w:r>
      <w:r>
        <w:t xml:space="preserve"> sauf nécessité absolue. Les données issues du registre international des grossesses exposées à la prégabaline sont </w:t>
      </w:r>
      <w:r>
        <w:rPr>
          <w:b/>
        </w:rPr>
        <w:t>limitées</w:t>
      </w:r>
      <w:r>
        <w:t xml:space="preserve"> mais ne montrent pas d'augmentation significative du risque de malformations congénitales majeures (1-3 % vs 2-3 % en population générale — risque non exclu mais probablement faible). Cependant, en raison du petit nombre de grossesses exposées et de la prévention de principe, la prégabaline n'est pas recommandée comme antiépileptique de premier choix pendant la grossesse (préférer le </w:t>
      </w:r>
      <w:r>
        <w:rPr>
          <w:b/>
        </w:rPr>
        <w:t>lévétiracétam</w:t>
      </w:r>
      <w:r>
        <w:t xml:space="preserve">). Pour le traitement de l'anxiété généralisée ou de la douleur neuropathique pendant la grossesse, des alternatives mieux documentées doivent être privilégiées (ISRS pour le TAG, paracétamol pour la douleur). La prégabaline ne doit pas être initiée pendant la grossesse sans réévaluation médicale. </w:t>
      </w:r>
      <w:r>
        <w:rPr>
          <w:b/>
        </w:rPr>
        <w:t>Supplémentation en acide folique 5 mg/j</w:t>
      </w:r>
      <w:r>
        <w:t xml:space="preserve"> recommandée à partir du mois précédant la conception.</w:t>
      </w:r>
    </w:p>
    <w:p>
      <w:pPr>
        <w:pStyle w:val="ListBullet"/>
      </w:pPr>
      <w:r>
        <w:t xml:space="preserve">Allaitement : Selon le CRAT, la prégabaline est </w:t>
      </w:r>
      <w:r>
        <w:rPr>
          <w:b/>
        </w:rPr>
        <w:t>déconseillée pendant l'allaitement</w:t>
      </w:r>
      <w:r>
        <w:t xml:space="preserve"> mais peut être poursuivie si le bénéfice maternel le justifie. La prégabaline passe dans le lait maternel (rapport lait/plasma ≈ 1.5 — concentration lactée supérieure à la concentration plasmatique), avec une exposition estimée chez le nourrisson à environ 7 % de la dose maternelle ajustée au poids. Surveiller le nourrisson : </w:t>
      </w:r>
      <w:r>
        <w:rPr>
          <w:b/>
        </w:rPr>
        <w:t>somnolence, mauvaise prise au sein, hypotonie</w:t>
      </w:r>
      <w:r>
        <w:t xml:space="preserve"> — en cas d'effet indésirable, suspendre l'allaitement.</w:t>
      </w:r>
    </w:p>
    <w:p>
      <w:pPr>
        <w:pStyle w:val="ListBullet"/>
      </w:pPr>
      <w:r>
        <w:t xml:space="preserve">Précisions : En cas de prise de prégabaline au </w:t>
      </w:r>
      <w:r>
        <w:rPr>
          <w:b/>
        </w:rPr>
        <w:t>3e trimestre de la grossesse</w:t>
      </w:r>
      <w:r>
        <w:t xml:space="preserve">, un </w:t>
      </w:r>
      <w:r>
        <w:rPr>
          <w:b/>
        </w:rPr>
        <w:t>syndrome de sevrage néonatal</w:t>
      </w:r>
      <w:r>
        <w:t xml:space="preserve"> peut survenir dans les 24-48 heures après la naissance (agitation, hypertonie, tremblements, difficultés d'alimentation, vomissements, convulsions néonatales possibles) — surveillance en maternité pendant 48-72 heures. L'accouchement en milieu hospitalier est recommandé.</w:t>
      </w:r>
    </w:p>
    <w:p>
      <w:r/>
      <w:r>
        <w:rPr>
          <w:b/>
        </w:rPr>
        <w:t>Posologie et Mode d'administration (Standard) :</w:t>
      </w:r>
      <w:r/>
    </w:p>
    <w:p>
      <w:pPr>
        <w:pStyle w:val="ListBullet"/>
      </w:pPr>
      <w:r>
        <w:t xml:space="preserve">Adulte : </w:t>
      </w:r>
      <w:r>
        <w:rPr>
          <w:b/>
        </w:rPr>
        <w:t>dose initiale 75 mg ×2/j (150 mg/j en 2 prises)</w:t>
      </w:r>
      <w:r>
        <w:t xml:space="preserve">, peut être augmentée à 150 mg ×2/j après 1 semaine, puis 300 mg ×2/j après 2-4 semaines selon la réponse et la tolérance. </w:t>
      </w:r>
      <w:r>
        <w:rPr>
          <w:b/>
        </w:rPr>
        <w:t>Dose maximale : 600 mg/j en 2 prises</w:t>
      </w:r>
      <w:r>
        <w:t xml:space="preserve"> (300 mg ×2). Dans la douleur neuropathique, dose efficace habituellement 150-300 mg/j, parfois 600 mg/j. Dans le TAG, dose efficace 150-300 mg/j (réponse en 1 semaine). Dans la fibromyalgie, dose efficace 300-450 mg/j. Schéma d'initiation en 3 jours pour le TAG si effet rapide souhaité : 50 mg ×3/j à J1-J3 puis 75 mg ×2/j.</w:t>
      </w:r>
    </w:p>
    <w:p>
      <w:pPr>
        <w:pStyle w:val="ListBullet"/>
      </w:pPr>
      <w:r>
        <w:t>Adaptation à la fonction rénale (Crucial — la prégabaline est 98 % éliminée par le rein sous forme inchangée) : ClCr ≥ 60 mL/min : 150-600 mg/j en 2-3 prises ; ClCr 30-60 : 75-300 mg/j en 2 prises ; ClCr 15-30 : 25-150 mg/j en 1-2 prises ; ClCr &lt; 15 : 25-75 mg/j en 1 prise. Hémodialysé : dose supplémentaire de 25-100 mg après chaque dialyse.</w:t>
      </w:r>
    </w:p>
    <w:p>
      <w:pPr>
        <w:pStyle w:val="ListBullet"/>
      </w:pPr>
      <w:r>
        <w:t>Enfant &gt; 6 ans (AMM indication épilepsie partielle en association) : posologie pédiatrique selon le poids, à partir de 10 mg/kg/j en 2-3 prises, jusqu'à 25 mg/kg/j chez l'enfant de 6-12 ans et 15 mg/kg/j chez l'adolescent.</w:t>
      </w:r>
    </w:p>
    <w:p>
      <w:pPr>
        <w:pStyle w:val="ListBullet"/>
      </w:pPr>
      <w:r>
        <w:t xml:space="preserve">Durée : </w:t>
      </w:r>
      <w:r>
        <w:rPr>
          <w:b/>
        </w:rPr>
        <w:t>Au long cours</w:t>
      </w:r>
      <w:r>
        <w:t xml:space="preserve"> — traitement au minimum 2-5 ans après la dernière crise d'épilepsie, parfois à vie. Dans la douleur neuropathique et le TAG, traitement prolongé, réévaluation tous les 6-12 mois.</w:t>
      </w:r>
    </w:p>
    <w:p>
      <w:pPr>
        <w:pStyle w:val="ListBullet"/>
      </w:pPr>
      <w:r>
        <w:t xml:space="preserve">Moment de la prise : </w:t>
      </w:r>
      <w:r>
        <w:rPr>
          <w:b/>
        </w:rPr>
        <w:t>Pendant ou après les repas</w:t>
      </w:r>
      <w:r>
        <w:t xml:space="preserve"> (mais absorption indépendante de la prise alimentaire). La dernière prise est souvent prise </w:t>
      </w:r>
      <w:r>
        <w:rPr>
          <w:b/>
        </w:rPr>
        <w:t>au coucher</w:t>
      </w:r>
      <w:r>
        <w:t xml:space="preserve"> pour profiter de l'effet sédatif. La biprise (matin-soir) est le schéma standard.</w:t>
      </w:r>
    </w:p>
    <w:p>
      <w:r/>
      <w:r>
        <w:rPr>
          <w:b/>
        </w:rPr>
        <w:t>Arbitrage et Bénéfices des Formes Galéniques :</w:t>
      </w:r>
      <w:r/>
    </w:p>
    <w:p>
      <w:r>
        <w:t xml:space="preserve">La prégabaline est disponible en </w:t>
      </w:r>
      <w:r>
        <w:rPr>
          <w:b/>
        </w:rPr>
        <w:t>cinq dosages</w:t>
      </w:r>
      <w:r>
        <w:t xml:space="preserve"> (25 mg, 50 mg, 75 mg, 150 mg, 300 mg) en gélules, ce qui permet une </w:t>
      </w:r>
      <w:r>
        <w:rPr>
          <w:b/>
        </w:rPr>
        <w:t>grande flexibilité d'adaptation posologique</w:t>
      </w:r>
      <w:r>
        <w:t xml:space="preserve">. La gélule de 25 mg est réservée à l'initiation très progressive chez le sujet fragile ou âgé, et à l'adaptation de fin de sevrage. Les gélules de 50 mg et 75 mg permettent l'initiation et la titration. Les gélules de 150 mg et 300 mg permettent l'entretien. Aucune </w:t>
      </w:r>
      <w:r>
        <w:rPr>
          <w:b/>
        </w:rPr>
        <w:t>forme sirop</w:t>
      </w:r>
      <w:r>
        <w:t xml:space="preserve"> n'est disponible en Algérie (disponible en Europe sous forme de solution buvable 20 mg/mL — utile pour l'enfant et le sujet âgé dysphagique), ce qui complique l'administration pédiatrique. Aucune </w:t>
      </w:r>
      <w:r>
        <w:rPr>
          <w:b/>
        </w:rPr>
        <w:t>forme à libération prolongée</w:t>
      </w:r>
      <w:r>
        <w:t xml:space="preserve"> n'est disponible en Algérie (Lyrica CR® disponible aux États-Unis en une prise quotidienne), ce qui impose la </w:t>
      </w:r>
      <w:r>
        <w:rPr>
          <w:b/>
        </w:rPr>
        <w:t>biprise</w:t>
      </w:r>
      <w:r>
        <w:t xml:space="preserve">. La prégabaline peut être </w:t>
      </w:r>
      <w:r>
        <w:rPr>
          <w:b/>
        </w:rPr>
        <w:t>ouvrir les gélules et disperser le contenu</w:t>
      </w:r>
      <w:r>
        <w:t xml:space="preserve"> dans une petite quantité d'eau ou de compote pour les patients incapables d'avaler (à prendre immédiatement sans conservation). Aucune </w:t>
      </w:r>
      <w:r>
        <w:rPr>
          <w:b/>
        </w:rPr>
        <w:t>forme injectable</w:t>
      </w:r>
      <w:r>
        <w:t xml:space="preserve"> n'est disponible. Le pharmacien doit </w:t>
      </w:r>
      <w:r>
        <w:rPr>
          <w:b/>
        </w:rPr>
        <w:t>vérifier l'équivalence des génériques</w:t>
      </w:r>
      <w:r>
        <w:t xml:space="preserve"> lors d'une substitution — les 46 spécialités actives algériennes ont toutes une AMM générique mais avec des variations bio pharmaceutiques mineures. Préférer le maintien de la même marque si possible (sauf rupture d'approvisionnement).</w:t>
      </w:r>
    </w:p>
    <w:p>
      <w:r/>
      <w:r>
        <w:rPr>
          <w:b/>
        </w:rPr>
        <w:t>Instructions et Conseils au Patient :</w:t>
      </w:r>
      <w:r/>
    </w:p>
    <w:p>
      <w:pPr>
        <w:pStyle w:val="ListBullet"/>
      </w:pPr>
      <w:r>
        <w:t xml:space="preserve">Communication au comptoir : Expliquer au patient que : (i) le traitement est </w:t>
      </w:r>
      <w:r>
        <w:rPr>
          <w:b/>
        </w:rPr>
        <w:t>au long cours</w:t>
      </w:r>
      <w:r>
        <w:t xml:space="preserve"> et qu'il ne faut jamais l'arrêter brutalement (risque de </w:t>
      </w:r>
      <w:r>
        <w:rPr>
          <w:b/>
        </w:rPr>
        <w:t>réapparition des crises</w:t>
      </w:r>
      <w:r>
        <w:t xml:space="preserve">, de </w:t>
      </w:r>
      <w:r>
        <w:rPr>
          <w:b/>
        </w:rPr>
        <w:t>recrudescence de l'anxiété</w:t>
      </w:r>
      <w:r>
        <w:t xml:space="preserve"> sous forme rebond, et de </w:t>
      </w:r>
      <w:r>
        <w:rPr>
          <w:b/>
        </w:rPr>
        <w:t>syndrome de sevrage</w:t>
      </w:r>
      <w:r>
        <w:t xml:space="preserve">) ; (ii) les effets indésirables initiaux (somnolence, vertiges) sont transitoires — ne pas arrêter dès les premiers effets ; (iii) la </w:t>
      </w:r>
      <w:r>
        <w:rPr>
          <w:b/>
        </w:rPr>
        <w:t>titration progressive</w:t>
      </w:r>
      <w:r>
        <w:t xml:space="preserve"> est essentielle ; (iv) en cas d'oubli, </w:t>
      </w:r>
      <w:r>
        <w:rPr>
          <w:b/>
        </w:rPr>
        <w:t>prendre la dose oubliée si moins de 8-10 heures se sont écoulées</w:t>
      </w:r>
      <w:r>
        <w:t xml:space="preserve">, sinon ne pas prendre et continuer le schéma habituel — </w:t>
      </w:r>
      <w:r>
        <w:rPr>
          <w:b/>
        </w:rPr>
        <w:t>ne jamais doubler la dose</w:t>
      </w:r>
      <w:r>
        <w:t xml:space="preserve"> ; (v) </w:t>
      </w:r>
      <w:r>
        <w:rPr>
          <w:b/>
        </w:rPr>
        <w:t>ne pas conduire</w:t>
      </w:r>
      <w:r>
        <w:t xml:space="preserve"> pendant les premières semaines et à chaque augmentation de dose — délai de 1-2 mois pour évaluer la tolérance ; (vi) </w:t>
      </w:r>
      <w:r>
        <w:rPr>
          <w:b/>
        </w:rPr>
        <w:t>éviter l'alcool</w:t>
      </w:r>
      <w:r>
        <w:t xml:space="preserve"> (potentialisation de la sédation, risque de dépression respiratoire) ; (vii) </w:t>
      </w:r>
      <w:r>
        <w:rPr>
          <w:b/>
        </w:rPr>
        <w:t>prévenir le médecin et le pharmacien en cas de grossesse planifiée ou non</w:t>
      </w:r>
      <w:r>
        <w:t xml:space="preserve"> ; (viii) </w:t>
      </w:r>
      <w:r>
        <w:rPr>
          <w:b/>
        </w:rPr>
        <w:t>surveiller le poids</w:t>
      </w:r>
      <w:r>
        <w:t xml:space="preserve"> et signaler une prise de poids excessive ; (ix) en cas de </w:t>
      </w:r>
      <w:r>
        <w:rPr>
          <w:b/>
        </w:rPr>
        <w:t>signes psychiatriques</w:t>
      </w:r>
      <w:r>
        <w:t xml:space="preserve"> (tristesse, idées noires, agitation, euphorie excessive) — consulter immédiatement ; (x) </w:t>
      </w:r>
      <w:r>
        <w:rPr>
          <w:b/>
        </w:rPr>
        <w:t>ne pas associer</w:t>
      </w:r>
      <w:r>
        <w:t xml:space="preserve"> à d'autres psychotropes (benzodiazépines, opioïdes) sans avis médical — risque de surdosage mortel ; (xi) </w:t>
      </w:r>
      <w:r>
        <w:rPr>
          <w:b/>
        </w:rPr>
        <w:t>ne pas céder le médicament à un tiers</w:t>
      </w:r>
      <w:r>
        <w:t xml:space="preserve"> — la prégabaline est un médicament strictement personnel en raison du risque addictif ; (xii) </w:t>
      </w:r>
      <w:r>
        <w:rPr>
          <w:b/>
        </w:rPr>
        <w:t>signaler tout antécédent de toxicomanie</w:t>
      </w:r>
      <w:r>
        <w:t xml:space="preserve"> au médecin prescripteur.</w:t>
      </w:r>
    </w:p>
    <w:p>
      <w:pPr>
        <w:pStyle w:val="ListBullet"/>
      </w:pPr>
      <w:r>
        <w:t xml:space="preserve">Mode d'utilisation pratique : Prendre les gélules </w:t>
      </w:r>
      <w:r>
        <w:rPr>
          <w:b/>
        </w:rPr>
        <w:t>avec un grand verre d'eau</w:t>
      </w:r>
      <w:r>
        <w:t xml:space="preserve">, </w:t>
      </w:r>
      <w:r>
        <w:rPr>
          <w:b/>
        </w:rPr>
        <w:t>pendant ou après les repas</w:t>
      </w:r>
      <w:r>
        <w:t>. Conserver les gélules à température ambiante (&lt;25 °C), à l'abri de l'humidité. Tenir hors de portée des enfants — la prégabaline est un médicament à risque d'usage détourné. Surveiller le poids une fois par mois les 6 premiers mois, puis tous les 3-6 mois. Surveiller la créatininémie au moins annuellement. Tenir un agenda des symptômes (anxiété, douleurs, crises) à présenter au médecin.</w:t>
      </w:r>
    </w:p>
    <w:p>
      <w:r/>
      <w:r>
        <w:rPr>
          <w:b/>
        </w:rPr>
        <w:t>Notes, Règles d'Or &amp; Pièges au Comptoir :</w:t>
      </w:r>
      <w:r/>
    </w:p>
    <w:p>
      <w:pPr>
        <w:pStyle w:val="ListBullet"/>
      </w:pPr>
      <w:r>
        <w:t xml:space="preserve">Piège classique : (i) </w:t>
      </w:r>
      <w:r>
        <w:rPr>
          <w:b/>
        </w:rPr>
        <w:t>non adaptation à la fonction rénale</w:t>
      </w:r>
      <w:r>
        <w:t xml:space="preserve"> chez le sujet âgé — la prégabaline est 98 % éliminée par le rein sous forme inchangée, donc une insuffisance rénale même modérée entraîne une accumulation toxique (somnolence sévère, ataxie, confusion, coma) — toujours calculer la clairance créatinine (formule de Cockcroft) chez le sujet &gt; 65 ans et adapter la dose ; (ii) </w:t>
      </w:r>
      <w:r>
        <w:rPr>
          <w:b/>
        </w:rPr>
        <w:t>non fractionnement en 2 prises</w:t>
      </w:r>
      <w:r>
        <w:t xml:space="preserve"> — la demi-vie de 6-7 heures impose une biprise ; (iii) </w:t>
      </w:r>
      <w:r>
        <w:rPr>
          <w:b/>
        </w:rPr>
        <w:t>oubli de l'interaction avec les opioïdes</w:t>
      </w:r>
      <w:r>
        <w:t xml:space="preserve"> — risque de surdosage mortel rapporté ; (iv) </w:t>
      </w:r>
      <w:r>
        <w:rPr>
          <w:b/>
        </w:rPr>
        <w:t>non information du risque de sevrage</w:t>
      </w:r>
      <w:r>
        <w:t xml:space="preserve"> à l'arrêt brutal ; (v) </w:t>
      </w:r>
      <w:r>
        <w:rPr>
          <w:b/>
        </w:rPr>
        <w:t>confusion avec la gabapentine</w:t>
      </w:r>
      <w:r>
        <w:t xml:space="preserve"> — la prégabaline est plus puissante (6×), à cinétique linéaire, à biprise ; la gabapentine est moins puissante, à cinétique saturable, à triprise ; (vi) </w:t>
      </w:r>
      <w:r>
        <w:rPr>
          <w:b/>
        </w:rPr>
        <w:t>risque d'abus et de dépendance</w:t>
      </w:r>
      <w:r>
        <w:t xml:space="preserve"> — bien que moins marqué qu'avec les opioïdes ou les benzodiazépines, des cas d'usage détourné (recherche d'effet euphorisant à haute dose, mésusage avec potentialisation par d'autres psychotropes) ont été rapportés — surveiller les demandes répétées précoces (avant la date théorique de renouvellement), les doses croissantes non justifiées, et les associations avec d'autres psychotropes ; (vii) </w:t>
      </w:r>
      <w:r>
        <w:rPr>
          <w:b/>
        </w:rPr>
        <w:t>oubli de la contraception</w:t>
      </w:r>
      <w:r>
        <w:t xml:space="preserve"> chez la femme en âge de procréer — la prégabaline n'est pas le médicament de choix pendant la grossesse, donc contraception efficace obligatoire.</w:t>
      </w:r>
    </w:p>
    <w:p>
      <w:pPr>
        <w:pStyle w:val="ListBullet"/>
      </w:pPr>
      <w:r>
        <w:t>Règle de prise : 2 prises par jour à heures régulières (par exemple 8h et 20h), pendant les repas. Dernière prise au coucher pour profiter de l'effet sédatif.</w:t>
      </w:r>
    </w:p>
    <w:p>
      <w:pPr>
        <w:pStyle w:val="ListBullet"/>
      </w:pPr>
      <w:r>
        <w:t>Préparation et Conservation : Conservation à température ambiante (&lt;25 °C), à l'abri de l'humidité et de la lumière. Pas de préparation magistrale nécessaire. Disponible en boîtes de 30, 56, 60 ou 90 gélules selon la marque et le dosage.</w:t>
      </w:r>
    </w:p>
    <w:p>
      <w:pPr>
        <w:pStyle w:val="ListBullet"/>
      </w:pPr>
      <w:r>
        <w:t xml:space="preserve">Piège du surdosage / Substitution : Le surdosage par la prégabaline est plus grave qu'avec la gabapentine en raison de la cinétique linéaire (pas d'auto-limitation) — peut provoquer </w:t>
      </w:r>
      <w:r>
        <w:rPr>
          <w:b/>
        </w:rPr>
        <w:t>somnolence sévère, confusion, ataxie, coma, dépression respiratoire</w:t>
      </w:r>
      <w:r>
        <w:t xml:space="preserve"> (particulièrement en cas d'association avec d'autres dépresseurs du SNC). Traitement : lavage gastrique si prise récente (&lt;1 heure), traitement symptomatique, hémodialyse efficace (élimine 50-60 % en 4 heures). La </w:t>
      </w:r>
      <w:r>
        <w:rPr>
          <w:b/>
        </w:rPr>
        <w:t>substitution</w:t>
      </w:r>
      <w:r>
        <w:t xml:space="preserve"> entre les différentes marques (génériques) de prégabaline doit se faire avec </w:t>
      </w:r>
      <w:r>
        <w:rPr>
          <w:b/>
        </w:rPr>
        <w:t>surveillance clinique</w:t>
      </w:r>
      <w:r>
        <w:t xml:space="preserve"> pendant 1 mois en raison de possibles variations d'équivalence bio pharmaceutique (autorisation de substitution générique mais avec un grade d'interchangeabilité à vérifier — préférer le maintien de la même marque si possible, en particulier chez le patient épileptique bien équilibré).</w:t>
      </w:r>
    </w:p>
    <w:p>
      <w:pPr>
        <w:pStyle w:val="Heading2"/>
      </w:pPr>
      <w:r>
        <w:t>3. DCI : Lévétiracétam (Seule)</w:t>
      </w:r>
    </w:p>
    <w:p>
      <w:r/>
      <w:r>
        <w:rPr>
          <w:b/>
        </w:rPr>
        <w:t>Liste des Catégories :</w:t>
      </w:r>
      <w:r>
        <w:t xml:space="preserve"> Antiépileptiques — Modernes (analogues SV2A) ; Antiépileptiques de choix en grossesse ; Médicaments des épilepsies partielles et généralisées ; Liste I des substances vénéneuses.</w:t>
      </w:r>
    </w:p>
    <w:p>
      <w:r>
        <w:t>Le lévétiracétam (Keppra® et de nombreux génériques) est l'</w:t>
      </w:r>
      <w:r>
        <w:rPr>
          <w:b/>
        </w:rPr>
        <w:t>unique représentant</w:t>
      </w:r>
      <w:r>
        <w:t xml:space="preserve"> de la classe pharmacologique novatrice des analogues SV2A — une classe qui a révolutionné la conception du médicament antiépileptique en ciblant non pas un canal ionique ou un récepteur classique, mais une </w:t>
      </w:r>
      <w:r>
        <w:rPr>
          <w:b/>
        </w:rPr>
        <w:t>protéine vésiculaire synaptique</w:t>
      </w:r>
      <w:r>
        <w:t xml:space="preserve">, la protéine </w:t>
      </w:r>
      <w:r>
        <w:rPr>
          <w:b/>
        </w:rPr>
        <w:t>SV2A (Synaptic Vesicle glycoprotein 2A)</w:t>
      </w:r>
      <w:r>
        <w:t>. Cette cible moléculaire originale, identifiée en 2004 par les travaux de Lynch et al., confère au lévétiracétam son profil d'efficacité/tolérance favorable, son absence d'interactions médicamenteuses, et sa pharmacocinétique prédictive. Le lévétiracétam est aujourd'hui considéré comme l'</w:t>
      </w:r>
      <w:r>
        <w:rPr>
          <w:b/>
        </w:rPr>
        <w:t>antiépileptique de référence</w:t>
      </w:r>
      <w:r>
        <w:t xml:space="preserve"> dans de nombreuses indications, notamment chez la </w:t>
      </w:r>
      <w:r>
        <w:rPr>
          <w:b/>
        </w:rPr>
        <w:t>femme enceinte épileptique</w:t>
      </w:r>
      <w:r>
        <w:t xml:space="preserve"> (en raison de son faible potentiel tératogène documenté), chez le </w:t>
      </w:r>
      <w:r>
        <w:rPr>
          <w:b/>
        </w:rPr>
        <w:t>sujet âgé polymédicamenté</w:t>
      </w:r>
      <w:r>
        <w:t xml:space="preserve"> (en raison de l'absence d'interactions), et en </w:t>
      </w:r>
      <w:r>
        <w:rPr>
          <w:b/>
        </w:rPr>
        <w:t>urgence</w:t>
      </w:r>
      <w:r>
        <w:t xml:space="preserve"> (forme IV disponible, bien qu'absente du marché algérien).</w:t>
      </w:r>
    </w:p>
    <w:p>
      <w:r/>
      <w:r>
        <w:rPr>
          <w:b/>
        </w:rPr>
        <w:t>Médicaments disponibles en Algérie (Marques, Laboratoires, Formes et Dosages) :</w:t>
      </w:r>
      <w:r/>
    </w:p>
    <w:p>
      <w:pPr>
        <w:pStyle w:val="ListBullet"/>
      </w:pPr>
      <w:r/>
      <w:r>
        <w:rPr>
          <w:b/>
        </w:rPr>
        <w:t>KEPPRA</w:t>
      </w:r>
      <w:r>
        <w:t xml:space="preserve"> (UCB PHARMA) — princeps</w:t>
      </w:r>
    </w:p>
    <w:p>
      <w:pPr>
        <w:pStyle w:val="ListBullet"/>
      </w:pPr>
      <w:r>
        <w:t>Formes et Dosages : Comprimé pelliculé 250 mg (B/60)</w:t>
      </w:r>
    </w:p>
    <w:p>
      <w:pPr>
        <w:pStyle w:val="ListBullet"/>
      </w:pPr>
      <w:r>
        <w:t>Statut : Actif</w:t>
      </w:r>
    </w:p>
    <w:p>
      <w:pPr>
        <w:pStyle w:val="ListBullet"/>
      </w:pPr>
      <w:r/>
      <w:r>
        <w:rPr>
          <w:b/>
        </w:rPr>
        <w:t>BIOCETAM</w:t>
      </w:r>
      <w:r>
        <w:t xml:space="preserve"> (BIOCARE)</w:t>
      </w:r>
    </w:p>
    <w:p>
      <w:pPr>
        <w:pStyle w:val="ListBullet"/>
      </w:pPr>
      <w:r>
        <w:t>Formes et Dosages : Comprimé pelliculé 250 mg (B/60) ; 500 mg (B/60) ; 750 mg sécable (B/60) ; 1000 mg sécable (B/60)</w:t>
      </w:r>
    </w:p>
    <w:p>
      <w:pPr>
        <w:pStyle w:val="ListBullet"/>
      </w:pPr>
      <w:r>
        <w:t>Statut : Actif</w:t>
      </w:r>
    </w:p>
    <w:p>
      <w:pPr>
        <w:pStyle w:val="ListBullet"/>
      </w:pPr>
      <w:r/>
      <w:r>
        <w:rPr>
          <w:b/>
        </w:rPr>
        <w:t>EGORIE</w:t>
      </w:r>
      <w:r>
        <w:t xml:space="preserve"> (NADPHARMADIC-PRODUCTION)</w:t>
      </w:r>
    </w:p>
    <w:p>
      <w:pPr>
        <w:pStyle w:val="ListBullet"/>
      </w:pPr>
      <w:r>
        <w:t>Formes et Dosages : Comprimé pelliculé 250 mg (B/64)</w:t>
      </w:r>
    </w:p>
    <w:p>
      <w:pPr>
        <w:pStyle w:val="ListBullet"/>
      </w:pPr>
      <w:r>
        <w:t>Statut : Actif</w:t>
      </w:r>
    </w:p>
    <w:p>
      <w:pPr>
        <w:pStyle w:val="ListBullet"/>
      </w:pPr>
      <w:r/>
      <w:r>
        <w:rPr>
          <w:b/>
        </w:rPr>
        <w:t>EPILEPTAM</w:t>
      </w:r>
      <w:r>
        <w:t xml:space="preserve"> (PHARMALLIANCE)</w:t>
      </w:r>
    </w:p>
    <w:p>
      <w:pPr>
        <w:pStyle w:val="ListBullet"/>
      </w:pPr>
      <w:r>
        <w:t>Formes et Dosages : Comprimé pelliculé 250 mg (B/60) ; 500 mg (B/60)</w:t>
      </w:r>
    </w:p>
    <w:p>
      <w:pPr>
        <w:pStyle w:val="ListBullet"/>
      </w:pPr>
      <w:r>
        <w:t>Statut : Actif</w:t>
      </w:r>
    </w:p>
    <w:p>
      <w:pPr>
        <w:pStyle w:val="ListBullet"/>
      </w:pPr>
      <w:r/>
      <w:r>
        <w:rPr>
          <w:b/>
        </w:rPr>
        <w:t>EPIXX</w:t>
      </w:r>
      <w:r>
        <w:t xml:space="preserve"> (ABDI IBRAHIM ILAÇ SANAYI VE TICARET A.Ş)</w:t>
      </w:r>
    </w:p>
    <w:p>
      <w:pPr>
        <w:pStyle w:val="ListBullet"/>
      </w:pPr>
      <w:r>
        <w:t>Formes et Dosages : Comprimé pelliculé 250 mg (B/30) ; 500 mg (B/30) ; 750 mg (B/30) ; 1000 mg (B/60) ; Solution buvable 100 mg/mL (FL/300 mL)</w:t>
      </w:r>
    </w:p>
    <w:p>
      <w:pPr>
        <w:pStyle w:val="ListBullet"/>
      </w:pPr>
      <w:r>
        <w:t>Statut : Actif</w:t>
      </w:r>
    </w:p>
    <w:p>
      <w:pPr>
        <w:pStyle w:val="ListBullet"/>
      </w:pPr>
      <w:r/>
      <w:r>
        <w:rPr>
          <w:b/>
        </w:rPr>
        <w:t>KEPACETAM</w:t>
      </w:r>
      <w:r>
        <w:t xml:space="preserve"> (TABUK ALGERIE)</w:t>
      </w:r>
    </w:p>
    <w:p>
      <w:pPr>
        <w:pStyle w:val="ListBullet"/>
      </w:pPr>
      <w:r>
        <w:t>Formes et Dosages : Comprimé pelliculé 250 mg (B/30) ; 500 mg (B/30)</w:t>
      </w:r>
    </w:p>
    <w:p>
      <w:pPr>
        <w:pStyle w:val="ListBullet"/>
      </w:pPr>
      <w:r>
        <w:t>Statut : Actif</w:t>
      </w:r>
    </w:p>
    <w:p>
      <w:pPr>
        <w:pStyle w:val="ListBullet"/>
      </w:pPr>
      <w:r/>
      <w:r>
        <w:rPr>
          <w:b/>
        </w:rPr>
        <w:t>KEPAM</w:t>
      </w:r>
      <w:r>
        <w:t xml:space="preserve"> / </w:t>
      </w:r>
      <w:r>
        <w:rPr>
          <w:b/>
        </w:rPr>
        <w:t>KEPAM LP</w:t>
      </w:r>
      <w:r>
        <w:t xml:space="preserve"> (EL KENDI INDUSTRIE DU MEDICAMENT)</w:t>
      </w:r>
    </w:p>
    <w:p>
      <w:pPr>
        <w:pStyle w:val="ListBullet"/>
      </w:pPr>
      <w:r>
        <w:t>Formes et Dosages : Comprimé pelliculé 250 mg (B/60) ; 500 mg (B/60) ; 750 mg (B/60) ; Solution buvable 100 mg/mL (FL/125, 200, 300 mL avec pipette) ; Comprimé pelliculé LP 500 mg (B/30) ; Comprimé pelliculé LP 750 mg (B/30)</w:t>
      </w:r>
    </w:p>
    <w:p>
      <w:pPr>
        <w:pStyle w:val="ListBullet"/>
      </w:pPr>
      <w:r>
        <w:t>Statut : Actif</w:t>
      </w:r>
    </w:p>
    <w:p>
      <w:pPr>
        <w:pStyle w:val="ListBullet"/>
      </w:pPr>
      <w:r/>
      <w:r>
        <w:rPr>
          <w:b/>
        </w:rPr>
        <w:t>LACETAM</w:t>
      </w:r>
      <w:r>
        <w:t xml:space="preserve"> (LABORATOIRES DE DIAGNOSTIC MAGHREBINS-LDM)</w:t>
      </w:r>
    </w:p>
    <w:p>
      <w:pPr>
        <w:pStyle w:val="ListBullet"/>
      </w:pPr>
      <w:r>
        <w:t>Formes et Dosages : Comprimé pelliculé 250 mg (B/60) ; Comprimé pelliculé sécable 500 mg (B/30)</w:t>
      </w:r>
    </w:p>
    <w:p>
      <w:pPr>
        <w:pStyle w:val="ListBullet"/>
      </w:pPr>
      <w:r>
        <w:t>Statut : Actif</w:t>
      </w:r>
    </w:p>
    <w:p>
      <w:pPr>
        <w:pStyle w:val="ListBullet"/>
      </w:pPr>
      <w:r/>
      <w:r>
        <w:rPr>
          <w:b/>
        </w:rPr>
        <w:t>LEVETIRACETAM BEKER</w:t>
      </w:r>
      <w:r>
        <w:t xml:space="preserve"> (LABORATOIRES BEKER)</w:t>
      </w:r>
    </w:p>
    <w:p>
      <w:pPr>
        <w:pStyle w:val="ListBullet"/>
      </w:pPr>
      <w:r>
        <w:t>Formes et Dosages : Comprimé pelliculé sécable 250 mg (B/60) ; 500 mg sécable (B/60)</w:t>
      </w:r>
    </w:p>
    <w:p>
      <w:pPr>
        <w:pStyle w:val="ListBullet"/>
      </w:pPr>
      <w:r>
        <w:t>Statut : Actif</w:t>
      </w:r>
    </w:p>
    <w:p>
      <w:pPr>
        <w:pStyle w:val="ListBullet"/>
      </w:pPr>
      <w:r/>
      <w:r>
        <w:rPr>
          <w:b/>
        </w:rPr>
        <w:t>LEVETIRACETAM NOVOGENERICS</w:t>
      </w:r>
      <w:r>
        <w:t xml:space="preserve"> (NOVAPHARM TRADING)</w:t>
      </w:r>
    </w:p>
    <w:p>
      <w:pPr>
        <w:pStyle w:val="ListBullet"/>
      </w:pPr>
      <w:r>
        <w:t>Formes et Dosages : Comprimé pelliculé 250 mg (B/60)</w:t>
      </w:r>
    </w:p>
    <w:p>
      <w:pPr>
        <w:pStyle w:val="ListBullet"/>
      </w:pPr>
      <w:r>
        <w:t>Statut : Actif</w:t>
      </w:r>
    </w:p>
    <w:p>
      <w:pPr>
        <w:pStyle w:val="ListBullet"/>
      </w:pPr>
      <w:r/>
      <w:r>
        <w:rPr>
          <w:b/>
        </w:rPr>
        <w:t>SOPROTAM 250</w:t>
      </w:r>
      <w:r>
        <w:t xml:space="preserve"> (SOPRODIM)</w:t>
      </w:r>
    </w:p>
    <w:p>
      <w:pPr>
        <w:pStyle w:val="ListBullet"/>
      </w:pPr>
      <w:r>
        <w:t>Formes et Dosages : Comprimé pelliculé 250 mg (B/60)</w:t>
      </w:r>
    </w:p>
    <w:p>
      <w:pPr>
        <w:pStyle w:val="ListBullet"/>
      </w:pPr>
      <w:r>
        <w:t>Statut : Actif</w:t>
      </w:r>
    </w:p>
    <w:p>
      <w:pPr>
        <w:pStyle w:val="ListBullet"/>
      </w:pPr>
      <w:r/>
      <w:r>
        <w:rPr>
          <w:b/>
        </w:rPr>
        <w:t>NEUROCETAM</w:t>
      </w:r>
      <w:r>
        <w:t xml:space="preserve"> (BIOPHARM)</w:t>
      </w:r>
    </w:p>
    <w:p>
      <w:pPr>
        <w:pStyle w:val="ListBullet"/>
      </w:pPr>
      <w:r>
        <w:t>Formes et Dosages : Comprimé pelliculé 250 mg (B/60) ; 500 mg (B/60) ; 750 mg (B/30) ; 1000 mg (B/60) ; Solution buvable 100 mg/mL (FL/120 mL)</w:t>
      </w:r>
    </w:p>
    <w:p>
      <w:pPr>
        <w:pStyle w:val="ListBullet"/>
      </w:pPr>
      <w:r>
        <w:t>Statut : Actif</w:t>
      </w:r>
    </w:p>
    <w:p>
      <w:pPr>
        <w:pStyle w:val="ListBullet"/>
      </w:pPr>
      <w:r/>
      <w:r>
        <w:rPr>
          <w:b/>
        </w:rPr>
        <w:t>VETRAM</w:t>
      </w:r>
      <w:r>
        <w:t xml:space="preserve"> / </w:t>
      </w:r>
      <w:r>
        <w:rPr>
          <w:b/>
        </w:rPr>
        <w:t>VETRAM LP</w:t>
      </w:r>
      <w:r>
        <w:t xml:space="preserve"> (HIKMA PHARMA ALGERIA)</w:t>
      </w:r>
    </w:p>
    <w:p>
      <w:pPr>
        <w:pStyle w:val="ListBullet"/>
      </w:pPr>
      <w:r>
        <w:t>Formes et Dosages : Comprimé pelliculé sécable 250 mg (B/30) ; 500 mg sécable (B/30) ; 750 mg sécable (B/30) ; 1000 mg (B/60) ; Solution buvable 100 mg/mL (FL/120 mL) ; Comprimé pelliculé LP 500 mg (B/30) ; Comprimé pelliculé LP 750 mg (B/30)</w:t>
      </w:r>
    </w:p>
    <w:p>
      <w:pPr>
        <w:pStyle w:val="ListBullet"/>
      </w:pPr>
      <w:r>
        <w:t>Statut : Actif</w:t>
      </w:r>
    </w:p>
    <w:p>
      <w:r>
        <w:t xml:space="preserve">Le lévétiracétam est donc disponible en Algérie en </w:t>
      </w:r>
      <w:r>
        <w:rPr>
          <w:b/>
        </w:rPr>
        <w:t>5 dosages oraux</w:t>
      </w:r>
      <w:r>
        <w:t xml:space="preserve"> (250, 500, 750, 1000 mg en comprimés, 100 mg/mL en solution buvable), avec </w:t>
      </w:r>
      <w:r>
        <w:rPr>
          <w:b/>
        </w:rPr>
        <w:t>13 laboratoires</w:t>
      </w:r>
      <w:r>
        <w:t xml:space="preserve"> et </w:t>
      </w:r>
      <w:r>
        <w:rPr>
          <w:b/>
        </w:rPr>
        <w:t>39 formes actives</w:t>
      </w:r>
      <w:r>
        <w:t xml:space="preserve">. La disponibilité de </w:t>
      </w:r>
      <w:r>
        <w:rPr>
          <w:b/>
        </w:rPr>
        <w:t>formes à libération prolongée (LP)</w:t>
      </w:r>
      <w:r>
        <w:t xml:space="preserve"> chez deux laboratoires (El Kendi Kepam LP® et Hikma Vetram LP®) en 500 mg et 750 mg autorise une </w:t>
      </w:r>
      <w:r>
        <w:rPr>
          <w:b/>
        </w:rPr>
        <w:t>monoprise quotidienne</w:t>
      </w:r>
      <w:r>
        <w:t xml:space="preserve"> (à la différence des formes standard qui nécessitent une biprise), ce qui améliore significativement l'observance.</w:t>
      </w:r>
    </w:p>
    <w:p>
      <w:r/>
      <w:r>
        <w:rPr>
          <w:b/>
        </w:rPr>
        <w:t>Sous-classe et Mécanisme d'action :</w:t>
      </w:r>
      <w:r/>
    </w:p>
    <w:p>
      <w:pPr>
        <w:pStyle w:val="ListBullet"/>
      </w:pPr>
      <w:r>
        <w:t>Sous-classe : Antiépileptique moderne de troisième génération, analogue SV2A — classe pharmacologique unique. Médicament de spectre large, indiqué à la fois dans les épilepsies partielles et généralisées.</w:t>
      </w:r>
    </w:p>
    <w:p>
      <w:pPr>
        <w:pStyle w:val="ListBullet"/>
      </w:pPr>
      <w:r>
        <w:t xml:space="preserve">Mécanisme d'action : </w:t>
      </w:r>
      <w:r>
        <w:rPr>
          <w:b/>
        </w:rPr>
        <w:t>Liaison spécifique, saturable et réversible à la protéine vésiculaire synaptique SV2A (Synaptic Vesicle glycoprotein 2A)</w:t>
      </w:r>
      <w:r>
        <w:t xml:space="preserve"> présente dans les vésicules synaptiques des neurones du SNC central. La protéine SV2A est une protéine transmembranaire à 12 domaines appartenant à la famille des transporteurs de sucres majeurs (MFS), impliquée dans le trafic vésiculaire, la libération des neurotransmetteurs et la plasticité synaptique. Le lévétiracétam se lie spécifiquement à SV2A (et non aux isoformes apparentées SV2B et SV2C), avec une affinité (Ki) de 1-2 μM — ce qui correspond aux concentrations thérapeutiques cérébrales atteintes aux doses cliniques. Cette interaction module la dynamique des vésicules synaptiques, en particulier leur libération de neurotransmetteurs tant GABAergique (inhibiteur) que glutamatergique (excitateur). L'effet net est une </w:t>
      </w:r>
      <w:r>
        <w:rPr>
          <w:b/>
        </w:rPr>
        <w:t>modulation de la libération synaptique, en réduisant l'hyperexcitabilité pathologique tout en préservant la transmission physiologique</w:t>
      </w:r>
      <w:r>
        <w:t xml:space="preserve">. Le lévétiracétam n'a </w:t>
      </w:r>
      <w:r>
        <w:rPr>
          <w:b/>
        </w:rPr>
        <w:t>aucune action directe</w:t>
      </w:r>
      <w:r>
        <w:t xml:space="preserve"> sur les canaux sodiques, les canaux calciques, les récepteurs GABA-A ou GABA-B, les récepteurs glutamate AMPA/NMDA, ou l'anhydrase carbonique. Cette originalité mécanistique explique son profil de tolérance favorable et son absence d'interactions médicamenteuses significatives. Le lévétiracétam inhibe également les décharges paroxystiques dans les modèles d'épilepsie sans affecter l'activité électrique normale — d'où une fenêtre thérapeutique large et un index thérapeutique élevé.</w:t>
      </w:r>
    </w:p>
    <w:p>
      <w:r/>
      <w:r>
        <w:rPr>
          <w:b/>
        </w:rPr>
        <w:t>Profil Pharmacologique :</w:t>
      </w:r>
      <w:r/>
    </w:p>
    <w:p>
      <w:pPr>
        <w:pStyle w:val="ListBullet"/>
      </w:pPr>
      <w:r>
        <w:t xml:space="preserve">Indications : (i) </w:t>
      </w:r>
      <w:r>
        <w:rPr>
          <w:b/>
        </w:rPr>
        <w:t>Épilepsies partielles avec ou sans généralisation secondaire de l'adulte et de l'enfant &gt; 4 ans</w:t>
      </w:r>
      <w:r>
        <w:t xml:space="preserve"> en monothérapie (indication récente) ou en association ; (ii) </w:t>
      </w:r>
      <w:r>
        <w:rPr>
          <w:b/>
        </w:rPr>
        <w:t>Crises myocloniques</w:t>
      </w:r>
      <w:r>
        <w:t xml:space="preserve"> de l'épilepsie myoclonique juvénile (EMJ) — indication princeps ; (iii) </w:t>
      </w:r>
      <w:r>
        <w:rPr>
          <w:b/>
        </w:rPr>
        <w:t>Crises généralisées tonico-cloniques primaires</w:t>
      </w:r>
      <w:r>
        <w:t xml:space="preserve"> de l'épilepsie généralisée idiopathique — indication princeps ; (iv) Hors AMM : </w:t>
      </w:r>
      <w:r>
        <w:rPr>
          <w:b/>
        </w:rPr>
        <w:t>status epilepticus</w:t>
      </w:r>
      <w:r>
        <w:t xml:space="preserve"> en association (IV en Europe, non disponible en Algérie en IV), </w:t>
      </w:r>
      <w:r>
        <w:rPr>
          <w:b/>
        </w:rPr>
        <w:t>migraine prophylaxie</w:t>
      </w:r>
      <w:r>
        <w:t xml:space="preserve"> (efficacité modeste), </w:t>
      </w:r>
      <w:r>
        <w:rPr>
          <w:b/>
        </w:rPr>
        <w:t>neuropathie périphérique douloureuse</w:t>
      </w:r>
      <w:r>
        <w:t xml:space="preserve">, </w:t>
      </w:r>
      <w:r>
        <w:rPr>
          <w:b/>
        </w:rPr>
        <w:t>trouble bipolaire</w:t>
      </w:r>
      <w:r>
        <w:t xml:space="preserve"> (en association), </w:t>
      </w:r>
      <w:r>
        <w:rPr>
          <w:b/>
        </w:rPr>
        <w:t>tic disorders</w:t>
      </w:r>
      <w:r>
        <w:t xml:space="preserve"> et syndrome de Tourette, </w:t>
      </w:r>
      <w:r>
        <w:rPr>
          <w:b/>
        </w:rPr>
        <w:t>anxiété</w:t>
      </w:r>
      <w:r>
        <w:t xml:space="preserve"> (efficacité modeste). Le lévétiracétam est l'antiépileptique de </w:t>
      </w:r>
      <w:r>
        <w:rPr>
          <w:b/>
        </w:rPr>
        <w:t>spectre le plus large</w:t>
      </w:r>
      <w:r>
        <w:t xml:space="preserve"> de sa génération, couvrant à la fois les épilepsies partielles et généralisées.</w:t>
      </w:r>
    </w:p>
    <w:p>
      <w:pPr>
        <w:pStyle w:val="ListBullet"/>
      </w:pPr>
      <w:r>
        <w:t xml:space="preserve">Contre-indications : (i) </w:t>
      </w:r>
      <w:r>
        <w:rPr>
          <w:b/>
        </w:rPr>
        <w:t>hypersensibilité au lévétiracétam</w:t>
      </w:r>
      <w:r>
        <w:t xml:space="preserve"> ou à un autre dérivé pyrrolidone ; (ii) </w:t>
      </w:r>
      <w:r>
        <w:rPr>
          <w:b/>
        </w:rPr>
        <w:t>insuffisance rénale sévère non adaptée</w:t>
      </w:r>
      <w:r>
        <w:t xml:space="preserve"> (ClCr &lt; 30 mL/min — adapter obligatoirement) ; (iii) précautions chez la femme enceinte (voir section Grossesse — mais le lévétiracétam est l'antiépileptique modernes préférable) ; (iv) précaution majeure chez les patients aux </w:t>
      </w:r>
      <w:r>
        <w:rPr>
          <w:b/>
        </w:rPr>
        <w:t>antécédents psychiatriques</w:t>
      </w:r>
      <w:r>
        <w:t xml:space="preserve"> (risque d'aggravation de l'irritabilité, agressivité, dépression, idées suicidaires) ; (v) précaution chez le sujet âgé (adaptation à la fonction rénale) ; (vi) précaution en cas d'</w:t>
      </w:r>
      <w:r>
        <w:rPr>
          <w:b/>
        </w:rPr>
        <w:t>insuffisance hépatique sévère</w:t>
      </w:r>
      <w:r>
        <w:t xml:space="preserve"> (adaptation à la fonction rénale qui est souvent altérée dans ce contexte).</w:t>
      </w:r>
    </w:p>
    <w:p>
      <w:pPr>
        <w:pStyle w:val="ListBullet"/>
      </w:pPr>
      <w:r>
        <w:t xml:space="preserve">Effets Indésirables : Le profil de tolérance est globalement favorable, dominé par les effets centraux : (i) </w:t>
      </w:r>
      <w:r>
        <w:rPr>
          <w:b/>
        </w:rPr>
        <w:t>somnolence et asthénie</w:t>
      </w:r>
      <w:r>
        <w:t xml:space="preserve"> (très fréquents, 15-25 % — dose-dépendants, transitoires) ; (ii) </w:t>
      </w:r>
      <w:r>
        <w:rPr>
          <w:b/>
        </w:rPr>
        <w:t>vertiges et étourdissements</w:t>
      </w:r>
      <w:r>
        <w:t xml:space="preserve"> ; (iii) </w:t>
      </w:r>
      <w:r>
        <w:rPr>
          <w:b/>
        </w:rPr>
        <w:t>céphalées</w:t>
      </w:r>
      <w:r>
        <w:t xml:space="preserve"> ; (iv) </w:t>
      </w:r>
      <w:r>
        <w:rPr>
          <w:b/>
        </w:rPr>
        <w:t>troubles psychiatriques</w:t>
      </w:r>
      <w:r>
        <w:t xml:space="preserve"> — </w:t>
      </w:r>
      <w:r>
        <w:rPr>
          <w:b/>
        </w:rPr>
        <w:t>effet indésirable classique du lévétiracétam</w:t>
      </w:r>
      <w:r>
        <w:t xml:space="preserve"> : irritabilité, agressivité, agitation, nervosité (5-15 %), dépression (4-8 %), idées suicidaires (1-2 %, à surveiller), rarement </w:t>
      </w:r>
      <w:r>
        <w:rPr>
          <w:b/>
        </w:rPr>
        <w:t>psychose</w:t>
      </w:r>
      <w:r>
        <w:t xml:space="preserve"> et </w:t>
      </w:r>
      <w:r>
        <w:rPr>
          <w:b/>
        </w:rPr>
        <w:t>hallucinations</w:t>
      </w:r>
      <w:r>
        <w:t xml:space="preserve"> (0,3 %) — particulièrement chez l'enfant et l'adolescent, et chez les patients aux antécédents psychiatriques ; (v) </w:t>
      </w:r>
      <w:r>
        <w:rPr>
          <w:b/>
        </w:rPr>
        <w:t>troubles cognitifs</w:t>
      </w:r>
      <w:r>
        <w:t xml:space="preserve"> (troubles de la mémoire, ralentissement idéatoire — moins marqués qu'avec le topiramate) ; (vi) </w:t>
      </w:r>
      <w:r>
        <w:rPr>
          <w:b/>
        </w:rPr>
        <w:t>troubles gastro-intestinaux</w:t>
      </w:r>
      <w:r>
        <w:t xml:space="preserve"> (nausées, vomissements, diarrhée, sécheresse buccale) ; (vii) </w:t>
      </w:r>
      <w:r>
        <w:rPr>
          <w:b/>
        </w:rPr>
        <w:t>troubles cutanés</w:t>
      </w:r>
      <w:r>
        <w:t xml:space="preserve"> (rash, prurit — rares ; cas rapportés de Stevens-Johnson et nécrolyse épidermique) ; (viii) </w:t>
      </w:r>
      <w:r>
        <w:rPr>
          <w:b/>
        </w:rPr>
        <w:t>infections des voies respiratoires supérieures</w:t>
      </w:r>
      <w:r>
        <w:t xml:space="preserve"> (rhinite, pharyngite — fréquentes, possiblement liées aux effets immunomodulateurs du lévétiracétam) ; (ix) </w:t>
      </w:r>
      <w:r>
        <w:rPr>
          <w:b/>
        </w:rPr>
        <w:t>troubles de la marche et ataxie</w:t>
      </w:r>
      <w:r>
        <w:t xml:space="preserve"> ; (x) </w:t>
      </w:r>
      <w:r>
        <w:rPr>
          <w:b/>
        </w:rPr>
        <w:t>troubles hématologiques</w:t>
      </w:r>
      <w:r>
        <w:t xml:space="preserve"> rares : leucopénie, neutropénie, thrombocytopénie (surveillance NFS) ; (xi) </w:t>
      </w:r>
      <w:r>
        <w:rPr>
          <w:b/>
        </w:rPr>
        <w:t>cytolyse hépatique</w:t>
      </w:r>
      <w:r>
        <w:t xml:space="preserve"> rare ; (xii) </w:t>
      </w:r>
      <w:r>
        <w:rPr>
          <w:b/>
        </w:rPr>
        <w:t>chute de cheveux</w:t>
      </w:r>
      <w:r>
        <w:t xml:space="preserve"> (rares cas rapportés) ; (xiii) </w:t>
      </w:r>
      <w:r>
        <w:rPr>
          <w:b/>
        </w:rPr>
        <w:t>syndrome de sevrage</w:t>
      </w:r>
      <w:r>
        <w:t xml:space="preserve"> à l'arrêt brutal (recrudescence des crises — ne jamais arrêter brutalement) ; (xiv) très rare : </w:t>
      </w:r>
      <w:r>
        <w:rPr>
          <w:b/>
        </w:rPr>
        <w:t>syndrome DRESS</w:t>
      </w:r>
      <w:r>
        <w:t xml:space="preserve"> (Drug Rash with Eosinophilia and Systemic Symptoms), </w:t>
      </w:r>
      <w:r>
        <w:rPr>
          <w:b/>
        </w:rPr>
        <w:t>réaction anaphylactique</w:t>
      </w:r>
      <w:r>
        <w:t>.</w:t>
      </w:r>
    </w:p>
    <w:p>
      <w:r/>
      <w:r>
        <w:rPr>
          <w:b/>
        </w:rPr>
        <w:t>Prévention et Gestion des Effets Indésirables :</w:t>
      </w:r>
      <w:r/>
    </w:p>
    <w:p>
      <w:pPr>
        <w:pStyle w:val="ListBullet"/>
      </w:pPr>
      <w:r>
        <w:t xml:space="preserve">Mesures Préventives : (i) </w:t>
      </w:r>
      <w:r>
        <w:rPr>
          <w:b/>
        </w:rPr>
        <w:t>augmentation posologique progressive</w:t>
      </w:r>
      <w:r>
        <w:t xml:space="preserve"> selon le schéma recommandé : 250 mg ×2/j pendant 1 semaine, puis 500 mg ×2/j, puis 750 mg ×2/j, puis 1000 mg ×2/j si besoin (le palier peut être plus rapide chez le patient nécessitant une prise en charge rapide — par exemple 500 mg ×2/j d'emblée) ; (ii) </w:t>
      </w:r>
      <w:r>
        <w:rPr>
          <w:b/>
        </w:rPr>
        <w:t>surveillance de l'état psychiatrique</w:t>
      </w:r>
      <w:r>
        <w:t xml:space="preserve"> (irritabilité, agressivité, idées suicidaires — </w:t>
      </w:r>
      <w:r>
        <w:rPr>
          <w:b/>
        </w:rPr>
        <w:t>effet indésirable classique</w:t>
      </w:r>
      <w:r>
        <w:t xml:space="preserve"> à rechercher systématiquement à chaque consultation) — particulièrement chez l'enfant, l'adolescent et les patients aux antécédents psychiatriques ; (iii) </w:t>
      </w:r>
      <w:r>
        <w:rPr>
          <w:b/>
        </w:rPr>
        <w:t>surveillance de la fonction rénale</w:t>
      </w:r>
      <w:r>
        <w:t xml:space="preserve"> (créatininémie et clairance) à l'initiation puis annuellement — adaptation posologique obligatoire si ClCr &lt; 80 mL/min ; (iv) </w:t>
      </w:r>
      <w:r>
        <w:rPr>
          <w:b/>
        </w:rPr>
        <w:t>surveillance de la NFS et du bilan hépatique</w:t>
      </w:r>
      <w:r>
        <w:t xml:space="preserve"> en début de traitement puis semestriellement (à la recherche de leucopénie, neutropénie, thrombocytopénie, cytolyse hépatique) ; (v) </w:t>
      </w:r>
      <w:r>
        <w:rPr>
          <w:b/>
        </w:rPr>
        <w:t>information du patient sur le syndrome de sevrage</w:t>
      </w:r>
      <w:r>
        <w:t xml:space="preserve"> et l'interdiction d'arrêter brutalement le traitement — sevrage à effectuer sur plusieurs semaines (réduction de 25 % tous les 7-14 jours) ; (vi) </w:t>
      </w:r>
      <w:r>
        <w:rPr>
          <w:b/>
        </w:rPr>
        <w:t>prudence à la conduite automobile</w:t>
      </w:r>
      <w:r>
        <w:t xml:space="preserve"> pendant les premières semaines et à chaque augmentation de dose ; (vii) </w:t>
      </w:r>
      <w:r>
        <w:rPr>
          <w:b/>
        </w:rPr>
        <w:t>prévention des chutes</w:t>
      </w:r>
      <w:r>
        <w:t xml:space="preserve"> chez le sujet âgé (ataxie, vertiges) ; (viii) </w:t>
      </w:r>
      <w:r>
        <w:rPr>
          <w:b/>
        </w:rPr>
        <w:t>bilan dermatologique</w:t>
      </w:r>
      <w:r>
        <w:t xml:space="preserve"> à la moindre éruption cutanée.</w:t>
      </w:r>
    </w:p>
    <w:p>
      <w:pPr>
        <w:pStyle w:val="ListBullet"/>
      </w:pPr>
      <w:r>
        <w:t xml:space="preserve">Conduite à Tenir : (i) en cas de </w:t>
      </w:r>
      <w:r>
        <w:rPr>
          <w:b/>
        </w:rPr>
        <w:t>somnolence excessive</w:t>
      </w:r>
      <w:r>
        <w:t xml:space="preserve"> : espacer les prises, transférer une plus grande partie de la dose au coucher, réduire la dose totale de 25 % ; (ii) en cas d'</w:t>
      </w:r>
      <w:r>
        <w:rPr>
          <w:b/>
        </w:rPr>
        <w:t>irritabilité, agressivité, agitation</w:t>
      </w:r>
      <w:r>
        <w:t xml:space="preserve"> : </w:t>
      </w:r>
      <w:r>
        <w:rPr>
          <w:b/>
        </w:rPr>
        <w:t>réduction immédiate de la dose</w:t>
      </w:r>
      <w:r>
        <w:t xml:space="preserve"> (souvent efficace) ; si persistance, </w:t>
      </w:r>
      <w:r>
        <w:rPr>
          <w:b/>
        </w:rPr>
        <w:t>arrêt et substitution par un autre antiépileptique</w:t>
      </w:r>
      <w:r>
        <w:t xml:space="preserve"> (lacosamide, valproate, topiramate) ; (iii) en cas de </w:t>
      </w:r>
      <w:r>
        <w:rPr>
          <w:b/>
        </w:rPr>
        <w:t>dépression, idées suicidaires, psychose</w:t>
      </w:r>
      <w:r>
        <w:t xml:space="preserve"> : </w:t>
      </w:r>
      <w:r>
        <w:rPr>
          <w:b/>
        </w:rPr>
        <w:t>arrêt immédiat et consultation psychiatrique urgente</w:t>
      </w:r>
      <w:r>
        <w:t xml:space="preserve"> — ne pas laisser le patient seul, hospitalisation si nécessaire ; (iv) en cas de </w:t>
      </w:r>
      <w:r>
        <w:rPr>
          <w:b/>
        </w:rPr>
        <w:t>troubles hématologiques</w:t>
      </w:r>
      <w:r>
        <w:t xml:space="preserve"> : arrêt si leucopénie &lt; 2000/mm3, neutropénie &lt; 1000/mm3 ou thrombocytopénie &lt; 100 000/mm3 ; (v) en cas d'</w:t>
      </w:r>
      <w:r>
        <w:rPr>
          <w:b/>
        </w:rPr>
        <w:t>éruption cutanée</w:t>
      </w:r>
      <w:r>
        <w:t xml:space="preserve"> : arrêt immédiat, hospitalisation si signes de Stevens-Johnson, nécrolyse épidermique ou DRESS ; (vi) en cas de </w:t>
      </w:r>
      <w:r>
        <w:rPr>
          <w:b/>
        </w:rPr>
        <w:t>cytolyse hépatique</w:t>
      </w:r>
      <w:r>
        <w:t xml:space="preserve"> : surveillance, arrêt si ALT &gt; 3× LSN ; (vii) en cas de </w:t>
      </w:r>
      <w:r>
        <w:rPr>
          <w:b/>
        </w:rPr>
        <w:t>grossesse non planifiée</w:t>
      </w:r>
      <w:r>
        <w:t xml:space="preserve"> : ne pas arrêter brutalement (risque de réapparition des crises avec état de mal épileptique), consulter le neurologue — le lévétiracétam est l'antiépileptique de choix pendant la grossesse et peut généralement être poursuivi.</w:t>
      </w:r>
    </w:p>
    <w:p>
      <w:r/>
      <w:r>
        <w:rPr>
          <w:b/>
        </w:rPr>
        <w:t>Interactions Importantes :</w:t>
      </w:r>
      <w:r/>
    </w:p>
    <w:p>
      <w:pPr>
        <w:pStyle w:val="ListBullet"/>
      </w:pPr>
      <w:r/>
      <w:r>
        <w:rPr>
          <w:b/>
        </w:rPr>
        <w:t>Lévétiracétam + méthotrexate (à doses ≥20 mg/sem ou journalières cytotoxiques)</w:t>
      </w:r>
      <w:r>
        <w:t xml:space="preserve"> : cas rapportés de diminution de la clairance du méthotrexate avec majoration de la toxicité hématologique et hépatique — surveillance clinique et biologique accrue, envisager une alternative antiépileptique.</w:t>
      </w:r>
    </w:p>
    <w:p>
      <w:pPr>
        <w:pStyle w:val="ListBullet"/>
      </w:pPr>
      <w:r/>
      <w:r>
        <w:rPr>
          <w:b/>
        </w:rPr>
        <w:t>Lévétiracétam + probénécide</w:t>
      </w:r>
      <w:r>
        <w:t xml:space="preserve"> : augmentation de la concentration du métabolite inactif UCB L057 (sans traduction clinique) — pas d'adaptation nécessaire.</w:t>
      </w:r>
    </w:p>
    <w:p>
      <w:pPr>
        <w:pStyle w:val="ListBullet"/>
      </w:pPr>
      <w:r/>
      <w:r>
        <w:rPr>
          <w:b/>
        </w:rPr>
        <w:t>Lévétiracétam + autres antiépileptiques</w:t>
      </w:r>
      <w:r>
        <w:t xml:space="preserve"> : pas d'interaction pharmacocinétique notable — peut être associé à la carbamazépine, valproate, lamotrigine, topiramate, lacosamide sans ajustement. Atout majeur en polythérapie antiépileptique.</w:t>
      </w:r>
    </w:p>
    <w:p>
      <w:pPr>
        <w:pStyle w:val="ListBullet"/>
      </w:pPr>
      <w:r/>
      <w:r>
        <w:rPr>
          <w:b/>
        </w:rPr>
        <w:t>Lévétiracétam + contraceptifs oraux</w:t>
      </w:r>
      <w:r>
        <w:t xml:space="preserve"> : </w:t>
      </w:r>
      <w:r>
        <w:rPr>
          <w:b/>
        </w:rPr>
        <w:t>aucune interaction</w:t>
      </w:r>
      <w:r>
        <w:t xml:space="preserve"> documentée — le lévétiracétam n'induit pas le CYP3A4 et ne réduit pas l'efficacité contraceptive (avantage majeur chez la femme en âge de procréer).</w:t>
      </w:r>
    </w:p>
    <w:p>
      <w:pPr>
        <w:pStyle w:val="ListBullet"/>
      </w:pPr>
      <w:r/>
      <w:r>
        <w:rPr>
          <w:b/>
        </w:rPr>
        <w:t>Lévétiracétam + warfarine, anticoagulants oraux</w:t>
      </w:r>
      <w:r>
        <w:t xml:space="preserve"> : pas d'interaction documentée.</w:t>
      </w:r>
    </w:p>
    <w:p>
      <w:pPr>
        <w:pStyle w:val="ListBullet"/>
      </w:pPr>
      <w:r/>
      <w:r>
        <w:rPr>
          <w:b/>
        </w:rPr>
        <w:t>Lévétiracétam + digoxine</w:t>
      </w:r>
      <w:r>
        <w:t xml:space="preserve"> : pas d'interaction documentée.</w:t>
      </w:r>
    </w:p>
    <w:p>
      <w:pPr>
        <w:pStyle w:val="ListBullet"/>
      </w:pPr>
      <w:r/>
      <w:r>
        <w:rPr>
          <w:b/>
        </w:rPr>
        <w:t>Lévétiracétam + alcool, benzodiazépines, autres dépresseurs du SNC</w:t>
      </w:r>
      <w:r>
        <w:t xml:space="preserve"> : potentialisation de la sédation — prudence.</w:t>
      </w:r>
    </w:p>
    <w:p>
      <w:pPr>
        <w:pStyle w:val="ListBullet"/>
      </w:pPr>
      <w:r/>
      <w:r>
        <w:rPr>
          <w:b/>
        </w:rPr>
        <w:t>Lévétiracétam + antibiotiques</w:t>
      </w:r>
      <w:r>
        <w:t xml:space="preserve"> : pas d'interaction notable — avantage en cas de traitement antibiotique concomitant.</w:t>
      </w:r>
    </w:p>
    <w:p>
      <w:r/>
      <w:r>
        <w:rPr>
          <w:b/>
        </w:rPr>
        <w:t>Grossesse et Allaitement :</w:t>
      </w:r>
      <w:r/>
    </w:p>
    <w:p>
      <w:pPr>
        <w:pStyle w:val="ListBullet"/>
      </w:pPr>
      <w:r>
        <w:t xml:space="preserve">Grossesse : Selon le CRAT, l'EURAP et l'ILAE, le lévétiracétam est </w:t>
      </w:r>
      <w:r>
        <w:rPr>
          <w:b/>
        </w:rPr>
        <w:t>compatible avec la grossesse</w:t>
      </w:r>
      <w:r>
        <w:t xml:space="preserve"> et est l'</w:t>
      </w:r>
      <w:r>
        <w:rPr>
          <w:b/>
        </w:rPr>
        <w:t>antiépileptique de premier choix</w:t>
      </w:r>
      <w:r>
        <w:t xml:space="preserve"> chez la femme enceinte épileptique (avec la lamotrigine). Le taux de malformations congénitales majeures sous lévétiracétam en monothérapie est estimé à </w:t>
      </w:r>
      <w:r>
        <w:rPr>
          <w:b/>
        </w:rPr>
        <w:t>2,0-2,5 %</w:t>
      </w:r>
      <w:r>
        <w:t xml:space="preserve"> (proche du taux de la population générale qui est de 2-3 %), ce qui est </w:t>
      </w:r>
      <w:r>
        <w:rPr>
          <w:b/>
        </w:rPr>
        <w:t>nettement inférieur</w:t>
      </w:r>
      <w:r>
        <w:t xml:space="preserve"> à celui du valproate (6-9 %), de la carbamazépine (3-4 %), du topiramate (4-5 %), de la phénytoïne (5-7 %), du phénobarbital (5-6 %). Le risque est dose-dépendant (augmente à doses &gt; 2000 mg/j). Les données neurodéveloppementales (résultats cognitifs à 3-6 ans) sont rassurantes, suggérant un profil comparable à la lamotrigine et supérieur au valproate. La prudence reste de mise en cas de polythérapie (augmentation du risque). </w:t>
      </w:r>
      <w:r>
        <w:rPr>
          <w:b/>
        </w:rPr>
        <w:t>Supplémentation en acide folique 5 mg/j</w:t>
      </w:r>
      <w:r>
        <w:t xml:space="preserve"> recommandée à partir du mois précédant la conception jusqu'au 1er trimestre. Surveillance échographique rapprochée (échographie morphologique de référence à 22 SA). Le lévétiracétam peut généralement être poursuivi pendant la grossesse à la dose efficace minimale. En cas de première prescription chez une femme en âge de procréer, le lévétiracétam doit être préféré au valproate (tératogène), au topiramate (tératogène), à la carbamazépine (moins bien documenté).</w:t>
      </w:r>
    </w:p>
    <w:p>
      <w:pPr>
        <w:pStyle w:val="ListBullet"/>
      </w:pPr>
      <w:r>
        <w:t xml:space="preserve">Allaitement : Selon le CRAT, le lévétiracétam est </w:t>
      </w:r>
      <w:r>
        <w:rPr>
          <w:b/>
        </w:rPr>
        <w:t>compatible avec l'allaitement maternel</w:t>
      </w:r>
      <w:r>
        <w:t xml:space="preserve"> avec surveillance. Le lévétiracétam passe dans le lait maternel (rapport lait/plasma ≈ 1) avec une exposition estimée chez le nourrisson à environ 2-5 % de la dose maternelle ajustée au poids. Surveiller le nourrisson : </w:t>
      </w:r>
      <w:r>
        <w:rPr>
          <w:b/>
        </w:rPr>
        <w:t>somnolence, mauvaise prise au sein, hypotonie, mauvaise prise de poids</w:t>
      </w:r>
      <w:r>
        <w:t xml:space="preserve"> — en cas d'effet indésirable, suspendre l'allaitement. Le rapport bénéfice/risque est généralement favorable en raison des avantages de l'allaitement maternel et du faible passage lacté.</w:t>
      </w:r>
    </w:p>
    <w:p>
      <w:pPr>
        <w:pStyle w:val="ListBullet"/>
      </w:pPr>
      <w:r>
        <w:t>Précisions : Le lévétiracétam ne provoque pas de syndrome de sevrage néonatal significatif (à la différence de la prégabaline, gabapentine et benzodiazépines) — surveillance néonatale de routine.</w:t>
      </w:r>
    </w:p>
    <w:p>
      <w:r/>
      <w:r>
        <w:rPr>
          <w:b/>
        </w:rPr>
        <w:t>Posologie et Mode d'administration (Standard) :</w:t>
      </w:r>
      <w:r/>
    </w:p>
    <w:p>
      <w:pPr>
        <w:pStyle w:val="ListBullet"/>
      </w:pPr>
      <w:r>
        <w:t xml:space="preserve">Adulte : </w:t>
      </w:r>
      <w:r>
        <w:rPr>
          <w:b/>
        </w:rPr>
        <w:t>dose initiale 250 mg ×2/j (500 mg/j en 2 prises)</w:t>
      </w:r>
      <w:r>
        <w:t xml:space="preserve">, peut être augmentée à 500 mg ×2/j après 1-2 semaines, puis 750 mg ×2/j, puis 1000 mg ×2/j si besoin. </w:t>
      </w:r>
      <w:r>
        <w:rPr>
          <w:b/>
        </w:rPr>
        <w:t>Dose d'entretien habituelle : 1000 à 2000 mg/j en 2 prises</w:t>
      </w:r>
      <w:r>
        <w:t xml:space="preserve"> (500-1000 mg matin et soir). </w:t>
      </w:r>
      <w:r>
        <w:rPr>
          <w:b/>
        </w:rPr>
        <w:t>Dose maximale : 3000 mg/j en 2 prises</w:t>
      </w:r>
      <w:r>
        <w:t xml:space="preserve"> (1500 mg ×2). Dans les épilepsies pharmacorésistantes, des doses jusqu'à 4000 mg/j sont parfois utilisées hors AMM. </w:t>
      </w:r>
      <w:r>
        <w:rPr>
          <w:b/>
        </w:rPr>
        <w:t>Schéma à libération prolongée (LP)</w:t>
      </w:r>
      <w:r>
        <w:t xml:space="preserve"> : Kepam LP® ou Vetram LP® 500 mg ou 750 mg, une prise par jour (le soir de préférence) — dose initiale 500 mg LP/jour, augmentation par paliers de 500 mg à 1000 mg LP/j, puis 1500 mg LP/j si besoin, maximum 2000 mg LP/j.</w:t>
      </w:r>
    </w:p>
    <w:p>
      <w:pPr>
        <w:pStyle w:val="ListBullet"/>
      </w:pPr>
      <w:r>
        <w:t>Adaptation à la fonction rénale (Crucial — le lévétiracétam est 95 % éliminé par le rein sous forme inchangée) : ClCr ≥ 80 mL/min : 500-3000 mg/j en 2 prises ; ClCr 50-79 : 500-2000 mg/j en 2 prises ; ClCr 30-49 : 250-1500 mg/j en 2 prises ; ClCr &lt; 30 : 250-1000 mg/j en 2 prises ; hémodialysé : 500-1000 mg/j en 2 prises + dose supplémentaire de 250-500 mg après chaque dialyse.</w:t>
      </w:r>
    </w:p>
    <w:p>
      <w:pPr>
        <w:pStyle w:val="ListBullet"/>
      </w:pPr>
      <w:r>
        <w:t>Enfant &gt; 4 ans : 10-20 mg/kg/j en 2 prises, titration progressive à partir de 10 mg/kg/j ; dose maximale 60 mg/kg/j (sans dépasser 3000 mg/j). Adolescent &gt; 16 ans : posologie adulte. Solution buvable 100 mg/mL utile pour l'enfant.</w:t>
      </w:r>
    </w:p>
    <w:p>
      <w:pPr>
        <w:pStyle w:val="ListBullet"/>
      </w:pPr>
      <w:r>
        <w:t>Sujet âgé : adaptation à la clairance créatinine (qui diminue physiologiquement avec l'âge) — commencer à 250 mg ×2/j et adapter.</w:t>
      </w:r>
    </w:p>
    <w:p>
      <w:pPr>
        <w:pStyle w:val="ListBullet"/>
      </w:pPr>
      <w:r>
        <w:t xml:space="preserve">Durée : </w:t>
      </w:r>
      <w:r>
        <w:rPr>
          <w:b/>
        </w:rPr>
        <w:t>Au long cours</w:t>
      </w:r>
      <w:r>
        <w:t xml:space="preserve"> — traitement au minimum 2-5 ans après la dernière crise d'épilepsie, parfois à vie selon l'étiologie de l'épilepsie. Dans la prophylaxie de la migraine, traitement prolongé, réévaluation tous les 6-12 mois.</w:t>
      </w:r>
    </w:p>
    <w:p>
      <w:pPr>
        <w:pStyle w:val="ListBullet"/>
      </w:pPr>
      <w:r>
        <w:t xml:space="preserve">Moment de la prise : </w:t>
      </w:r>
      <w:r>
        <w:rPr>
          <w:b/>
        </w:rPr>
        <w:t>Pendant ou après les repas</w:t>
      </w:r>
      <w:r>
        <w:t xml:space="preserve"> (mais absorption indépendante de la prise alimentaire). La dernière prise est souvent prise </w:t>
      </w:r>
      <w:r>
        <w:rPr>
          <w:b/>
        </w:rPr>
        <w:t>au coucher</w:t>
      </w:r>
      <w:r>
        <w:t xml:space="preserve"> pour profiter de l'effet sédatif. La </w:t>
      </w:r>
      <w:r>
        <w:rPr>
          <w:b/>
        </w:rPr>
        <w:t>biprise</w:t>
      </w:r>
      <w:r>
        <w:t xml:space="preserve"> (matin-soir) est le schéma standard pour les formes standard. La </w:t>
      </w:r>
      <w:r>
        <w:rPr>
          <w:b/>
        </w:rPr>
        <w:t>monoprise</w:t>
      </w:r>
      <w:r>
        <w:t xml:space="preserve"> (au coucher) est possible avec les formes LP.</w:t>
      </w:r>
    </w:p>
    <w:p>
      <w:r/>
      <w:r>
        <w:rPr>
          <w:b/>
        </w:rPr>
        <w:t>Arbitrage et Bénéfices des Formes Galéniques :</w:t>
      </w:r>
      <w:r/>
    </w:p>
    <w:p>
      <w:r>
        <w:t xml:space="preserve">Le lévétiracétam est disponible en Algérie en </w:t>
      </w:r>
      <w:r>
        <w:rPr>
          <w:b/>
        </w:rPr>
        <w:t>5 dosages oraux</w:t>
      </w:r>
      <w:r>
        <w:t xml:space="preserve"> (250, 500, 750, 1000 mg en comprimés, 100 mg/mL en solution buvable), avec </w:t>
      </w:r>
      <w:r>
        <w:rPr>
          <w:b/>
        </w:rPr>
        <w:t>2 formes LP</w:t>
      </w:r>
      <w:r>
        <w:t xml:space="preserve"> (500 mg et 750 mg), ce qui permet une </w:t>
      </w:r>
      <w:r>
        <w:rPr>
          <w:b/>
        </w:rPr>
        <w:t>grande flexibilité d'adaptation posologique</w:t>
      </w:r>
      <w:r>
        <w:t xml:space="preserve">. La solution buvable 100 mg/mL (5 marques disponibles : EPIXX®, KEPAM®, NEUROCETAM®, VETRAM®, et probablement d'autres) est particulièrement utile pour : (i) les </w:t>
      </w:r>
      <w:r>
        <w:rPr>
          <w:b/>
        </w:rPr>
        <w:t>enfants</w:t>
      </w:r>
      <w:r>
        <w:t xml:space="preserve"> (calcul de la dose en mg/kg) ; (ii) les patients âgés </w:t>
      </w:r>
      <w:r>
        <w:rPr>
          <w:b/>
        </w:rPr>
        <w:t>dysphagiques</w:t>
      </w:r>
      <w:r>
        <w:t xml:space="preserve"> ; (iii) les patients avec </w:t>
      </w:r>
      <w:r>
        <w:rPr>
          <w:b/>
        </w:rPr>
        <w:t>sonde naso-gastrique ou gastrostomie</w:t>
      </w:r>
      <w:r>
        <w:t xml:space="preserve"> ; (iv) l'adaptation fine des doses lors du sevrage progressif. Les comprimés </w:t>
      </w:r>
      <w:r>
        <w:rPr>
          <w:b/>
        </w:rPr>
        <w:t>sécables</w:t>
      </w:r>
      <w:r>
        <w:t xml:space="preserve"> (250 mg Beker, 500 mg LDM, 750 mg BIOCETAM, 1000 mg BIOCETAM) facilitent la titration et le sevrage. Les formes </w:t>
      </w:r>
      <w:r>
        <w:rPr>
          <w:b/>
        </w:rPr>
        <w:t>LP</w:t>
      </w:r>
      <w:r>
        <w:t xml:space="preserve"> (Kepam LP® 500 et 750 mg, Vetram LP® 500 et 750 mg) autorisent une </w:t>
      </w:r>
      <w:r>
        <w:rPr>
          <w:b/>
        </w:rPr>
        <w:t>monoprise quotidienne</w:t>
      </w:r>
      <w:r>
        <w:t xml:space="preserve"> qui améliore significativement l'observance (réduction des oublis, simplification du schéma thérapeutique) — particulièrement utile chez l'adolescent et le patient professionnellement actif. Cependant, la transition entre une forme standard (biprise) et une forme LP (monoprise) doit se faire </w:t>
      </w:r>
      <w:r>
        <w:rPr>
          <w:b/>
        </w:rPr>
        <w:t>à dose totale équivalente</w:t>
      </w:r>
      <w:r>
        <w:t xml:space="preserve"> (par exemple 500 mg ×2/j = 1000 mg LP/j), avec surveillance clinique pendant 2-4 semaines. </w:t>
      </w:r>
      <w:r>
        <w:rPr>
          <w:b/>
        </w:rPr>
        <w:t>Aucune forme injectable IV</w:t>
      </w:r>
      <w:r>
        <w:t xml:space="preserve"> n'est disponible en Algérie (Keppra® IV existe en Europe 100 mg/mL en flacon de 5 mL — utile pour le status epilepticus, la période péri-opératoire, et le patient à jeun), ce qui complique la prise en charge des urgences neurologiques. Pour les patients nécessitant un sevrage, la combinaison de comprimés à différents dosages (250, 500, 750 mg) permet une réduction progressive par paliers de 10-25 %.</w:t>
      </w:r>
    </w:p>
    <w:p>
      <w:r/>
      <w:r>
        <w:rPr>
          <w:b/>
        </w:rPr>
        <w:t>Instructions et Conseils au Patient :</w:t>
      </w:r>
      <w:r/>
    </w:p>
    <w:p>
      <w:pPr>
        <w:pStyle w:val="ListBullet"/>
      </w:pPr>
      <w:r>
        <w:t xml:space="preserve">Communication au comptoir : Expliquer au patient que : (i) le traitement est </w:t>
      </w:r>
      <w:r>
        <w:rPr>
          <w:b/>
        </w:rPr>
        <w:t>au long cours</w:t>
      </w:r>
      <w:r>
        <w:t xml:space="preserve"> et qu'il ne faut jamais l'arrêter brutalement (risque de </w:t>
      </w:r>
      <w:r>
        <w:rPr>
          <w:b/>
        </w:rPr>
        <w:t>réapparition des crises, parfois sous forme d'état de mal épileptique</w:t>
      </w:r>
      <w:r>
        <w:t xml:space="preserve">) ; (ii) les effets indésirables initiaux (somnolence, asthénie) sont transitoires — ne pas arrêter dès les premiers effets ; (iii) la </w:t>
      </w:r>
      <w:r>
        <w:rPr>
          <w:b/>
        </w:rPr>
        <w:t>titration progressive</w:t>
      </w:r>
      <w:r>
        <w:t xml:space="preserve"> est essentielle ; (iv) en cas d'oubli, </w:t>
      </w:r>
      <w:r>
        <w:rPr>
          <w:b/>
        </w:rPr>
        <w:t>prendre la dose oubliée si moins de 8 heures se sont écoulées</w:t>
      </w:r>
      <w:r>
        <w:t xml:space="preserve">, sinon ne pas prendre et continuer le schéma habituel — </w:t>
      </w:r>
      <w:r>
        <w:rPr>
          <w:b/>
        </w:rPr>
        <w:t>ne jamais doubler la dose</w:t>
      </w:r>
      <w:r>
        <w:t xml:space="preserve"> ; (v) </w:t>
      </w:r>
      <w:r>
        <w:rPr>
          <w:b/>
        </w:rPr>
        <w:t>ne pas conduire</w:t>
      </w:r>
      <w:r>
        <w:t xml:space="preserve"> pendant les premières semaines et à chaque augmentation de dose — délai de 1-3 mois pour évaluer la tolérance et l'efficacité ; (vi) </w:t>
      </w:r>
      <w:r>
        <w:rPr>
          <w:b/>
        </w:rPr>
        <w:t>éviter l'alcool</w:t>
      </w:r>
      <w:r>
        <w:t xml:space="preserve"> (potentialisation de la sédation, possible baisse du seuil épileptique) ; (vii) </w:t>
      </w:r>
      <w:r>
        <w:rPr>
          <w:b/>
        </w:rPr>
        <w:t>prévenir le médecin et le pharmacien en cas de grossesse planifiée ou non</w:t>
      </w:r>
      <w:r>
        <w:t xml:space="preserve"> — le lévétiracétam est l'antiépileptique de choix pendant la grossesse mais nécessite une surveillance rapprochée ; (viii) </w:t>
      </w:r>
      <w:r>
        <w:rPr>
          <w:b/>
        </w:rPr>
        <w:t>surveiller l'humeur</w:t>
      </w:r>
      <w:r>
        <w:t xml:space="preserve"> et signaler immédiatement tout changement : irritabilité, agressivité, tristesse, idées noires — </w:t>
      </w:r>
      <w:r>
        <w:rPr>
          <w:b/>
        </w:rPr>
        <w:t>particulièrement chez l'enfant et l'adolescent</w:t>
      </w:r>
      <w:r>
        <w:t xml:space="preserve"> ; (ix) </w:t>
      </w:r>
      <w:r>
        <w:rPr>
          <w:b/>
        </w:rPr>
        <w:t>porter une carte d'identification médicale</w:t>
      </w:r>
      <w:r>
        <w:t xml:space="preserve"> indiquant le traitement antiépileptique ; (x) </w:t>
      </w:r>
      <w:r>
        <w:rPr>
          <w:b/>
        </w:rPr>
        <w:t>signaler tout antécédent psychiatrique</w:t>
      </w:r>
      <w:r>
        <w:t xml:space="preserve"> au médecin prescripteur — le lévétiracétam peut aggraver certains troubles psychiatriques.</w:t>
      </w:r>
    </w:p>
    <w:p>
      <w:pPr>
        <w:pStyle w:val="ListBullet"/>
      </w:pPr>
      <w:r>
        <w:t xml:space="preserve">Mode d'utilisation pratique : Prendre les comprimés </w:t>
      </w:r>
      <w:r>
        <w:rPr>
          <w:b/>
        </w:rPr>
        <w:t>avec un grand verre d'eau</w:t>
      </w:r>
      <w:r>
        <w:t xml:space="preserve">, </w:t>
      </w:r>
      <w:r>
        <w:rPr>
          <w:b/>
        </w:rPr>
        <w:t>pendant ou après les repas</w:t>
      </w:r>
      <w:r>
        <w:t xml:space="preserve">. La solution buvable doit être administrée avec la pipette graduée fournie (vérifier le volume à administrer en fonction de la prescription). Pour les comprimés LP, avaler entier — </w:t>
      </w:r>
      <w:r>
        <w:rPr>
          <w:b/>
        </w:rPr>
        <w:t>ne pas écraser, croquer ou diviser</w:t>
      </w:r>
      <w:r>
        <w:t xml:space="preserve"> (modification de la cinétique de libération). Conserver les comprimés à température ambiante (&lt;25 °C), à l'abri de l'humidité. Tenir hors de portée des enfants. Surveiller la créatininémie au moins annuellement. Tenir un agenda des crises (date, heure, circonstances, déclencheurs) à présenter au neurologue.</w:t>
      </w:r>
    </w:p>
    <w:p>
      <w:r/>
      <w:r>
        <w:rPr>
          <w:b/>
        </w:rPr>
        <w:t>Notes, Règles d'Or &amp; Pièges au Comptoir :</w:t>
      </w:r>
      <w:r/>
    </w:p>
    <w:p>
      <w:pPr>
        <w:pStyle w:val="ListBullet"/>
      </w:pPr>
      <w:r>
        <w:t xml:space="preserve">Piège classique : (i) </w:t>
      </w:r>
      <w:r>
        <w:rPr>
          <w:b/>
        </w:rPr>
        <w:t>non adaptation à la fonction rénale</w:t>
      </w:r>
      <w:r>
        <w:t xml:space="preserve"> chez le sujet âgé — le lévétiracétam est 95 % éliminé par le rein sous forme inchangée, donc une insuffisance rénale même modérée entraîne une accumulation toxique (somnolence sévère, ataxie, confusion, coma) — toujours calculer la clairance créatinine (formule de Cockcroft) chez le sujet &gt; 65 ans et adapter la dose ; (ii) </w:t>
      </w:r>
      <w:r>
        <w:rPr>
          <w:b/>
        </w:rPr>
        <w:t>non surveillance des effets psychiatriques</w:t>
      </w:r>
      <w:r>
        <w:t xml:space="preserve"> — l'irritabilité, l'agressivité et les idées suicidaires sont des effets classiques du lévétiracétam à rechercher systématiquement ; (iii) </w:t>
      </w:r>
      <w:r>
        <w:rPr>
          <w:b/>
        </w:rPr>
        <w:t>oubli de l'information du patient sur le risque de sevrage</w:t>
      </w:r>
      <w:r>
        <w:t xml:space="preserve"> à l'arrêt brutal ; (iv) </w:t>
      </w:r>
      <w:r>
        <w:rPr>
          <w:b/>
        </w:rPr>
        <w:t>confusion avec la lévocétirizine</w:t>
      </w:r>
      <w:r>
        <w:t xml:space="preserve"> (antihistaminique) — erreur de dispensation possible en raison de la similarité des noms — toujours vérifier l'indication ; (v) </w:t>
      </w:r>
      <w:r>
        <w:rPr>
          <w:b/>
        </w:rPr>
        <w:t>oubli de la surveillance NFS et bilan hépatique</w:t>
      </w:r>
      <w:r>
        <w:t xml:space="preserve"> — bien que rares, les troubles hématologiques et la cytolyse hépatique doivent être dépistés ; (vi) </w:t>
      </w:r>
      <w:r>
        <w:rPr>
          <w:b/>
        </w:rPr>
        <w:t>non information du patient sur l'absence d'interaction avec la contraception</w:t>
      </w:r>
      <w:r>
        <w:t xml:space="preserve"> — avantage à souligner chez la femme en âge de procréer ; (vii) </w:t>
      </w:r>
      <w:r>
        <w:rPr>
          <w:b/>
        </w:rPr>
        <w:t>substitution entre forme standard et forme LP sans surveillance</w:t>
      </w:r>
      <w:r>
        <w:t xml:space="preserve"> — surveiller 2-4 semaines après la transition.</w:t>
      </w:r>
    </w:p>
    <w:p>
      <w:pPr>
        <w:pStyle w:val="ListBullet"/>
      </w:pPr>
      <w:r>
        <w:t>Règle de prise : 2 prises par jour à heures régulières (par exemple 8h et 20h) pour les formes standard ; 1 prise par jour au coucher pour les formes LP. Pendant les repas.</w:t>
      </w:r>
    </w:p>
    <w:p>
      <w:pPr>
        <w:pStyle w:val="ListBullet"/>
      </w:pPr>
      <w:r>
        <w:t>Préparation et Conservation : Conservation à température ambiante (&lt;25 °C), à l'abri de l'humidité et de la lumière. La solution buvable se conserve 1 mois après ouverture (vérifier la notice). Pas de préparation magistrale nécessaire. Disponible en boîtes de 30 ou 60 comprimés selon la marque et le dosage ; flacons de 120, 125, 200, 300 mL pour la solution buvable.</w:t>
      </w:r>
    </w:p>
    <w:p>
      <w:pPr>
        <w:pStyle w:val="ListBullet"/>
      </w:pPr>
      <w:r>
        <w:t xml:space="preserve">Piège du surdosage / Substitution : Le surdosage par le lévétiracétam est généralement bénin (somnolence, ataxie, troubles gastro-intestinaux, agitation paradoxale, coma rare) — traitement symptomatique, hémodialyse efficace (élimine 50-60 % en 4 heures). La </w:t>
      </w:r>
      <w:r>
        <w:rPr>
          <w:b/>
        </w:rPr>
        <w:t>substitution</w:t>
      </w:r>
      <w:r>
        <w:t xml:space="preserve"> entre les différentes marques (génériques) de lévétiracétam doit se faire avec </w:t>
      </w:r>
      <w:r>
        <w:rPr>
          <w:b/>
        </w:rPr>
        <w:t>surveillance clinique</w:t>
      </w:r>
      <w:r>
        <w:t xml:space="preserve"> pendant 1 mois en raison de possibles variations d'équivalence bio pharmaceutique (autorisation de substitution générique mais avec un grade d'interchangeabilité à vérifier — préférer le maintien de la même marque si possible, en particulier chez le patient épileptique bien équilibré). Ne pas substituer entre forme standard et forme LP sans avis médical (cinétique différente).</w:t>
      </w:r>
    </w:p>
    <w:p>
      <w:pPr>
        <w:pStyle w:val="Heading2"/>
      </w:pPr>
      <w:r>
        <w:t>4. DCI : Topiramate (Seule)</w:t>
      </w:r>
    </w:p>
    <w:p>
      <w:r/>
      <w:r>
        <w:rPr>
          <w:b/>
        </w:rPr>
        <w:t>Liste des Catégories :</w:t>
      </w:r>
      <w:r>
        <w:t xml:space="preserve"> Antiépileptiques — Modernes (multi-cibles) ; Médicaments de la prophylaxie de la migraine ; Médicaments du syndrome de Lennox-Gastaut ; Médicaments des épilepsies partielles et généralisées ; Liste I des substances vénéneuses.</w:t>
      </w:r>
    </w:p>
    <w:p>
      <w:r>
        <w:t>Le topiramate (Topiclomax® — El Kendi ; Epitomax® RETIRE ; Repanide® NON_RENOUVELABLE) est l'</w:t>
      </w:r>
      <w:r>
        <w:rPr>
          <w:b/>
        </w:rPr>
        <w:t>unique représentant</w:t>
      </w:r>
      <w:r>
        <w:t xml:space="preserve"> de la sous-classe des antiépileptiques multi-cibles modernes. Cette particularité mécanistique — </w:t>
      </w:r>
      <w:r>
        <w:rPr>
          <w:b/>
        </w:rPr>
        <w:t>blocage simultané de quatre cibles pharmacologiques distinctes</w:t>
      </w:r>
      <w:r>
        <w:t xml:space="preserve"> (canaux Na+, AMPA/kainate, potentialisation GABA, anhydrase carbonique) — confère au topiramate une </w:t>
      </w:r>
      <w:r>
        <w:rPr>
          <w:b/>
        </w:rPr>
        <w:t>efficacité large spectre</w:t>
      </w:r>
      <w:r>
        <w:t xml:space="preserve"> mais également un </w:t>
      </w:r>
      <w:r>
        <w:rPr>
          <w:b/>
        </w:rPr>
        <w:t>profil de tolérance complexe</w:t>
      </w:r>
      <w:r>
        <w:t xml:space="preserve"> avec des effets indésirables spécifiques à chaque cible (troubles cognitifs pour les canaux Na+ et AMPA, perte de poids pour le GABA et l'AMPA, lithiase rénale et acidose métabolique pour l'anhydrase carbonique). Le topiramate est également l'</w:t>
      </w:r>
      <w:r>
        <w:rPr>
          <w:b/>
        </w:rPr>
        <w:t>un des deux antiépileptiques modernes tératogènes</w:t>
      </w:r>
      <w:r>
        <w:t xml:space="preserve"> (avec le valproate), ce qui en fait une molécule à utiliser avec précaution chez la femme en âge de procréer. Sa disponibilité en Algérie est réduite à une seule marque active (Topiclomax® El Kendi) en quatre dosages (25, 50, 100, 200 mg), ce qui pose des problèmes d'accessibilité.</w:t>
      </w:r>
    </w:p>
    <w:p>
      <w:r/>
      <w:r>
        <w:rPr>
          <w:b/>
        </w:rPr>
        <w:t>Médicaments disponibles en Algérie (Marques, Laboratoires, Formes et Dosages) :</w:t>
      </w:r>
      <w:r/>
    </w:p>
    <w:p>
      <w:pPr>
        <w:pStyle w:val="ListBullet"/>
      </w:pPr>
      <w:r/>
      <w:r>
        <w:rPr>
          <w:b/>
        </w:rPr>
        <w:t>TOPICLOMAX</w:t>
      </w:r>
      <w:r>
        <w:t xml:space="preserve"> (EL KENDI INDUSTRIE DU MEDICAMENT) — seule marque active</w:t>
      </w:r>
    </w:p>
    <w:p>
      <w:pPr>
        <w:pStyle w:val="ListBullet"/>
      </w:pPr>
      <w:r>
        <w:t>Formes et Dosages : Comprimé pelliculé 25 mg (B/60) ; Comprimé enrobé 50 mg (B/60) ; Comprimé enrobé 100 mg (B/60) ; Comprimé pelliculé 200 mg (B/60)</w:t>
      </w:r>
    </w:p>
    <w:p>
      <w:pPr>
        <w:pStyle w:val="ListBullet"/>
      </w:pPr>
      <w:r>
        <w:t>Statut : Actif</w:t>
      </w:r>
    </w:p>
    <w:p>
      <w:pPr>
        <w:pStyle w:val="ListBullet"/>
      </w:pPr>
      <w:r/>
      <w:r>
        <w:rPr>
          <w:b/>
        </w:rPr>
        <w:t>REPANIDE</w:t>
      </w:r>
      <w:r>
        <w:t xml:space="preserve"> (PHARMALLIANCE)</w:t>
      </w:r>
    </w:p>
    <w:p>
      <w:pPr>
        <w:pStyle w:val="ListBullet"/>
      </w:pPr>
      <w:r>
        <w:t>Formes et Dosages : Comprimé pelliculé 25 mg (B/30) ; 50 mg (B/30) ; 100 mg (B/30)</w:t>
      </w:r>
    </w:p>
    <w:p>
      <w:pPr>
        <w:pStyle w:val="ListBullet"/>
      </w:pPr>
      <w:r>
        <w:t>Statut : NON_RENOUVELABLE</w:t>
      </w:r>
    </w:p>
    <w:p>
      <w:pPr>
        <w:pStyle w:val="ListBullet"/>
      </w:pPr>
      <w:r/>
      <w:r>
        <w:rPr>
          <w:b/>
        </w:rPr>
        <w:t>EPITOMAX</w:t>
      </w:r>
      <w:r>
        <w:t xml:space="preserve"> (JANSSEN CILAG / JANSSEN CILAG SA) — princeps historique</w:t>
      </w:r>
    </w:p>
    <w:p>
      <w:pPr>
        <w:pStyle w:val="ListBullet"/>
      </w:pPr>
      <w:r>
        <w:t>Formes et Dosages : Gélule 15 mg (B/28) ; Gélule 25 mg (B/28) ; Comprimé pelliculé 50 mg (B/28) ; Comprimé pelliculé 100 mg (B/28) ; Comprimé pelliculé 200 mg (B/28)</w:t>
      </w:r>
    </w:p>
    <w:p>
      <w:pPr>
        <w:pStyle w:val="ListBullet"/>
      </w:pPr>
      <w:r>
        <w:t>Statut : RETIRE (toutes formes)</w:t>
      </w:r>
    </w:p>
    <w:p>
      <w:r/>
      <w:r>
        <w:rPr>
          <w:b/>
        </w:rPr>
        <w:t>Point algérien critique</w:t>
      </w:r>
      <w:r>
        <w:t xml:space="preserve"> : Le topiramate princeps (Epitomax® Janssen) est </w:t>
      </w:r>
      <w:r>
        <w:rPr>
          <w:b/>
        </w:rPr>
        <w:t>RETIREE du marché algérien</w:t>
      </w:r>
      <w:r>
        <w:t xml:space="preserve">, et une autre marque (Repanide® Pharmalliance) est </w:t>
      </w:r>
      <w:r>
        <w:rPr>
          <w:b/>
        </w:rPr>
        <w:t>NON_RENOUVELABLE</w:t>
      </w:r>
      <w:r>
        <w:t xml:space="preserve">. Seule la marque Topiclomax® (El Kendi) reste active, avec une gamme complète en quatre dosages. Cette situation impose une </w:t>
      </w:r>
      <w:r>
        <w:rPr>
          <w:b/>
        </w:rPr>
        <w:t>substitution systématique</w:t>
      </w:r>
      <w:r>
        <w:t xml:space="preserve"> des patients sous Epitomax® ou Repanide® vers Topiclomax®, à dose équivalente, avec surveillance clinique pendant 1 mois (variations bio pharmaceutiques possibles). Le pharmacien d'officine doit être informé de cette transition et accompagner le patient.</w:t>
      </w:r>
    </w:p>
    <w:p>
      <w:r/>
      <w:r>
        <w:rPr>
          <w:b/>
        </w:rPr>
        <w:t>Sous-classe et Mécanisme d'action :</w:t>
      </w:r>
      <w:r/>
    </w:p>
    <w:p>
      <w:pPr>
        <w:pStyle w:val="ListBullet"/>
      </w:pPr>
      <w:r>
        <w:t>Sous-classe : Antiépileptique moderne de deuxième génération, multi-cibles (4 cibles pharmacologiques distinctes). Médicament à large spectre, indiqué dans les épilepsies partielles et généralisées, le syndrome de Lennox-Gastaut, et la prophylaxie de la migraine.</w:t>
      </w:r>
    </w:p>
    <w:p>
      <w:pPr>
        <w:pStyle w:val="ListBullet"/>
      </w:pPr>
      <w:r>
        <w:t>Mécanisme d'action : Le topiramate est l'</w:t>
      </w:r>
      <w:r>
        <w:rPr>
          <w:b/>
        </w:rPr>
        <w:t>unique antiépileptique moderne multi-cibles</w:t>
      </w:r>
      <w:r>
        <w:t xml:space="preserve">, agissant simultanément sur quatre cibles pharmacologiques distinctes : (1) </w:t>
      </w:r>
      <w:r>
        <w:rPr>
          <w:b/>
        </w:rPr>
        <w:t>Blocage des canaux sodiques voltage-dépendants à l'état inactivé</w:t>
      </w:r>
      <w:r>
        <w:t xml:space="preserve"> — mécanisme classique partagé avec la carbamazépine et la phénytoïne, mais avec une sélectivité pour les canaux Na+ des neurones épileptiques en activité paroxystique soutenue (réduit la propagation des crises) ; (2) </w:t>
      </w:r>
      <w:r>
        <w:rPr>
          <w:b/>
        </w:rPr>
        <w:t>Blocage des récepteurs AMPA/kainate du glutamate</w:t>
      </w:r>
      <w:r>
        <w:t xml:space="preserve"> — particularité du topiramate qui en fait l'un des rares antiépileptiques anti-excitotoxiques directs ; cette action réduit la transmission glutamatergique excessive impliquée dans la genèse et la propagation des crises, ainsi que dans la sensibilisation centrale de la migraine ; (3) </w:t>
      </w:r>
      <w:r>
        <w:rPr>
          <w:b/>
        </w:rPr>
        <w:t>Potentialisation de l'activité GABAergique</w:t>
      </w:r>
      <w:r>
        <w:t xml:space="preserve"> — augmentation de la fréquence d'ouverture des canaux chlore du récepteur GABA-A par interaction avec un site non benzodiazépinique (effet différent des benzodiazépines qui augmentent la fréquence d'ouverture à un site différent) — responsable d'une partie de l'effet antiépileptique et des effets indésirables sédatifs ; (4) </w:t>
      </w:r>
      <w:r>
        <w:rPr>
          <w:b/>
        </w:rPr>
        <w:t>Inhibition faible de l'anhydrase carbonique</w:t>
      </w:r>
      <w:r>
        <w:t xml:space="preserve"> (iso-enzymes CA-II et CA-IV) — mécanisme partagé avec l'acétazolamide mais d'affinité bien inférieure (100× moins puissant) ; responsable de l'</w:t>
      </w:r>
      <w:r>
        <w:rPr>
          <w:b/>
        </w:rPr>
        <w:t>acidose métabolique hyperchlorémique</w:t>
      </w:r>
      <w:r>
        <w:t xml:space="preserve"> (quasi-constatée, généralement modérée et bien tolérée) et de la </w:t>
      </w:r>
      <w:r>
        <w:rPr>
          <w:b/>
        </w:rPr>
        <w:t>lithiase rénale calcique</w:t>
      </w:r>
      <w:r>
        <w:t xml:space="preserve"> (alcalinisation urinaire et hypercalciurie). Cette diversité mécanistique explique le profil d'efficacité large spectre du topiramate mais aussi la complexité de son profil de tolérance.</w:t>
      </w:r>
    </w:p>
    <w:p>
      <w:r/>
      <w:r>
        <w:rPr>
          <w:b/>
        </w:rPr>
        <w:t>Profil Pharmacologique :</w:t>
      </w:r>
      <w:r/>
    </w:p>
    <w:p>
      <w:pPr>
        <w:pStyle w:val="ListBullet"/>
      </w:pPr>
      <w:r>
        <w:t xml:space="preserve">Indications : (i) </w:t>
      </w:r>
      <w:r>
        <w:rPr>
          <w:b/>
        </w:rPr>
        <w:t>Épilepsie partielle avec ou sans généralisation secondaire de l'adulte et de l'enfant &gt; 2 ans</w:t>
      </w:r>
      <w:r>
        <w:t xml:space="preserve"> en monothérapie et en association ; (ii) </w:t>
      </w:r>
      <w:r>
        <w:rPr>
          <w:b/>
        </w:rPr>
        <w:t>Épilepsie généralisée tonico-clonique primaire</w:t>
      </w:r>
      <w:r>
        <w:t xml:space="preserve"> de l'adulte et de l'enfant &gt; 2 ans ; (iii) </w:t>
      </w:r>
      <w:r>
        <w:rPr>
          <w:b/>
        </w:rPr>
        <w:t>Syndrome de Lennox-Gastaut</w:t>
      </w:r>
      <w:r>
        <w:t xml:space="preserve"> (encéphalopathie épileptique de l'enfant avec crises atoniques, toniques et absence atypique) — indication AMM ; (iv) </w:t>
      </w:r>
      <w:r>
        <w:rPr>
          <w:b/>
        </w:rPr>
        <w:t>prophylaxie de la migraine</w:t>
      </w:r>
      <w:r>
        <w:t xml:space="preserve"> chez l'adulte — indication AMM (efficacité démontrée avec réduction de la fréquence des crises ≥ 50 % chez 50 % des patients) ; (v) Hors AMM : </w:t>
      </w:r>
      <w:r>
        <w:rPr>
          <w:b/>
        </w:rPr>
        <w:t>trouble bipolaire</w:t>
      </w:r>
      <w:r>
        <w:t xml:space="preserve"> (en association, traitement de seconde intention), </w:t>
      </w:r>
      <w:r>
        <w:rPr>
          <w:b/>
        </w:rPr>
        <w:t>sevrage alcoolique</w:t>
      </w:r>
      <w:r>
        <w:t xml:space="preserve"> (alternative à la carbamazépine et aux benzodiazépines), </w:t>
      </w:r>
      <w:r>
        <w:rPr>
          <w:b/>
        </w:rPr>
        <w:t>binge eating disorder</w:t>
      </w:r>
      <w:r>
        <w:t xml:space="preserve"> (hyperphagie boulimique, AMM aux États-Unis), </w:t>
      </w:r>
      <w:r>
        <w:rPr>
          <w:b/>
        </w:rPr>
        <w:t>obésité</w:t>
      </w:r>
      <w:r>
        <w:t xml:space="preserve"> (usage limité en raison des effets indésirables cognitifs), </w:t>
      </w:r>
      <w:r>
        <w:rPr>
          <w:b/>
        </w:rPr>
        <w:t>névralgie du trijumeau</w:t>
      </w:r>
      <w:r>
        <w:t xml:space="preserve"> (seconde intention), </w:t>
      </w:r>
      <w:r>
        <w:rPr>
          <w:b/>
        </w:rPr>
        <w:t>syndrome de Tourette</w:t>
      </w:r>
      <w:r>
        <w:t xml:space="preserve">, </w:t>
      </w:r>
      <w:r>
        <w:rPr>
          <w:b/>
        </w:rPr>
        <w:t>douleurs neuropathiques</w:t>
      </w:r>
      <w:r>
        <w:t xml:space="preserve"> (efficacité modeste), </w:t>
      </w:r>
      <w:r>
        <w:rPr>
          <w:b/>
        </w:rPr>
        <w:t>prévention des rechutes alcooliques</w:t>
      </w:r>
      <w:r>
        <w:t>.</w:t>
      </w:r>
    </w:p>
    <w:p>
      <w:pPr>
        <w:pStyle w:val="ListBullet"/>
      </w:pPr>
      <w:r>
        <w:t xml:space="preserve">Contre-indications : (i) </w:t>
      </w:r>
      <w:r>
        <w:rPr>
          <w:b/>
        </w:rPr>
        <w:t>hypersensibilité au topiramate</w:t>
      </w:r>
      <w:r>
        <w:t xml:space="preserve"> ; (ii) </w:t>
      </w:r>
      <w:r>
        <w:rPr>
          <w:b/>
        </w:rPr>
        <w:t>grossesse</w:t>
      </w:r>
      <w:r>
        <w:t xml:space="preserve"> (sauf situations exceptionnelles — le topiramate est tératogène : fente labio-palatine, hypoplasie des phalanges, retard de croissance intra-utérin) ; (iii) </w:t>
      </w:r>
      <w:r>
        <w:rPr>
          <w:b/>
        </w:rPr>
        <w:t>allaitement</w:t>
      </w:r>
      <w:r>
        <w:t xml:space="preserve"> (à éviter par prudence) ; (iv) </w:t>
      </w:r>
      <w:r>
        <w:rPr>
          <w:b/>
        </w:rPr>
        <w:t>antécédents de lithiase rénale calcique</w:t>
      </w:r>
      <w:r>
        <w:t xml:space="preserve"> (risque accru de récidive — précaution majeure) ; (v) </w:t>
      </w:r>
      <w:r>
        <w:rPr>
          <w:b/>
        </w:rPr>
        <w:t>glaucome aigu à angle fermé</w:t>
      </w:r>
      <w:r>
        <w:t xml:space="preserve"> (le topiramate peut précipiter une crise par œdème cilio-choroïdien) ; (vi) </w:t>
      </w:r>
      <w:r>
        <w:rPr>
          <w:b/>
        </w:rPr>
        <w:t>insuffisance rénale sévère</w:t>
      </w:r>
      <w:r>
        <w:t xml:space="preserve"> (ClCr &lt; 30 mL/min — adapter obligatoirement) ; (vii) </w:t>
      </w:r>
      <w:r>
        <w:rPr>
          <w:b/>
        </w:rPr>
        <w:t>acidose métabolique préexistante</w:t>
      </w:r>
      <w:r>
        <w:t xml:space="preserve"> ; (viii) </w:t>
      </w:r>
      <w:r>
        <w:rPr>
          <w:b/>
        </w:rPr>
        <w:t>hypokaliémie</w:t>
      </w:r>
      <w:r>
        <w:t xml:space="preserve"> (à corriger avant initiation) ; (ix) précaution chez les patients aux </w:t>
      </w:r>
      <w:r>
        <w:rPr>
          <w:b/>
        </w:rPr>
        <w:t>antécédents psychiatriques</w:t>
      </w:r>
      <w:r>
        <w:t xml:space="preserve"> (risque de décompensation dépressive, idéation suicidaire) ; (x) précaution chez le sujet âgé (adaptation à la fonction rénale, surveillance cognitive).</w:t>
      </w:r>
    </w:p>
    <w:p>
      <w:pPr>
        <w:pStyle w:val="ListBullet"/>
      </w:pPr>
      <w:r>
        <w:t xml:space="preserve">Effets Indésirables : Profil dominé par les effets centraux dose-dépendants : (i) </w:t>
      </w:r>
      <w:r>
        <w:rPr>
          <w:b/>
        </w:rPr>
        <w:t>troubles cognitifs</w:t>
      </w:r>
      <w:r>
        <w:t xml:space="preserve"> — effet classique et limitant du topiramate (ralentissement idéatoire, troubles du langage avec difficulté à trouver les mots — "word finding difficulty" — troubles mnésiques, difficultés de concentration) — particulièrement à doses &gt; 200 mg/j et chez le sujet âgé (surnom "Dopamax" en raison de la "confusion" induite) ; (ii) </w:t>
      </w:r>
      <w:r>
        <w:rPr>
          <w:b/>
        </w:rPr>
        <w:t>somnolence et fatigue</w:t>
      </w:r>
      <w:r>
        <w:t xml:space="preserve"> (très fréquents, dose-dépendants) ; (iii) </w:t>
      </w:r>
      <w:r>
        <w:rPr>
          <w:b/>
        </w:rPr>
        <w:t>vertiges et étourdissements</w:t>
      </w:r>
      <w:r>
        <w:t xml:space="preserve"> ; (iv) </w:t>
      </w:r>
      <w:r>
        <w:rPr>
          <w:b/>
        </w:rPr>
        <w:t>ataxie et troubles de la coordination</w:t>
      </w:r>
      <w:r>
        <w:t xml:space="preserve"> ; (v) </w:t>
      </w:r>
      <w:r>
        <w:rPr>
          <w:b/>
        </w:rPr>
        <w:t>troubles visuels</w:t>
      </w:r>
      <w:r>
        <w:t xml:space="preserve"> : vision floue, diplopie, nystagmus, et rarement </w:t>
      </w:r>
      <w:r>
        <w:rPr>
          <w:b/>
        </w:rPr>
        <w:t>glaucome aigu à angle fermé</w:t>
      </w:r>
      <w:r>
        <w:t xml:space="preserve"> (urgence ophtalmologique — arrêt immédiat du topiramate) ; (vi) </w:t>
      </w:r>
      <w:r>
        <w:rPr>
          <w:b/>
        </w:rPr>
        <w:t>perte de poids</w:t>
      </w:r>
      <w:r>
        <w:t xml:space="preserve"> (effet indésirable paradoxal mais recherché par certains patients — 5-10 % du poids initial chez 10-20 % des patients, particulièrement à doses &gt; 200 mg/j) — par anorexie et modification du goût ; (vii) </w:t>
      </w:r>
      <w:r>
        <w:rPr>
          <w:b/>
        </w:rPr>
        <w:t>paresthésies des extrémités</w:t>
      </w:r>
      <w:r>
        <w:t xml:space="preserve"> et de la région péribuccale (très fréquentes, 30-50 % des patients — liées à l'inhibition de l'anhydrase carbonique, souvent bénignes mais parfois invalidantes) ; (viii) </w:t>
      </w:r>
      <w:r>
        <w:rPr>
          <w:b/>
        </w:rPr>
        <w:t>lithiase rénale calcique</w:t>
      </w:r>
      <w:r>
        <w:t xml:space="preserve"> (5-10 % des patients — particulièrement chez les hommes, les patients à antécédents lithiasiques, et les patients à apports hydriques insuffisants) ; (ix) </w:t>
      </w:r>
      <w:r>
        <w:rPr>
          <w:b/>
        </w:rPr>
        <w:t>acidose métabolique hyperchlorémique</w:t>
      </w:r>
      <w:r>
        <w:t xml:space="preserve"> (quasi-constante, généralement modérée (bicarbonates &lt; 20 mmol/L) — surveiller par ionogramme) ; (x) </w:t>
      </w:r>
      <w:r>
        <w:rPr>
          <w:b/>
        </w:rPr>
        <w:t>hypokaliémie</w:t>
      </w:r>
      <w:r>
        <w:t xml:space="preserve"> (par fuite tubulaire rénale compensatoire à l'acidose) ; (xi) </w:t>
      </w:r>
      <w:r>
        <w:rPr>
          <w:b/>
        </w:rPr>
        <w:t>troubles gastro-intestinaux</w:t>
      </w:r>
      <w:r>
        <w:t xml:space="preserve"> (nausées, vomissements, sécheresse buccale, modification du goût — particulièrement des boissons gazeuses, dysgueusie) ; (xii) </w:t>
      </w:r>
      <w:r>
        <w:rPr>
          <w:b/>
        </w:rPr>
        <w:t>troubles psychiatriques</w:t>
      </w:r>
      <w:r>
        <w:t xml:space="preserve"> : dépression (5-10 %), anxiété, nervosité, irritabilité, idées suicidaires (1-2 %, à surveiller), rarement psychose (0,5 %) ; (xiii) </w:t>
      </w:r>
      <w:r>
        <w:rPr>
          <w:b/>
        </w:rPr>
        <w:t>troubles hématologiques</w:t>
      </w:r>
      <w:r>
        <w:t xml:space="preserve"> rares : leucopénie ; (xiv) </w:t>
      </w:r>
      <w:r>
        <w:rPr>
          <w:b/>
        </w:rPr>
        <w:t>hyperammoniémie</w:t>
      </w:r>
      <w:r>
        <w:t xml:space="preserve"> (rare, peut provoquer une encéphalopathie) ; (xv) </w:t>
      </w:r>
      <w:r>
        <w:rPr>
          <w:b/>
        </w:rPr>
        <w:t>hypersudation</w:t>
      </w:r>
      <w:r>
        <w:t xml:space="preserve"> ; (xvi) </w:t>
      </w:r>
      <w:r>
        <w:rPr>
          <w:b/>
        </w:rPr>
        <w:t>chute de cheveux</w:t>
      </w:r>
      <w:r>
        <w:t xml:space="preserve"> (rares cas rapportés) ; (xvii) </w:t>
      </w:r>
      <w:r>
        <w:rPr>
          <w:b/>
        </w:rPr>
        <w:t>syndrome de sevrage</w:t>
      </w:r>
      <w:r>
        <w:t xml:space="preserve"> à l'arrêt brutal (recrudescence des crises — ne jamais arrêter brutalement) ; (xviii) très rares : </w:t>
      </w:r>
      <w:r>
        <w:rPr>
          <w:b/>
        </w:rPr>
        <w:t>réactions cutanées sévères</w:t>
      </w:r>
      <w:r>
        <w:t xml:space="preserve"> (Stevens-Johnson, nécrolyse épidermique toxique — particulièrement chez les porteurs de l'allèle HLA-B*1502, populations asiatiques), </w:t>
      </w:r>
      <w:r>
        <w:rPr>
          <w:b/>
        </w:rPr>
        <w:t>œdème maculaire</w:t>
      </w:r>
      <w:r>
        <w:t xml:space="preserve">, </w:t>
      </w:r>
      <w:r>
        <w:rPr>
          <w:b/>
        </w:rPr>
        <w:t>néphrocalcinose</w:t>
      </w:r>
      <w:r>
        <w:t xml:space="preserve">, </w:t>
      </w:r>
      <w:r>
        <w:rPr>
          <w:b/>
        </w:rPr>
        <w:t>hyperthermie maligne</w:t>
      </w:r>
      <w:r>
        <w:t xml:space="preserve"> (cas isolés).</w:t>
      </w:r>
    </w:p>
    <w:p>
      <w:r/>
      <w:r>
        <w:rPr>
          <w:b/>
        </w:rPr>
        <w:t>Prévention et Gestion des Effets Indésirables :</w:t>
      </w:r>
      <w:r/>
    </w:p>
    <w:p>
      <w:pPr>
        <w:pStyle w:val="ListBullet"/>
      </w:pPr>
      <w:r>
        <w:t xml:space="preserve">Mesures Préventives : (i) </w:t>
      </w:r>
      <w:r>
        <w:rPr>
          <w:b/>
        </w:rPr>
        <w:t>augmentation posologique progressive</w:t>
      </w:r>
      <w:r>
        <w:t xml:space="preserve"> selon le schéma recommandé : 25 mg le soir pendant 1 semaine, puis 25 mg ×2/j pendant 1 semaine, puis 50 mg ×2/j, puis 75 mg ×2/j, puis 100 mg ×2/j (titration sur 4-8 semaines — particulièrement importante pour limiter les troubles cognitifs) ; (ii) </w:t>
      </w:r>
      <w:r>
        <w:rPr>
          <w:b/>
        </w:rPr>
        <w:t>hyperhydratation</w:t>
      </w:r>
      <w:r>
        <w:t xml:space="preserve"> (≥ 2 L/j d'eau) pour prévenir la lithiase rénale calcique et l'acidose métabolique — conseil essentiel ; (iii) </w:t>
      </w:r>
      <w:r>
        <w:rPr>
          <w:b/>
        </w:rPr>
        <w:t>surveillance de l'état psychiatrique</w:t>
      </w:r>
      <w:r>
        <w:t xml:space="preserve"> (idéation suicidaire — classe-effect) ; (iv) </w:t>
      </w:r>
      <w:r>
        <w:rPr>
          <w:b/>
        </w:rPr>
        <w:t>surveillance de la fonction rénale</w:t>
      </w:r>
      <w:r>
        <w:t xml:space="preserve"> (créatininémie et clairance) à l'initiation puis annuellement — adaptation posologique obligatoire si ClCr &lt; 70 mL/min ; (v) </w:t>
      </w:r>
      <w:r>
        <w:rPr>
          <w:b/>
        </w:rPr>
        <w:t>surveillance de l'ionogramme</w:t>
      </w:r>
      <w:r>
        <w:t xml:space="preserve"> (acidose métabolique, hypokaliémie) à l'initiation puis semestriellement — bicarbonate, potassium, chlore ; (vi) </w:t>
      </w:r>
      <w:r>
        <w:rPr>
          <w:b/>
        </w:rPr>
        <w:t>surveillance échographique rénale</w:t>
      </w:r>
      <w:r>
        <w:t xml:space="preserve"> en cas d'antécédents lithiasiques (recherche de calculs asymptomatiques) ; (vii) </w:t>
      </w:r>
      <w:r>
        <w:rPr>
          <w:b/>
        </w:rPr>
        <w:t>surveillance ophtalmologique</w:t>
      </w:r>
      <w:r>
        <w:t xml:space="preserve"> en cas de troubles visuels (recherche de glaucome aigu à angle fermé — urgence) ; (viii) </w:t>
      </w:r>
      <w:r>
        <w:rPr>
          <w:b/>
        </w:rPr>
        <w:t>surveillance du poids</w:t>
      </w:r>
      <w:r>
        <w:t xml:space="preserve"> à l'initiation puis mensuelle (certaines pertes de poids peuvent être bénéfiques chez le diabétique ou l'obèse, mais nécessitent surveillance) ; (ix) </w:t>
      </w:r>
      <w:r>
        <w:rPr>
          <w:b/>
        </w:rPr>
        <w:t>information du patient sur le syndrome de sevrage</w:t>
      </w:r>
      <w:r>
        <w:t xml:space="preserve"> et l'interdiction d'arrêter brutalement le traitement — sevrage à effectuer sur 2-4 semaines (réduction de 25 % tous les 7 jours) ; (x) </w:t>
      </w:r>
      <w:r>
        <w:rPr>
          <w:b/>
        </w:rPr>
        <w:t>prudence à la conduite automobile</w:t>
      </w:r>
      <w:r>
        <w:t xml:space="preserve"> pendant les premières semaines et à chaque augmentation de dose ; (xi) </w:t>
      </w:r>
      <w:r>
        <w:rPr>
          <w:b/>
        </w:rPr>
        <w:t>prévention de la grossesse</w:t>
      </w:r>
      <w:r>
        <w:t xml:space="preserve"> chez la femme en âge de procréer — le topiramate est tératogène (fente labio-palatine), donc </w:t>
      </w:r>
      <w:r>
        <w:rPr>
          <w:b/>
        </w:rPr>
        <w:t>contraception efficace obligatoire</w:t>
      </w:r>
      <w:r>
        <w:t xml:space="preserve"> (mais attention : le topiramate à doses &gt; 200 mg/j réduit l'efficacité des contraceptifs oraux — utiliser une méthode barrière associée) ; (xii) </w:t>
      </w:r>
      <w:r>
        <w:rPr>
          <w:b/>
        </w:rPr>
        <w:t>bilan cognitif</w:t>
      </w:r>
      <w:r>
        <w:t xml:space="preserve"> chez le sujet âgé et en cas de troubles cognitifs persistants (MoCA, MMSE).</w:t>
      </w:r>
    </w:p>
    <w:p>
      <w:pPr>
        <w:pStyle w:val="ListBullet"/>
      </w:pPr>
      <w:r>
        <w:t xml:space="preserve">Conduite à Tenir : (i) en cas de </w:t>
      </w:r>
      <w:r>
        <w:rPr>
          <w:b/>
        </w:rPr>
        <w:t>troubles cognitifs</w:t>
      </w:r>
      <w:r>
        <w:t xml:space="preserve"> (word-finding difficulty, ralentissement idéatoire) : réduire la dose (souvent efficace), transférer une plus grande partie de la dose au coucher, envisager une alternative (lévétiracétam, lamotrigine) si persistance ; (ii) en cas de </w:t>
      </w:r>
      <w:r>
        <w:rPr>
          <w:b/>
        </w:rPr>
        <w:t>lithiase rénale</w:t>
      </w:r>
      <w:r>
        <w:t xml:space="preserve"> : hyperhydratation (3 L/j), arrêt si calculs récidivants ou insuffisance rénale, envisager une alternative ; (iii) en cas d'</w:t>
      </w:r>
      <w:r>
        <w:rPr>
          <w:b/>
        </w:rPr>
        <w:t>acidose métabolique symptomatique</w:t>
      </w:r>
      <w:r>
        <w:t xml:space="preserve"> (hyperventilation compensatoire) : alcalinisation (bicarbonate de sodium 1-2 g/j per os), réduire la dose si besoin, arrêt si acidose sévère (bicarbonates &lt; 16 mmol/L) ; (iv) en cas de </w:t>
      </w:r>
      <w:r>
        <w:rPr>
          <w:b/>
        </w:rPr>
        <w:t>glaucome aigu à angle fermé</w:t>
      </w:r>
      <w:r>
        <w:t xml:space="preserve"> (œil rouge douloureux, baisse d'acuité visuelle, myopisation transitoire) : </w:t>
      </w:r>
      <w:r>
        <w:rPr>
          <w:b/>
        </w:rPr>
        <w:t>arrêt immédiat du topiramate</w:t>
      </w:r>
      <w:r>
        <w:t xml:space="preserve"> et </w:t>
      </w:r>
      <w:r>
        <w:rPr>
          <w:b/>
        </w:rPr>
        <w:t>consultation ophtalmologique urgente</w:t>
      </w:r>
      <w:r>
        <w:t xml:space="preserve"> (pilocrarpine, mannitol, acétazolamide IV, chirurgie au laser) — souvent régression à l'arrêt ; (v) en cas de </w:t>
      </w:r>
      <w:r>
        <w:rPr>
          <w:b/>
        </w:rPr>
        <w:t>troubles psychiatriques</w:t>
      </w:r>
      <w:r>
        <w:t xml:space="preserve"> : arrêt et consultation psychiatrique urgente ; (vi) en cas de </w:t>
      </w:r>
      <w:r>
        <w:rPr>
          <w:b/>
        </w:rPr>
        <w:t>perte de poids excessive</w:t>
      </w:r>
      <w:r>
        <w:t xml:space="preserve"> (&gt; 10 %) : conseil diététique, réduction de dose si besoin, envisager une alternative ; (vii) en cas de </w:t>
      </w:r>
      <w:r>
        <w:rPr>
          <w:b/>
        </w:rPr>
        <w:t>grossesse non planifiée</w:t>
      </w:r>
      <w:r>
        <w:t xml:space="preserve"> : </w:t>
      </w:r>
      <w:r>
        <w:rPr>
          <w:b/>
        </w:rPr>
        <w:t>ne pas arrêter brutalement</w:t>
      </w:r>
      <w:r>
        <w:t xml:space="preserve"> (risque de réapparition des crises avec état de mal épileptique), consulter le neurologue pour </w:t>
      </w:r>
      <w:r>
        <w:rPr>
          <w:b/>
        </w:rPr>
        <w:t>substitution par le lévétiracétam</w:t>
      </w:r>
      <w:r>
        <w:t xml:space="preserve"> (antiépileptique de choix pendant la grossesse) ; échographie morphologique de référence à 22 SA ; avis spécialisé au CRAT.</w:t>
      </w:r>
    </w:p>
    <w:p>
      <w:r/>
      <w:r>
        <w:rPr>
          <w:b/>
        </w:rPr>
        <w:t>Interactions Importantes :</w:t>
      </w:r>
      <w:r/>
    </w:p>
    <w:p>
      <w:pPr>
        <w:pStyle w:val="ListBullet"/>
      </w:pPr>
      <w:r/>
      <w:r>
        <w:rPr>
          <w:b/>
        </w:rPr>
        <w:t>Topiramate + autres inhibiteurs de l'anhydrase carbonique (acétazolamide, zonisamide)</w:t>
      </w:r>
      <w:r>
        <w:t xml:space="preserve"> : </w:t>
      </w:r>
      <w:r>
        <w:rPr>
          <w:b/>
        </w:rPr>
        <w:t>acidose métabolique additive</w:t>
      </w:r>
      <w:r>
        <w:t xml:space="preserve"> — éviter l'association ou surveiller étroitement l'ionogramme.</w:t>
      </w:r>
    </w:p>
    <w:p>
      <w:pPr>
        <w:pStyle w:val="ListBullet"/>
      </w:pPr>
      <w:r/>
      <w:r>
        <w:rPr>
          <w:b/>
        </w:rPr>
        <w:t>Topiramate + contraceptifs oraux (estroprogestatifs)</w:t>
      </w:r>
      <w:r>
        <w:t xml:space="preserve"> : </w:t>
      </w:r>
      <w:r>
        <w:rPr>
          <w:b/>
        </w:rPr>
        <w:t>baisse d'efficacité contraceptive</w:t>
      </w:r>
      <w:r>
        <w:t xml:space="preserve"> à doses &gt; 200 mg/j (induction du CYP3A4 par le topiramate) — utiliser une méthode barrière associée ou une contraception progestative pure (desogestrel) ; à doses &lt; 200 mg/j, l'interaction est négligeable. Particulièrement important car le topiramate est tératogène.</w:t>
      </w:r>
    </w:p>
    <w:p>
      <w:pPr>
        <w:pStyle w:val="ListBullet"/>
      </w:pPr>
      <w:r/>
      <w:r>
        <w:rPr>
          <w:b/>
        </w:rPr>
        <w:t>Topiramate + autres antiépileptiques enzymo-inducteurs (carbamazépine, phénobarbital, phénytoïne)</w:t>
      </w:r>
      <w:r>
        <w:t xml:space="preserve"> : augmentation du métabolisme du topiramate (réduction des concentrations de 40-50 %) — possible nécessité d'augmenter la dose de topiramate.</w:t>
      </w:r>
    </w:p>
    <w:p>
      <w:pPr>
        <w:pStyle w:val="ListBullet"/>
      </w:pPr>
      <w:r/>
      <w:r>
        <w:rPr>
          <w:b/>
        </w:rPr>
        <w:t>Topiramate + valproate</w:t>
      </w:r>
      <w:r>
        <w:t xml:space="preserve"> : augmentation des concentrations de topiramate (compétition métabolique) — surveillance clinique et biologique (risque d'hyperammoniémie majorée).</w:t>
      </w:r>
    </w:p>
    <w:p>
      <w:pPr>
        <w:pStyle w:val="ListBullet"/>
      </w:pPr>
      <w:r/>
      <w:r>
        <w:rPr>
          <w:b/>
        </w:rPr>
        <w:t>Topiramate + digoxine</w:t>
      </w:r>
      <w:r>
        <w:t xml:space="preserve"> : réduction des concentrations de digoxine (20-30 %) — surveiller.</w:t>
      </w:r>
    </w:p>
    <w:p>
      <w:pPr>
        <w:pStyle w:val="ListBullet"/>
      </w:pPr>
      <w:r/>
      <w:r>
        <w:rPr>
          <w:b/>
        </w:rPr>
        <w:t>Topiramate + lithium</w:t>
      </w:r>
      <w:r>
        <w:t xml:space="preserve"> : cas rapportés de toxicité du lithium — surveiller les concentrations.</w:t>
      </w:r>
    </w:p>
    <w:p>
      <w:pPr>
        <w:pStyle w:val="ListBullet"/>
      </w:pPr>
      <w:r/>
      <w:r>
        <w:rPr>
          <w:b/>
        </w:rPr>
        <w:t>Topiramate + pilocarpine, cholinergiques</w:t>
      </w:r>
      <w:r>
        <w:t xml:space="preserve"> : interaction dans le glaucome.</w:t>
      </w:r>
    </w:p>
    <w:p>
      <w:pPr>
        <w:pStyle w:val="ListBullet"/>
      </w:pPr>
      <w:r/>
      <w:r>
        <w:rPr>
          <w:b/>
        </w:rPr>
        <w:t>Topiramate + alcool, benzodiazépines, autres dépresseurs du SNC</w:t>
      </w:r>
      <w:r>
        <w:t xml:space="preserve"> : potentialisation de la sédation.</w:t>
      </w:r>
    </w:p>
    <w:p>
      <w:pPr>
        <w:pStyle w:val="ListBullet"/>
      </w:pPr>
      <w:r/>
      <w:r>
        <w:rPr>
          <w:b/>
        </w:rPr>
        <w:t>Topiramate + IEC, diurétiques épargneurs de potassium</w:t>
      </w:r>
      <w:r>
        <w:t xml:space="preserve"> : risque accru d'acidose et d'hyperkaliémie.</w:t>
      </w:r>
    </w:p>
    <w:p>
      <w:pPr>
        <w:pStyle w:val="ListBullet"/>
      </w:pPr>
      <w:r/>
      <w:r>
        <w:rPr>
          <w:b/>
        </w:rPr>
        <w:t>Topiramate + risques de calculs (cristallurie)</w:t>
      </w:r>
      <w:r>
        <w:t xml:space="preserve"> : augmenter l'hydratation.</w:t>
      </w:r>
    </w:p>
    <w:p>
      <w:r/>
      <w:r>
        <w:rPr>
          <w:b/>
        </w:rPr>
        <w:t>Grossesse et Allaitement :</w:t>
      </w:r>
      <w:r/>
    </w:p>
    <w:p>
      <w:pPr>
        <w:pStyle w:val="ListBullet"/>
      </w:pPr>
      <w:r>
        <w:t xml:space="preserve">Grossesse : Le topiramate est </w:t>
      </w:r>
      <w:r>
        <w:rPr>
          <w:b/>
        </w:rPr>
        <w:t>tératogène chez l'humain</w:t>
      </w:r>
      <w:r>
        <w:t xml:space="preserve"> et est </w:t>
      </w:r>
      <w:r>
        <w:rPr>
          <w:b/>
        </w:rPr>
        <w:t>contre-indiqué pendant la grossesse</w:t>
      </w:r>
      <w:r>
        <w:t xml:space="preserve"> sauf situations exceptionnelles où aucune alternative n'est disponible. Le risque majeur est la </w:t>
      </w:r>
      <w:r>
        <w:rPr>
          <w:b/>
        </w:rPr>
        <w:t>fente labio-palatine (cleft lip/palate)</w:t>
      </w:r>
      <w:r>
        <w:t xml:space="preserve"> — le risque est multiplié par </w:t>
      </w:r>
      <w:r>
        <w:rPr>
          <w:b/>
        </w:rPr>
        <w:t>5 à 10</w:t>
      </w:r>
      <w:r>
        <w:t xml:space="preserve"> par rapport à la population générale (≈ 1/100 vs 1/1000-1/700 en population générale), particulièrement si le topiramate est pris au 1er trimestre (période de fermeture des arcades branchiales). D'autres malformations ont été rapportées : </w:t>
      </w:r>
      <w:r>
        <w:rPr>
          <w:b/>
        </w:rPr>
        <w:t>hypoplasie des phalanges</w:t>
      </w:r>
      <w:r>
        <w:t xml:space="preserve">, </w:t>
      </w:r>
      <w:r>
        <w:rPr>
          <w:b/>
        </w:rPr>
        <w:t>anomalies squelettiques</w:t>
      </w:r>
      <w:r>
        <w:t xml:space="preserve">, </w:t>
      </w:r>
      <w:r>
        <w:rPr>
          <w:b/>
        </w:rPr>
        <w:t>microcéphalie</w:t>
      </w:r>
      <w:r>
        <w:t xml:space="preserve">, </w:t>
      </w:r>
      <w:r>
        <w:rPr>
          <w:b/>
        </w:rPr>
        <w:t>retard de croissance intra-utérin (RCIU)</w:t>
      </w:r>
      <w:r>
        <w:t xml:space="preserve">, </w:t>
      </w:r>
      <w:r>
        <w:rPr>
          <w:b/>
        </w:rPr>
        <w:t>poids de naissance réduit</w:t>
      </w:r>
      <w:r>
        <w:t xml:space="preserve"> (≈ 200-300 g de moins que la moyenne). Le CRAT classe le topiramate comme </w:t>
      </w:r>
      <w:r>
        <w:rPr>
          <w:b/>
        </w:rPr>
        <w:t>contre-indiqué pendant la grossesse</w:t>
      </w:r>
      <w:r>
        <w:t xml:space="preserve">. L'ILAE (2019) recommande d'éviter le topiramate chez toute femme en âge de procréer n'utilisant pas de contraception efficace, et de </w:t>
      </w:r>
      <w:r>
        <w:rPr>
          <w:b/>
        </w:rPr>
        <w:t>substituer le topiramate par le lévétiracétam</w:t>
      </w:r>
      <w:r>
        <w:t xml:space="preserve"> (ou la lamotrigine) avant une grossesse planifiée. Si une grossesse est engagée sous topiramate : (i) </w:t>
      </w:r>
      <w:r>
        <w:rPr>
          <w:b/>
        </w:rPr>
        <w:t>ne pas arrêter brutalement</w:t>
      </w:r>
      <w:r>
        <w:t xml:space="preserve"> (risque de réapparition des crises avec état de mal épileptique — plus dangereux pour le fœtus que le topiramate lui-même) ; (ii) consulter le neurologue pour substitution progressive par le lévétiracétam ; (iii) échographie morphologique de référence à 22 SA ; (iv) suivi spécialisé au CRAT.</w:t>
      </w:r>
    </w:p>
    <w:p>
      <w:pPr>
        <w:pStyle w:val="ListBullet"/>
      </w:pPr>
      <w:r>
        <w:t xml:space="preserve">Allaitement : Selon le CRAT, le topiramate est </w:t>
      </w:r>
      <w:r>
        <w:rPr>
          <w:b/>
        </w:rPr>
        <w:t>déconseillé pendant l'allaitement</w:t>
      </w:r>
      <w:r>
        <w:t xml:space="preserve"> en raison du passage significatif dans le lait maternel (rapport lait/plasma ≈ 0,5-0,8) et du risque de </w:t>
      </w:r>
      <w:r>
        <w:rPr>
          <w:b/>
        </w:rPr>
        <w:t>somnolence, hypotonie, mauvaise prise au sein, perte de poids, troubles gastro-intestinaux</w:t>
      </w:r>
      <w:r>
        <w:t xml:space="preserve"> chez le nourrisson. Si l'allaitement est maintenu, surveiller étroitement le nourrisson. Préférer le passage à une alternative (lévétiracétam, compatible avec l'allaitement).</w:t>
      </w:r>
    </w:p>
    <w:p>
      <w:pPr>
        <w:pStyle w:val="ListBullet"/>
      </w:pPr>
      <w:r>
        <w:t xml:space="preserve">Précisions : Le topiramate à doses &gt; 200 mg/j réduit l'efficacité des contraceptifs oraux, ce qui augmente le risque de </w:t>
      </w:r>
      <w:r>
        <w:rPr>
          <w:b/>
        </w:rPr>
        <w:t>grossesse non planifiée sous topiramate</w:t>
      </w:r>
      <w:r>
        <w:t xml:space="preserve"> — d'où l'importance d'une </w:t>
      </w:r>
      <w:r>
        <w:rPr>
          <w:b/>
        </w:rPr>
        <w:t>double contraception</w:t>
      </w:r>
      <w:r>
        <w:t xml:space="preserve"> (estroprogestatique + méthode barrière) ou d'une </w:t>
      </w:r>
      <w:r>
        <w:rPr>
          <w:b/>
        </w:rPr>
        <w:t>contraception progestative pure</w:t>
      </w:r>
      <w:r>
        <w:t xml:space="preserve"> (desogestrel). Cette interaction, combinée à la tératogénicité du topiramate, fait du conseil contraceptive un élément essentiel de la dispensation.</w:t>
      </w:r>
    </w:p>
    <w:p>
      <w:r/>
      <w:r>
        <w:rPr>
          <w:b/>
        </w:rPr>
        <w:t>Posologie et Mode d'administration (Standard) :</w:t>
      </w:r>
      <w:r/>
    </w:p>
    <w:p>
      <w:pPr>
        <w:pStyle w:val="ListBullet"/>
      </w:pPr>
      <w:r>
        <w:t xml:space="preserve">Adulte : </w:t>
      </w:r>
      <w:r>
        <w:rPr>
          <w:b/>
        </w:rPr>
        <w:t>titration progressive obligatoire</w:t>
      </w:r>
      <w:r>
        <w:t xml:space="preserve"> — schéma recommandé : 25 mg le soir pendant 1 semaine, puis 25 mg ×2/j pendant 1 semaine, puis 50 mg ×2/j pendant 1 semaine, puis 75 mg ×2/j pendant 1 semaine, puis 100 mg ×2/j (dose d'entretien habituelle). </w:t>
      </w:r>
      <w:r>
        <w:rPr>
          <w:b/>
        </w:rPr>
        <w:t>Dose d'entretien habituelle : 100 à 400 mg/j en 2 prises</w:t>
      </w:r>
      <w:r>
        <w:t xml:space="preserve"> (200-400 mg/j pour l'épilepsie, 50-100 mg/j pour la migraine prophylaxie, 200-600 mg/j pour le trouble bipolaire hors AMM). </w:t>
      </w:r>
      <w:r>
        <w:rPr>
          <w:b/>
        </w:rPr>
        <w:t>Dose maximale : 400-600 mg/j</w:t>
      </w:r>
      <w:r>
        <w:t xml:space="preserve"> (selon l'indication) en 2 prises. Dans la prophylaxie de la migraine, doses plus faibles (50-100 mg/j — la titration est plus lente avec paliers de 25 mg/semaine).</w:t>
      </w:r>
    </w:p>
    <w:p>
      <w:pPr>
        <w:pStyle w:val="ListBullet"/>
      </w:pPr>
      <w:r>
        <w:t>Adaptation à la fonction rénale : ClCr ≥ 70 mL/min : dose standard ; ClCr 50-69 : réduire la dose de 50 % ; ClCr &lt; 50 : éviter le topiramate ou réduire la dose de 75 %, surveillance étroite. Hémodialysé : dose supplémentaire après chaque dialyse.</w:t>
      </w:r>
    </w:p>
    <w:p>
      <w:pPr>
        <w:pStyle w:val="ListBullet"/>
      </w:pPr>
      <w:r>
        <w:t>Enfant &gt; 2 ans : 5-9 mg/kg/j en 2 prises, titration progressive à partir de 1-3 mg/kg/j ; dose maximale 30 mg/kg/j. Adolescent &gt; 16 ans : posologie adulte.</w:t>
      </w:r>
    </w:p>
    <w:p>
      <w:pPr>
        <w:pStyle w:val="ListBullet"/>
      </w:pPr>
      <w:r>
        <w:t xml:space="preserve">Durée : </w:t>
      </w:r>
      <w:r>
        <w:rPr>
          <w:b/>
        </w:rPr>
        <w:t>Au long cours</w:t>
      </w:r>
      <w:r>
        <w:t xml:space="preserve"> — traitement au minimum 2-5 ans après la dernière crise d'épilepsie, parfois à vie. Dans la prophylaxie de la migraine, traitement prolongé, réévaluation tous les 6-12 mois après stabilisation.</w:t>
      </w:r>
    </w:p>
    <w:p>
      <w:pPr>
        <w:pStyle w:val="ListBullet"/>
      </w:pPr>
      <w:r>
        <w:t xml:space="preserve">Moment de la prise : </w:t>
      </w:r>
      <w:r>
        <w:rPr>
          <w:b/>
        </w:rPr>
        <w:t>Pendant ou après les repas</w:t>
      </w:r>
      <w:r>
        <w:t xml:space="preserve"> (mais absorption indépendante de la prise alimentaire). La dernière prise est souvent prise </w:t>
      </w:r>
      <w:r>
        <w:rPr>
          <w:b/>
        </w:rPr>
        <w:t>au coucher</w:t>
      </w:r>
      <w:r>
        <w:t xml:space="preserve"> pour profiter de l'effet sédatif et réduire la somnolence diurne. La biprise (matin-soir) est le schéma standard.</w:t>
      </w:r>
    </w:p>
    <w:p>
      <w:r/>
      <w:r>
        <w:rPr>
          <w:b/>
        </w:rPr>
        <w:t>Arbitrage et Bénéfices des Formes Galéniques :</w:t>
      </w:r>
      <w:r/>
    </w:p>
    <w:p>
      <w:r>
        <w:t xml:space="preserve">Le topiramate est disponible en Algérie en </w:t>
      </w:r>
      <w:r>
        <w:rPr>
          <w:b/>
        </w:rPr>
        <w:t>4 dosages oraux</w:t>
      </w:r>
      <w:r>
        <w:t xml:space="preserve"> (25, 50, 100, 200 mg en comprimés) chez Topiclomax® El Kendi. L'absence de </w:t>
      </w:r>
      <w:r>
        <w:rPr>
          <w:b/>
        </w:rPr>
        <w:t>gélule à 15 mg ou 25 mg</w:t>
      </w:r>
      <w:r>
        <w:t xml:space="preserve"> (disponibles avec Epitomax® RETIRE) complique l'initiation chez l'enfant de moins de 6 ans (pour lequel les faibles doses sont nécessaires). L'absence de </w:t>
      </w:r>
      <w:r>
        <w:rPr>
          <w:b/>
        </w:rPr>
        <w:t>forme sirop ou solution buvable</w:t>
      </w:r>
      <w:r>
        <w:t xml:space="preserve"> (disponible en Europe sous forme de granulés pour suspension buvable à 15 mg et 25 mg en gélules) complique l'administration pédiatrique — le pharmacien d'officine doit conseiller l'écrasement des comprimés à 25 mg (qui sont pelliculés — l'écrasement peut altérer la biodisponibilité, mais reste acceptable en pratique si le médicament est pris immédiatement) ou la division par moitié (comprimés sécables — vérifier si Topiclomax® 25 mg est sécable — il semblerait que non). L'absence de </w:t>
      </w:r>
      <w:r>
        <w:rPr>
          <w:b/>
        </w:rPr>
        <w:t>forme à libération prolongée</w:t>
      </w:r>
      <w:r>
        <w:t xml:space="preserve"> (Trokendi XR® disponible aux États-Unis, Qudexy XR® en Europe — en une prise quotidienne) impose la </w:t>
      </w:r>
      <w:r>
        <w:rPr>
          <w:b/>
        </w:rPr>
        <w:t>biprise</w:t>
      </w:r>
      <w:r>
        <w:t xml:space="preserve">. Pour les patients nécessitant un sevrage, la combinaison de comprimés à différents dosages (25, 50, 100 mg) permet une réduction progressive par paliers de 10-25 %. Le pharmacien doit </w:t>
      </w:r>
      <w:r>
        <w:rPr>
          <w:b/>
        </w:rPr>
        <w:t>conseiller au patient d'avoir toujours une boîte d'avance</w:t>
      </w:r>
      <w:r>
        <w:t xml:space="preserve"> pour éviter la rupture thérapeutique (risque de reprise des crises). </w:t>
      </w:r>
      <w:r>
        <w:rPr>
          <w:b/>
        </w:rPr>
        <w:t>Surveillance particulière</w:t>
      </w:r>
      <w:r>
        <w:t xml:space="preserve"> lors de la substitution de Epitomax® (RETIREE) ou Repanide® (NON_RENOUVELABLE) vers Topiclomax® — vérifier la dose équivalente et surveiller cliniquement pendant 1 mois.</w:t>
      </w:r>
    </w:p>
    <w:p>
      <w:r/>
      <w:r>
        <w:rPr>
          <w:b/>
        </w:rPr>
        <w:t>Instructions et Conseils au Patient :</w:t>
      </w:r>
      <w:r/>
    </w:p>
    <w:p>
      <w:pPr>
        <w:pStyle w:val="ListBullet"/>
      </w:pPr>
      <w:r>
        <w:t xml:space="preserve">Communication au comptoir : Expliquer au patient que : (i) le traitement est </w:t>
      </w:r>
      <w:r>
        <w:rPr>
          <w:b/>
        </w:rPr>
        <w:t>au long cours</w:t>
      </w:r>
      <w:r>
        <w:t xml:space="preserve"> et qu'il ne faut jamais l'arrêter brutalement (risque de </w:t>
      </w:r>
      <w:r>
        <w:rPr>
          <w:b/>
        </w:rPr>
        <w:t>réapparition des crises, parfois sous forme d'état de mal épileptique</w:t>
      </w:r>
      <w:r>
        <w:t xml:space="preserve">) ; (ii) les effets indésirables initiaux (somnolence, paresthésies, modification du goût) sont transitoires et s'amendent en quelques semaines — ne pas arrêter dès les premiers effets ; (iii) la </w:t>
      </w:r>
      <w:r>
        <w:rPr>
          <w:b/>
        </w:rPr>
        <w:t>titration progressive</w:t>
      </w:r>
      <w:r>
        <w:t xml:space="preserve"> est essentielle — ne pas augmenter la dose seul ; (iv) en cas d'oubli, </w:t>
      </w:r>
      <w:r>
        <w:rPr>
          <w:b/>
        </w:rPr>
        <w:t>prendre la dose oubliée si moins de 8 heures se sont écoulées</w:t>
      </w:r>
      <w:r>
        <w:t xml:space="preserve">, sinon ne pas prendre et continuer le schéma habituel — </w:t>
      </w:r>
      <w:r>
        <w:rPr>
          <w:b/>
        </w:rPr>
        <w:t>ne jamais doubler la dose</w:t>
      </w:r>
      <w:r>
        <w:t xml:space="preserve"> ; (v) </w:t>
      </w:r>
      <w:r>
        <w:rPr>
          <w:b/>
        </w:rPr>
        <w:t>ne pas conduire</w:t>
      </w:r>
      <w:r>
        <w:t xml:space="preserve"> pendant les premières semaines et à chaque augmentation de dose — délai de 1-3 mois pour évaluer la tolérance ; (vi) </w:t>
      </w:r>
      <w:r>
        <w:rPr>
          <w:b/>
        </w:rPr>
        <w:t>éviter l'alcool</w:t>
      </w:r>
      <w:r>
        <w:t xml:space="preserve"> (potentialisation de la sédation, possible baisse du seuil épileptique) ; (vii) </w:t>
      </w:r>
      <w:r>
        <w:rPr>
          <w:b/>
        </w:rPr>
        <w:t>hyperhydratation obligatoire</w:t>
      </w:r>
      <w:r>
        <w:t xml:space="preserve"> (≥ 2 L/j d'eau) pour prévenir la </w:t>
      </w:r>
      <w:r>
        <w:rPr>
          <w:b/>
        </w:rPr>
        <w:t>lithiase rénale</w:t>
      </w:r>
      <w:r>
        <w:t xml:space="preserve"> et l'</w:t>
      </w:r>
      <w:r>
        <w:rPr>
          <w:b/>
        </w:rPr>
        <w:t>acidose métabolique</w:t>
      </w:r>
      <w:r>
        <w:t xml:space="preserve"> — conseil essentiel à rappeler à chaque dispensation ; (viii) </w:t>
      </w:r>
      <w:r>
        <w:rPr>
          <w:b/>
        </w:rPr>
        <w:t>prévenir le médecin et le pharmacien en cas de grossesse planifiée ou non</w:t>
      </w:r>
      <w:r>
        <w:t xml:space="preserve"> — le topiramate est tératogène (fente labio-palatine) et doit être substitué par le lévétiracétam ; (ix) </w:t>
      </w:r>
      <w:r>
        <w:rPr>
          <w:b/>
        </w:rPr>
        <w:t>surveiller l'humeur</w:t>
      </w:r>
      <w:r>
        <w:t xml:space="preserve"> et signaler immédiatement tout changement (tristesse, idées noires, agitation) ; (x) </w:t>
      </w:r>
      <w:r>
        <w:rPr>
          <w:b/>
        </w:rPr>
        <w:t>surveiller le poids</w:t>
      </w:r>
      <w:r>
        <w:t xml:space="preserve"> et signaler une perte excessive ; (xi) </w:t>
      </w:r>
      <w:r>
        <w:rPr>
          <w:b/>
        </w:rPr>
        <w:t>surveiller la vision</w:t>
      </w:r>
      <w:r>
        <w:t xml:space="preserve"> et consulter en urgence en cas de </w:t>
      </w:r>
      <w:r>
        <w:rPr>
          <w:b/>
        </w:rPr>
        <w:t>baisse d'acuité visuelle brutale, œil rouge douloureux, myopisation transitoire</w:t>
      </w:r>
      <w:r>
        <w:t xml:space="preserve"> (signes de glaucome aigu à angle fermé) ; (xii) </w:t>
      </w:r>
      <w:r>
        <w:rPr>
          <w:b/>
        </w:rPr>
        <w:t>porter une carte d'identification médicale</w:t>
      </w:r>
      <w:r>
        <w:t xml:space="preserve"> indiquant le traitement antiépileptique ; (xiii) chez la femme en âge de procréer : </w:t>
      </w:r>
      <w:r>
        <w:rPr>
          <w:b/>
        </w:rPr>
        <w:t>contraception efficace obligatoire</w:t>
      </w:r>
      <w:r>
        <w:t xml:space="preserve"> — double contraception (estroprogestatique + méthode barrière) à doses &gt; 200 mg/j, ou contraception progestative pure (desogestrel) à toute dose.</w:t>
      </w:r>
    </w:p>
    <w:p>
      <w:pPr>
        <w:pStyle w:val="ListBullet"/>
      </w:pPr>
      <w:r>
        <w:t xml:space="preserve">Mode d'utilisation pratique : Prendre les comprimés </w:t>
      </w:r>
      <w:r>
        <w:rPr>
          <w:b/>
        </w:rPr>
        <w:t>avec un grand verre d'eau</w:t>
      </w:r>
      <w:r>
        <w:t xml:space="preserve">, </w:t>
      </w:r>
      <w:r>
        <w:rPr>
          <w:b/>
        </w:rPr>
        <w:t>pendant ou après les repas</w:t>
      </w:r>
      <w:r>
        <w:t>. Conserver les comprimés à température ambiante (&lt;25 °C), à l'abri de l'humidité. Tenir hors de portée des enfants. Boire abondamment (≥ 2 L/j d'eau). Surveiller la créatininémie et l'ionogramme au moins annuellement. Tenir un agenda des crises (date, heure, circonstances) à présenter au neurologue.</w:t>
      </w:r>
    </w:p>
    <w:p>
      <w:r/>
      <w:r>
        <w:rPr>
          <w:b/>
        </w:rPr>
        <w:t>Notes, Règles d'Or &amp; Pièges au Comptoir :</w:t>
      </w:r>
      <w:r/>
    </w:p>
    <w:p>
      <w:pPr>
        <w:pStyle w:val="ListBullet"/>
      </w:pPr>
      <w:r>
        <w:t xml:space="preserve">Piège classique : (i) </w:t>
      </w:r>
      <w:r>
        <w:rPr>
          <w:b/>
        </w:rPr>
        <w:t>non adaptation à la fonction rénale</w:t>
      </w:r>
      <w:r>
        <w:t xml:space="preserve"> chez le sujet âgé — le topiramate est 70 % éliminé par le rein sous forme inchangée, donc une insuffisance rénale même modérée entraîne une accumulation toxique (somnolence sévère, ataxie, confusion, acidose sévère) — toujours calculer la clairance créatinine (formule de Cockcroft) chez le sujet &gt; 65 ans et adapter la dose ; (ii) </w:t>
      </w:r>
      <w:r>
        <w:rPr>
          <w:b/>
        </w:rPr>
        <w:t>oubli de l'hyperhydratation</w:t>
      </w:r>
      <w:r>
        <w:t xml:space="preserve"> — recommandation essentielle pour prévenir la lithiase rénale et l'acidose métabolique — à rappeler à chaque dispensation ; (iii) </w:t>
      </w:r>
      <w:r>
        <w:rPr>
          <w:b/>
        </w:rPr>
        <w:t>non surveillance de l'ionogramme</w:t>
      </w:r>
      <w:r>
        <w:t xml:space="preserve"> — l'acidose métabolique est quasi-constante et doit être dépistée ; (iv) </w:t>
      </w:r>
      <w:r>
        <w:rPr>
          <w:b/>
        </w:rPr>
        <w:t>non information du risque tératogène</w:t>
      </w:r>
      <w:r>
        <w:t xml:space="preserve"> — le topiramate est contre-indiqué pendant la grossesse (fente labio-palatine) — conseil contraceptive essentiel chez la femme en âge de procréer ; (v) </w:t>
      </w:r>
      <w:r>
        <w:rPr>
          <w:b/>
        </w:rPr>
        <w:t>non surveillance des troubles cognitifs</w:t>
      </w:r>
      <w:r>
        <w:t xml:space="preserve"> — particulièrement chez le sujet âgé et à doses &gt; 200 mg/j ; (vi) </w:t>
      </w:r>
      <w:r>
        <w:rPr>
          <w:b/>
        </w:rPr>
        <w:t>oubli du glaucome aigu à angle fermé</w:t>
      </w:r>
      <w:r>
        <w:t xml:space="preserve"> — urgence ophtalmologique en cas de troubles visuels ; (vii) </w:t>
      </w:r>
      <w:r>
        <w:rPr>
          <w:b/>
        </w:rPr>
        <w:t>oubli de l'interaction avec les contraceptifs oraux</w:t>
      </w:r>
      <w:r>
        <w:t xml:space="preserve"> à doses &gt; 200 mg/j — risque de grossesse non planifiée ; (viii) </w:t>
      </w:r>
      <w:r>
        <w:rPr>
          <w:b/>
        </w:rPr>
        <w:t>confusion avec le topiramate LP</w:t>
      </w:r>
      <w:r>
        <w:t xml:space="preserve"> (Trokendi XR®) — non disponible en Algérie, ne pas prescrire ; (ix) </w:t>
      </w:r>
      <w:r>
        <w:rPr>
          <w:b/>
        </w:rPr>
        <w:t>substitution de Epitomax® RETIREE ou Repanide® NON_RENOUVELABLE vers Topiclomax®</w:t>
      </w:r>
      <w:r>
        <w:t xml:space="preserve"> sans surveillance clinique pendant 1 mois (variations bio pharmaceutiques possibles).</w:t>
      </w:r>
    </w:p>
    <w:p>
      <w:pPr>
        <w:pStyle w:val="ListBullet"/>
      </w:pPr>
      <w:r>
        <w:t>Règle de prise : 2 prises par jour à heures régulières (par exemple 8h et 20h), pendant les repas. Dernière prise au coucher pour profiter de l'effet sédatif. Boire ≥ 2 L d'eau par jour.</w:t>
      </w:r>
    </w:p>
    <w:p>
      <w:pPr>
        <w:pStyle w:val="ListBullet"/>
      </w:pPr>
      <w:r>
        <w:t>Préparation et Conservation : Conservation à température ambiante (&lt;25 °C), à l'abri de l'humidité et de la lumière. Pas de préparation magistrale nécessaire. Disponible en boîtes de 60 comprimés.</w:t>
      </w:r>
    </w:p>
    <w:p>
      <w:pPr>
        <w:pStyle w:val="ListBullet"/>
      </w:pPr>
      <w:r>
        <w:t xml:space="preserve">Piège du surdosage / Substitution : Le surdosage par le topiramate peut provoquer </w:t>
      </w:r>
      <w:r>
        <w:rPr>
          <w:b/>
        </w:rPr>
        <w:t>somnolence sévère, ataxie, confusion, convulsions paradoxales, acidose métabolique sévère, coma</w:t>
      </w:r>
      <w:r>
        <w:t xml:space="preserve"> — traitement symptomatique, hémodialyse efficace (élimine 50 % en 4 heures). La </w:t>
      </w:r>
      <w:r>
        <w:rPr>
          <w:b/>
        </w:rPr>
        <w:t>substitution</w:t>
      </w:r>
      <w:r>
        <w:t xml:space="preserve"> entre les différentes marques (génériques) de topiramate doit se faire avec </w:t>
      </w:r>
      <w:r>
        <w:rPr>
          <w:b/>
        </w:rPr>
        <w:t>surveillance clinique</w:t>
      </w:r>
      <w:r>
        <w:t xml:space="preserve"> pendant 1 mois en raison de possibles variations d'équivalence bio pharmaceutique (autorisation de substitution générique mais avec un grade d'interchangeabilité à vérifier — préférer le maintien de la même marque si possible, en particulier chez le patient épileptique bien équilibré). Particulièrement important lors de la transition depuis Epitomax® RETIREE ou Repanide® NON_RENOUVELABLE vers Topiclomax®.</w:t>
      </w:r>
    </w:p>
    <w:p>
      <w:pPr>
        <w:pStyle w:val="Heading2"/>
      </w:pPr>
      <w:r>
        <w:t>5. DCI : Oxcarbazépine (Seule)</w:t>
      </w:r>
    </w:p>
    <w:p>
      <w:r/>
      <w:r>
        <w:rPr>
          <w:b/>
        </w:rPr>
        <w:t>Liste des Catégories :</w:t>
      </w:r>
      <w:r>
        <w:t xml:space="preserve"> Antiépileptiques — Modernes (dérivés carbamazépine) ; Médicaments des épilepsies partielles ; Liste II des substances vénéneuses ; </w:t>
      </w:r>
      <w:r>
        <w:rPr>
          <w:b/>
        </w:rPr>
        <w:t>NON_RENOUVELABLE en Algérie</w:t>
      </w:r>
      <w:r>
        <w:t>.</w:t>
      </w:r>
    </w:p>
    <w:p>
      <w:r>
        <w:t xml:space="preserve">L'oxcarbazépine (Trileptal® — Novartis) est le </w:t>
      </w:r>
      <w:r>
        <w:rPr>
          <w:b/>
        </w:rPr>
        <w:t>dérivé moderne de la carbamazépine</w:t>
      </w:r>
      <w:r>
        <w:t xml:space="preserve">, développé dans les années 1990 pour améliorer le profil de tolérance hématologique et hépatique de la carbamazépine. La modification chimique (substitution d'un groupement céto en position 10, d'où le nom "oxcarbazépine") modifie profondément le métabolisme : contrairement à la carbamazépine qui est oxydée en carbamazépine-10,11-époxyde (métabolite actif et toxique), l'oxcarbazépine est </w:t>
      </w:r>
      <w:r>
        <w:rPr>
          <w:b/>
        </w:rPr>
        <w:t>rapidement métabolisée par les cytosoliques arylcétone-réductases</w:t>
      </w:r>
      <w:r>
        <w:t xml:space="preserve"> en </w:t>
      </w:r>
      <w:r>
        <w:rPr>
          <w:b/>
        </w:rPr>
        <w:t>10-monohydroxy-dérivé (MHD)</w:t>
      </w:r>
      <w:r>
        <w:t xml:space="preserve"> — métabolite actif responsable de l'effet thérapeutique. Ce métabolisme différentiel explique l'absence d'auto-induction enzymatique et la réduction du risque d'agranulocytose et d'hépatotoxicité sévère.</w:t>
      </w:r>
    </w:p>
    <w:p>
      <w:r/>
      <w:r>
        <w:rPr>
          <w:b/>
        </w:rPr>
        <w:t>Point algérien critique</w:t>
      </w:r>
      <w:r>
        <w:t xml:space="preserve"> : L'oxcarbazépine (Trileptal® 150 mg, Novartis) est actuellement </w:t>
      </w:r>
      <w:r>
        <w:rPr>
          <w:b/>
        </w:rPr>
        <w:t>NON_RENOUVELABLE</w:t>
      </w:r>
      <w:r>
        <w:t xml:space="preserve"> dans la nomenclature algérienne des médicaments (Avril 2026), ce qui signifie qu'elle </w:t>
      </w:r>
      <w:r>
        <w:rPr>
          <w:b/>
        </w:rPr>
        <w:t>ne peut plus être commercialisée</w:t>
      </w:r>
      <w:r>
        <w:t xml:space="preserve"> mais que les stocks existants peuvent être écoulés jusqu'à épuisement. Cette situation complique la prise en charge des patients algériens épileptiques actuellement sous oxcarbazépine et impose une </w:t>
      </w:r>
      <w:r>
        <w:rPr>
          <w:b/>
        </w:rPr>
        <w:t>substitution par la carbamazépine</w:t>
      </w:r>
      <w:r>
        <w:t xml:space="preserve"> ou par un autre antiépileptique moderne (lévétiracétam, lacosamide) en concertation avec le neurologue.</w:t>
      </w:r>
    </w:p>
    <w:p>
      <w:r/>
      <w:r>
        <w:rPr>
          <w:b/>
        </w:rPr>
        <w:t>Médicaments disponibles en Algérie (Marques, Laboratoires, Formes et Dosages) :</w:t>
      </w:r>
      <w:r/>
    </w:p>
    <w:p>
      <w:pPr>
        <w:pStyle w:val="ListBullet"/>
      </w:pPr>
      <w:r/>
      <w:r>
        <w:rPr>
          <w:b/>
        </w:rPr>
        <w:t>TRILEPTAL</w:t>
      </w:r>
      <w:r>
        <w:t xml:space="preserve"> (NOVARTIS PHARMA AG) — princeps</w:t>
      </w:r>
    </w:p>
    <w:p>
      <w:pPr>
        <w:pStyle w:val="ListBullet"/>
      </w:pPr>
      <w:r>
        <w:t>Formes et Dosages : Comprimé pelliculé 150 mg (B/50)</w:t>
      </w:r>
    </w:p>
    <w:p>
      <w:pPr>
        <w:pStyle w:val="ListBullet"/>
      </w:pPr>
      <w:r>
        <w:t xml:space="preserve">Statut : </w:t>
      </w:r>
      <w:r>
        <w:rPr>
          <w:b/>
        </w:rPr>
        <w:t>NON_RENOUVELABLE</w:t>
      </w:r>
      <w:r/>
    </w:p>
    <w:p>
      <w:r>
        <w:t xml:space="preserve">La nomenclature algérienne Avril 2026 ne montre </w:t>
      </w:r>
      <w:r>
        <w:rPr>
          <w:b/>
        </w:rPr>
        <w:t>qu'une seule spécialité</w:t>
      </w:r>
      <w:r>
        <w:t xml:space="preserve"> d'oxcarbazépine disponible, en un seul dosage (150 mg), et </w:t>
      </w:r>
      <w:r>
        <w:rPr>
          <w:b/>
        </w:rPr>
        <w:t>non-renouvelable</w:t>
      </w:r>
      <w:r>
        <w:t xml:space="preserve">. Les autres dosages (300 mg, 600 mg) qui existent en Europe ne sont pas disponibles en Algérie. La </w:t>
      </w:r>
      <w:r>
        <w:rPr>
          <w:b/>
        </w:rPr>
        <w:t>forme sirop 60 mg/mL</w:t>
      </w:r>
      <w:r>
        <w:t xml:space="preserve"> disponible en Europe n'est pas non plus disponible en Algérie, ce qui complique l'administration pédiatrique. La situation de non-renouvellement impose une </w:t>
      </w:r>
      <w:r>
        <w:rPr>
          <w:b/>
        </w:rPr>
        <w:t>substitution systématique</w:t>
      </w:r>
      <w:r>
        <w:t xml:space="preserve"> des patients sous Trileptal® vers un autre antiépileptique, à effectuer en concertation avec le neurologue. Le pharmacien d'officine doit être informé et accompagner le patient.</w:t>
      </w:r>
    </w:p>
    <w:p>
      <w:r/>
      <w:r>
        <w:rPr>
          <w:b/>
        </w:rPr>
        <w:t>Sous-classe et Mécanisme d'action :</w:t>
      </w:r>
      <w:r/>
    </w:p>
    <w:p>
      <w:pPr>
        <w:pStyle w:val="ListBullet"/>
      </w:pPr>
      <w:r>
        <w:t>Sous-classe : Antiépileptique moderne de deuxième génération, dérivé structurel de la carbamazépine (10-kéto-analogue). Médicament de spectre étroit, principalement indiqué dans les épilepsies partielles.</w:t>
      </w:r>
    </w:p>
    <w:p>
      <w:pPr>
        <w:pStyle w:val="ListBullet"/>
      </w:pPr>
      <w:r>
        <w:t xml:space="preserve">Mécanisme d'action : Le mécanisme d'action de l'oxcarbazépine (via son métabolite actif </w:t>
      </w:r>
      <w:r>
        <w:rPr>
          <w:b/>
        </w:rPr>
        <w:t>MHD — 10-monohydroxy-dérivé</w:t>
      </w:r>
      <w:r>
        <w:t xml:space="preserve">) est </w:t>
      </w:r>
      <w:r>
        <w:rPr>
          <w:b/>
        </w:rPr>
        <w:t>identique à celui de la carbamazépine</w:t>
      </w:r>
      <w:r>
        <w:t xml:space="preserve"> : (i) </w:t>
      </w:r>
      <w:r>
        <w:rPr>
          <w:b/>
        </w:rPr>
        <w:t>blocage voltage-dépendant des canaux sodiques rapides à l'état inactivé</w:t>
      </w:r>
      <w:r>
        <w:t xml:space="preserve"> — mécanisme classique qui réduit l'hyperexcitabilité neuronale et limite la propagation des crises ; (ii) </w:t>
      </w:r>
      <w:r>
        <w:rPr>
          <w:b/>
        </w:rPr>
        <w:t>modulation des canaux calciques voltage-dépendants de type N et P/Q</w:t>
      </w:r>
      <w:r>
        <w:t xml:space="preserve"> — effet plus marqué que la carbamazépine, ce qui pourrait expliquer une partie de son efficacité ; (iii) augmentation de la conductance potassique (effet mineur). La molécule n'a </w:t>
      </w:r>
      <w:r>
        <w:rPr>
          <w:b/>
        </w:rPr>
        <w:t>pas d'action directe</w:t>
      </w:r>
      <w:r>
        <w:t xml:space="preserve"> sur les récepteurs GABA-A ou GABA-B, ni sur l'anhydrase carbonique, ni sur les récepteurs glutamate. L'originalité de l'oxcarbazépine réside donc davantage dans son </w:t>
      </w:r>
      <w:r>
        <w:rPr>
          <w:b/>
        </w:rPr>
        <w:t>métabolisme différentiel</w:t>
      </w:r>
      <w:r>
        <w:t xml:space="preserve"> que dans un mécanisme d'action original.</w:t>
      </w:r>
    </w:p>
    <w:p>
      <w:r/>
      <w:r>
        <w:rPr>
          <w:b/>
        </w:rPr>
        <w:t>Profil Pharmacologique :</w:t>
      </w:r>
      <w:r/>
    </w:p>
    <w:p>
      <w:pPr>
        <w:pStyle w:val="ListBullet"/>
      </w:pPr>
      <w:r>
        <w:t xml:space="preserve">Indications : (i) </w:t>
      </w:r>
      <w:r>
        <w:rPr>
          <w:b/>
        </w:rPr>
        <w:t>Épilepsies partielles avec ou sans généralisation secondaire de l'adulte et de l'enfant &gt; 6 ans</w:t>
      </w:r>
      <w:r>
        <w:t xml:space="preserve"> en monothérapie (indication initiale) ou en association ; (ii) en relais d'une autre antiépileptique en monothérapie. L'oxcarbazépine n'est </w:t>
      </w:r>
      <w:r>
        <w:rPr>
          <w:b/>
        </w:rPr>
        <w:t>pas indiquée dans les épilepsies généralisées idiopathiques</w:t>
      </w:r>
      <w:r>
        <w:t xml:space="preserve"> (risque d'aggravation des absences et des crises myocloniques — comme la carbamazépine). Hors AMM : </w:t>
      </w:r>
      <w:r>
        <w:rPr>
          <w:b/>
        </w:rPr>
        <w:t>névralgie du trijumeau</w:t>
      </w:r>
      <w:r>
        <w:t xml:space="preserve"> (alternative à la carbamazépine), </w:t>
      </w:r>
      <w:r>
        <w:rPr>
          <w:b/>
        </w:rPr>
        <w:t>trouble bipolaire</w:t>
      </w:r>
      <w:r>
        <w:t xml:space="preserve"> (en association, en raison du meilleur profil de tolérance que la carbamazépine), </w:t>
      </w:r>
      <w:r>
        <w:rPr>
          <w:b/>
        </w:rPr>
        <w:t>douleurs neuropathiques</w:t>
      </w:r>
      <w:r>
        <w:t xml:space="preserve"> (efficacité modeste). Le spectre d'action est similaire à celui de la carbamazépine — étroit, limité aux épilepsies partielles.</w:t>
      </w:r>
    </w:p>
    <w:p>
      <w:pPr>
        <w:pStyle w:val="ListBullet"/>
      </w:pPr>
      <w:r>
        <w:t xml:space="preserve">Contre-indications : (i) </w:t>
      </w:r>
      <w:r>
        <w:rPr>
          <w:b/>
        </w:rPr>
        <w:t>hypersensibilité à l'oxcarbazépine</w:t>
      </w:r>
      <w:r>
        <w:t xml:space="preserve"> ou à la carbamazépine (réactivité croisée dans 25-30 % des cas — prudence chez les patients allergiques à la carbamazépine) ; (ii) </w:t>
      </w:r>
      <w:r>
        <w:rPr>
          <w:b/>
        </w:rPr>
        <w:t>bloc auriculo-ventriculaire de degré 2 ou 3 non appareillé</w:t>
      </w:r>
      <w:r>
        <w:t xml:space="preserve"> (en raison de l'effet sur la conduction cardiaque) ; (iii) </w:t>
      </w:r>
      <w:r>
        <w:rPr>
          <w:b/>
        </w:rPr>
        <w:t>allaitement</w:t>
      </w:r>
      <w:r>
        <w:t xml:space="preserve"> (à éviter par prudence) ; (iv) précaution chez la femme enceinte (voir section Grossesse) ; (v) précaution chez les patients aux </w:t>
      </w:r>
      <w:r>
        <w:rPr>
          <w:b/>
        </w:rPr>
        <w:t>antécédents psychiatriques</w:t>
      </w:r>
      <w:r>
        <w:t xml:space="preserve"> (risque d'aggravation de l'hyponatrémie symptomatique) ; (vi) précaution chez le sujet âgé (risque accru d'hyponatrémie — surveillance rapprochée) ; (vii) précaution en cas d'</w:t>
      </w:r>
      <w:r>
        <w:rPr>
          <w:b/>
        </w:rPr>
        <w:t>insuffisance rénale sévère</w:t>
      </w:r>
      <w:r>
        <w:t xml:space="preserve"> (ClCr &lt; 30 mL/min — adapter) ; (viii) précaution chez les patients porteurs de l'allèle **HLA-B*1502** (populations asiatiques — Han chinois, thaïlandais, malais, indonésiens, philippins, sud-coréens — risque accru de syndrome de Stevens-Johnson et de nécrolyse épidermique toxique).</w:t>
      </w:r>
    </w:p>
    <w:p>
      <w:pPr>
        <w:pStyle w:val="ListBullet"/>
      </w:pPr>
      <w:r>
        <w:t xml:space="preserve">Effets Indésirables : Profil globalement meilleur que celui de la carbamazépine : (i) </w:t>
      </w:r>
      <w:r>
        <w:rPr>
          <w:b/>
        </w:rPr>
        <w:t>somnolence et fatigue</w:t>
      </w:r>
      <w:r>
        <w:t xml:space="preserve"> (très fréquents, dose-dépendants — moins marqués qu'avec la carbamazépine) ; (ii) </w:t>
      </w:r>
      <w:r>
        <w:rPr>
          <w:b/>
        </w:rPr>
        <w:t>vertiges et étourdissements</w:t>
      </w:r>
      <w:r>
        <w:t xml:space="preserve"> ; (iii) </w:t>
      </w:r>
      <w:r>
        <w:rPr>
          <w:b/>
        </w:rPr>
        <w:t>céphalées</w:t>
      </w:r>
      <w:r>
        <w:t xml:space="preserve"> ; (iv) </w:t>
      </w:r>
      <w:r>
        <w:rPr>
          <w:b/>
        </w:rPr>
        <w:t>ataxie et troubles de la coordination</w:t>
      </w:r>
      <w:r>
        <w:t xml:space="preserve"> ; (v) </w:t>
      </w:r>
      <w:r>
        <w:rPr>
          <w:b/>
        </w:rPr>
        <w:t>diplopie et troubles visuels</w:t>
      </w:r>
      <w:r>
        <w:t xml:space="preserve"> ; (vi) </w:t>
      </w:r>
      <w:r>
        <w:rPr>
          <w:b/>
        </w:rPr>
        <w:t>troubles gastro-intestinaux</w:t>
      </w:r>
      <w:r>
        <w:t xml:space="preserve"> (nausées, vomissements, sécheresse buccale) ; (vii) </w:t>
      </w:r>
      <w:r>
        <w:rPr>
          <w:b/>
        </w:rPr>
        <w:t>hyponatrémie</w:t>
      </w:r>
      <w:r>
        <w:t xml:space="preserve"> — effet indésirable classique de l'oxcarbazépine (plus fréquent qu'avec la carbamazépine — 25-40 % des patients ont une natrémie &lt; 135 mmol/L, 5-10 % une hyponatrémie symptomatique &lt; 125 mmol/L) — particulièrement chez le sujet âgé, en début de traitement, et en cas d'association avec d'autres hyponatrémiants (diurétiques, ISRS, IEC) — surveillance de la natrémie à l'initiation puis semestriellement ; (viii) </w:t>
      </w:r>
      <w:r>
        <w:rPr>
          <w:b/>
        </w:rPr>
        <w:t>troubles cutanés</w:t>
      </w:r>
      <w:r>
        <w:t xml:space="preserve"> (rash, prurit — 5-10 % des patients, moins fréquents qu'avec la carbamazépine) ; cas rapportés de </w:t>
      </w:r>
      <w:r>
        <w:rPr>
          <w:b/>
        </w:rPr>
        <w:t>syndrome de Stevens-Johnson et de nécrolyse épidermique toxique</w:t>
      </w:r>
      <w:r>
        <w:t xml:space="preserve"> — particulièrement chez les porteurs de l'allèle HLA-B*1502 (populations asiatiques) ; (ix) </w:t>
      </w:r>
      <w:r>
        <w:rPr>
          <w:b/>
        </w:rPr>
        <w:t>troubles psychiatriques</w:t>
      </w:r>
      <w:r>
        <w:t xml:space="preserve"> rares : agitation, nervosité, dépression, idées suicidaires (à surveiller) ; (x) </w:t>
      </w:r>
      <w:r>
        <w:rPr>
          <w:b/>
        </w:rPr>
        <w:t>troubles hématologiques</w:t>
      </w:r>
      <w:r>
        <w:t xml:space="preserve"> rares : leucopénie, thrombocytopénie (moins fréquents qu'avec la carbamazépine — surveillance NFS) ; (xi) </w:t>
      </w:r>
      <w:r>
        <w:rPr>
          <w:b/>
        </w:rPr>
        <w:t>cytolyse hépatique</w:t>
      </w:r>
      <w:r>
        <w:t xml:space="preserve"> rare ; (xii) </w:t>
      </w:r>
      <w:r>
        <w:rPr>
          <w:b/>
        </w:rPr>
        <w:t>hypothyroïdie</w:t>
      </w:r>
      <w:r>
        <w:t xml:space="preserve"> (rares cas rapportés) ; (xiii) </w:t>
      </w:r>
      <w:r>
        <w:rPr>
          <w:b/>
        </w:rPr>
        <w:t>syndrome de sevrage</w:t>
      </w:r>
      <w:r>
        <w:t xml:space="preserve"> à l'arrêt brutal (recrudescence des crises — ne jamais arrêter brutalement).</w:t>
      </w:r>
    </w:p>
    <w:p>
      <w:r/>
      <w:r>
        <w:rPr>
          <w:b/>
        </w:rPr>
        <w:t>Prévention et Gestion des Effets Indésirables :</w:t>
      </w:r>
      <w:r/>
    </w:p>
    <w:p>
      <w:pPr>
        <w:pStyle w:val="ListBullet"/>
      </w:pPr>
      <w:r>
        <w:t xml:space="preserve">Mesures Préventives : (i) </w:t>
      </w:r>
      <w:r>
        <w:rPr>
          <w:b/>
        </w:rPr>
        <w:t>augmentation posologique progressive</w:t>
      </w:r>
      <w:r>
        <w:t xml:space="preserve"> selon le schéma recommandé : 150 mg ×2/j pendant 1 semaine, puis 300 mg ×2/j, puis 600 mg ×2/j (titration sur 2-4 semaines) ; (ii) </w:t>
      </w:r>
      <w:r>
        <w:rPr>
          <w:b/>
        </w:rPr>
        <w:t>surveillance de la natrémie</w:t>
      </w:r>
      <w:r>
        <w:t xml:space="preserve"> à l'initiation (avant puis à 2-4 semaines), puis semestriellement — particulièrement chez le sujet âgé et en cas d'association avec diurétiques/ISRS ; (iii) </w:t>
      </w:r>
      <w:r>
        <w:rPr>
          <w:b/>
        </w:rPr>
        <w:t>surveillance de la NFS et du bilan hépatique</w:t>
      </w:r>
      <w:r>
        <w:t xml:space="preserve"> en début de traitement puis semestriellement (recherche de leucopénie, thrombocytopénie, cytolyse hépatique) ; (iv) </w:t>
      </w:r>
      <w:r>
        <w:rPr>
          <w:b/>
        </w:rPr>
        <w:t>surveillance dermatologique</w:t>
      </w:r>
      <w:r>
        <w:t xml:space="preserve"> à la moindre éruption cutanée — particulièrement chez les porteurs de l'allèle HLA-B*1502 (testing génétique recommandé chez les populations à risque avant initiation) ; (v) </w:t>
      </w:r>
      <w:r>
        <w:rPr>
          <w:b/>
        </w:rPr>
        <w:t>information du patient sur le syndrome de sevrage</w:t>
      </w:r>
      <w:r>
        <w:t xml:space="preserve"> et l'interdiction d'arrêter brutalement le traitement — sevrage à effectuer sur plusieurs semaines (réduction de 25 % tous les 7 jours) ; (vi) </w:t>
      </w:r>
      <w:r>
        <w:rPr>
          <w:b/>
        </w:rPr>
        <w:t>prudence à la conduite automobile</w:t>
      </w:r>
      <w:r>
        <w:t xml:space="preserve"> pendant les premières semaines et à chaque augmentation de dose ; (vii) </w:t>
      </w:r>
      <w:r>
        <w:rPr>
          <w:b/>
        </w:rPr>
        <w:t>prévention de la grossesse</w:t>
      </w:r>
      <w:r>
        <w:t xml:space="preserve"> chez la femme en âge de procréer — l'oxcarbazépine réduit l'efficacité des contraceptifs oraux (induction du CYP3A4) — utiliser une méthode barrière associée ou une contraception progestative pure (desogestrel) ; (viii) </w:t>
      </w:r>
      <w:r>
        <w:rPr>
          <w:b/>
        </w:rPr>
        <w:t>bilan cognitif</w:t>
      </w:r>
      <w:r>
        <w:t xml:space="preserve"> chez le sujet âgé ; (ix) **évaluation génétique HLA-B*1502** chez les patients asiatiques avant initiation.</w:t>
      </w:r>
    </w:p>
    <w:p>
      <w:pPr>
        <w:pStyle w:val="ListBullet"/>
      </w:pPr>
      <w:r>
        <w:t xml:space="preserve">Conduite à Tenir : (i) en cas de </w:t>
      </w:r>
      <w:r>
        <w:rPr>
          <w:b/>
        </w:rPr>
        <w:t>somnolence excessive</w:t>
      </w:r>
      <w:r>
        <w:t xml:space="preserve"> : espacer les prises, transférer une plus grande partie de la dose au coucher, réduire la dose totale de 25 % ; (ii) en cas d'</w:t>
      </w:r>
      <w:r>
        <w:rPr>
          <w:b/>
        </w:rPr>
        <w:t>hyponatrémie</w:t>
      </w:r>
      <w:r>
        <w:t xml:space="preserve"> : restriction hydrique, réduction de dose si symptômes (confusion, somnolence, convulsions), arrêt si hyponatrémie sévère &lt; 125 mmol/L ; (iii) en cas d'</w:t>
      </w:r>
      <w:r>
        <w:rPr>
          <w:b/>
        </w:rPr>
        <w:t>éruption cutanée</w:t>
      </w:r>
      <w:r>
        <w:t xml:space="preserve"> : arrêt immédiat, hospitalisation si signes de Stevens-Johnson ou nécrolyse épidermique ; (iv) en cas de </w:t>
      </w:r>
      <w:r>
        <w:rPr>
          <w:b/>
        </w:rPr>
        <w:t>troubles hématologiques</w:t>
      </w:r>
      <w:r>
        <w:t xml:space="preserve"> : arrêt si leucopénie &lt; 2000/mm3 ou thrombocytopénie &lt; 100 000/mm3 ; (v) en cas de </w:t>
      </w:r>
      <w:r>
        <w:rPr>
          <w:b/>
        </w:rPr>
        <w:t>grossesse non planifiée</w:t>
      </w:r>
      <w:r>
        <w:t xml:space="preserve"> : ne pas arrêter brutalement, consulter le neurologue — la carbamazépine est un antiépileptique acceptable pendant la grossesse (3-4 % de malformations), mais le lévétiracétam est préférable — substitution à envisager.</w:t>
      </w:r>
    </w:p>
    <w:p>
      <w:r/>
      <w:r>
        <w:rPr>
          <w:b/>
        </w:rPr>
        <w:t>Interactions Importantes :</w:t>
      </w:r>
      <w:r/>
    </w:p>
    <w:p>
      <w:pPr>
        <w:pStyle w:val="ListBullet"/>
      </w:pPr>
      <w:r/>
      <w:r>
        <w:rPr>
          <w:b/>
        </w:rPr>
        <w:t>Oxcarbazépine + contraceptifs oraux (estroprogestatifs)</w:t>
      </w:r>
      <w:r>
        <w:t xml:space="preserve"> : </w:t>
      </w:r>
      <w:r>
        <w:rPr>
          <w:b/>
        </w:rPr>
        <w:t>baisse d'efficacité contraceptive</w:t>
      </w:r>
      <w:r>
        <w:t xml:space="preserve"> (le MHD est un inducteur modéré du CYP3A4) — utiliser une méthode barrière associée ou une contraception progestative pure (desogestrel). Particulièrement important car l'oxcarbazépine a un potentiel tératogène (voir Grossesse).</w:t>
      </w:r>
    </w:p>
    <w:p>
      <w:pPr>
        <w:pStyle w:val="ListBullet"/>
      </w:pPr>
      <w:r/>
      <w:r>
        <w:rPr>
          <w:b/>
        </w:rPr>
        <w:t>Oxcarbazépine + autres antiépileptiques enzymo-inducteurs (carbamazépine, phénobarbital, phénytoïne)</w:t>
      </w:r>
      <w:r>
        <w:t xml:space="preserve"> : augmentation du métabolisme du MHD (réduction des concentrations de 30-40 %) — possible nécessité d'augmenter la dose d'oxcarbazépine. Inversement, l'oxcarbazépine augmente les concentrations de phénytoïne (compétition métabolique) — surveiller.</w:t>
      </w:r>
    </w:p>
    <w:p>
      <w:pPr>
        <w:pStyle w:val="ListBullet"/>
      </w:pPr>
      <w:r/>
      <w:r>
        <w:rPr>
          <w:b/>
        </w:rPr>
        <w:t>Oxcarbazépine + valproate</w:t>
      </w:r>
      <w:r>
        <w:t xml:space="preserve"> : pas d'interaction pharmacocinétique notable.</w:t>
      </w:r>
    </w:p>
    <w:p>
      <w:pPr>
        <w:pStyle w:val="ListBullet"/>
      </w:pPr>
      <w:r/>
      <w:r>
        <w:rPr>
          <w:b/>
        </w:rPr>
        <w:t>Oxcarbazépine + lamotrigine</w:t>
      </w:r>
      <w:r>
        <w:t xml:space="preserve"> : pas d'interaction notable.</w:t>
      </w:r>
    </w:p>
    <w:p>
      <w:pPr>
        <w:pStyle w:val="ListBullet"/>
      </w:pPr>
      <w:r/>
      <w:r>
        <w:rPr>
          <w:b/>
        </w:rPr>
        <w:t>Oxcarbazépine + inhibiteurs calciques non dihydropyridiniques (vérapamil, diltiazem)</w:t>
      </w:r>
      <w:r>
        <w:t xml:space="preserve"> : possible interaction métabolique — surveiller.</w:t>
      </w:r>
    </w:p>
    <w:p>
      <w:pPr>
        <w:pStyle w:val="ListBullet"/>
      </w:pPr>
      <w:r/>
      <w:r>
        <w:rPr>
          <w:b/>
        </w:rPr>
        <w:t>Oxcarbazépine + warfarine</w:t>
      </w:r>
      <w:r>
        <w:t xml:space="preserve"> : cas rapportés de baisse d'INR (induction du métabolisme) — surveiller.</w:t>
      </w:r>
    </w:p>
    <w:p>
      <w:pPr>
        <w:pStyle w:val="ListBullet"/>
      </w:pPr>
      <w:r/>
      <w:r>
        <w:rPr>
          <w:b/>
        </w:rPr>
        <w:t>Oxcarbazépine + autres hyponatrémiants (diurétiques, ISRS, IEC, carbamazépine)</w:t>
      </w:r>
      <w:r>
        <w:t xml:space="preserve"> : </w:t>
      </w:r>
      <w:r>
        <w:rPr>
          <w:b/>
        </w:rPr>
        <w:t>hyponatrémie additive</w:t>
      </w:r>
      <w:r>
        <w:t xml:space="preserve"> — surveiller la natrémie.</w:t>
      </w:r>
    </w:p>
    <w:p>
      <w:pPr>
        <w:pStyle w:val="ListBullet"/>
      </w:pPr>
      <w:r/>
      <w:r>
        <w:rPr>
          <w:b/>
        </w:rPr>
        <w:t>Oxcarbazépine + alcool, benzodiazépines, autres dépresseurs du SNC</w:t>
      </w:r>
      <w:r>
        <w:t xml:space="preserve"> : potentialisation de la sédation.</w:t>
      </w:r>
    </w:p>
    <w:p>
      <w:r/>
      <w:r>
        <w:rPr>
          <w:b/>
        </w:rPr>
        <w:t>Grossesse et Allaitement :</w:t>
      </w:r>
      <w:r/>
    </w:p>
    <w:p>
      <w:pPr>
        <w:pStyle w:val="ListBullet"/>
      </w:pPr>
      <w:r>
        <w:t xml:space="preserve">Grossesse : Selon le CRAT, l'oxcarbazépine est </w:t>
      </w:r>
      <w:r>
        <w:rPr>
          <w:b/>
        </w:rPr>
        <w:t>à éviter par prudence pendant la grossesse</w:t>
      </w:r>
      <w:r>
        <w:t xml:space="preserve"> sauf nécessité absolue — préférer le </w:t>
      </w:r>
      <w:r>
        <w:rPr>
          <w:b/>
        </w:rPr>
        <w:t>lévétiracétam</w:t>
      </w:r>
      <w:r>
        <w:t xml:space="preserve"> (antiépileptique de choix). Les données issues du registre international des grossesses exposées à l'oxcarbazépine sont </w:t>
      </w:r>
      <w:r>
        <w:rPr>
          <w:b/>
        </w:rPr>
        <w:t>limitées</w:t>
      </w:r>
      <w:r>
        <w:t xml:space="preserve"> mais suggèrent un risque de malformations congénitales majeures de </w:t>
      </w:r>
      <w:r>
        <w:rPr>
          <w:b/>
        </w:rPr>
        <w:t>3-4 %</w:t>
      </w:r>
      <w:r>
        <w:t xml:space="preserve"> (proche de celui de la carbamazépine, supérieur à celui du lévétiracétam). Le métabolite MHD traverse la placenta. Les données neurodéveloppementales sont rassurantes mais limitées. L'oxcarbazépine réduit l'efficacité des contraceptifs oraux, ce qui augmente le risque de </w:t>
      </w:r>
      <w:r>
        <w:rPr>
          <w:b/>
        </w:rPr>
        <w:t>grossesse non planifiée</w:t>
      </w:r>
      <w:r>
        <w:t xml:space="preserve"> — d'où l'importance d'une </w:t>
      </w:r>
      <w:r>
        <w:rPr>
          <w:b/>
        </w:rPr>
        <w:t>double contraception</w:t>
      </w:r>
      <w:r>
        <w:t xml:space="preserve"> (estroprogestatique + méthode barrière) ou d'une </w:t>
      </w:r>
      <w:r>
        <w:rPr>
          <w:b/>
        </w:rPr>
        <w:t>contraception progestative pure</w:t>
      </w:r>
      <w:r>
        <w:t xml:space="preserve"> (desogestrel). </w:t>
      </w:r>
      <w:r>
        <w:rPr>
          <w:b/>
        </w:rPr>
        <w:t>Supplémentation en acide folique 5 mg/j</w:t>
      </w:r>
      <w:r>
        <w:t xml:space="preserve"> recommandée à partir du mois précédant la conception. Si une grossesse est engagée sous oxcarbazépine : (i) ne pas arrêter brutalement (risque de réapparition des crises avec état de mal épileptique — plus dangereux pour le fœtus) ; (ii) consulter le neurologue pour éventuelle substitution par le lévétiracétam ; (iii) échographie morphologique de référence à 22 SA ; (iv) suivi spécialisé au CRAT. Chez le nouveau-né : risque de </w:t>
      </w:r>
      <w:r>
        <w:rPr>
          <w:b/>
        </w:rPr>
        <w:t>carence en vitamine K</w:t>
      </w:r>
      <w:r>
        <w:t xml:space="preserve"> (prévention par administration de vitamine K 1 mg IM à la naissance) en raison de l'induction enzymatique.</w:t>
      </w:r>
    </w:p>
    <w:p>
      <w:pPr>
        <w:pStyle w:val="ListBullet"/>
      </w:pPr>
      <w:r>
        <w:t xml:space="preserve">Allaitement : Selon le CRAT, l'oxcarbazépine (via le MHD) est </w:t>
      </w:r>
      <w:r>
        <w:rPr>
          <w:b/>
        </w:rPr>
        <w:t>compatible avec l'allaitement maternel</w:t>
      </w:r>
      <w:r>
        <w:t xml:space="preserve"> avec surveillance. Le MHD passe dans le lait maternel (rapport lait/plasma ≈ 0,5) avec une exposition estimée chez le nourrisson à environ 5-7 % de la dose maternelle ajustée au poids. Surveiller le nourrisson : </w:t>
      </w:r>
      <w:r>
        <w:rPr>
          <w:b/>
        </w:rPr>
        <w:t>somnolence, mauvaise prise au sein, hypotonie</w:t>
      </w:r>
      <w:r>
        <w:t xml:space="preserve"> — en cas d'effet indésirable, suspendre l'allaitement.</w:t>
      </w:r>
    </w:p>
    <w:p>
      <w:pPr>
        <w:pStyle w:val="ListBullet"/>
      </w:pPr>
      <w:r>
        <w:t xml:space="preserve">Précisions : Le métabolite MHD est un inducteur enzymatique modéré du CYP3A4 — cette induction peut être responsable d'une </w:t>
      </w:r>
      <w:r>
        <w:rPr>
          <w:b/>
        </w:rPr>
        <w:t>carence en vitamine K</w:t>
      </w:r>
      <w:r>
        <w:t xml:space="preserve"> néonatale (prévention systématique) et d'une </w:t>
      </w:r>
      <w:r>
        <w:rPr>
          <w:b/>
        </w:rPr>
        <w:t>carence en vitamine D</w:t>
      </w:r>
      <w:r>
        <w:t xml:space="preserve"> chez le nourrisson allaité.</w:t>
      </w:r>
    </w:p>
    <w:p>
      <w:r/>
      <w:r>
        <w:rPr>
          <w:b/>
        </w:rPr>
        <w:t>Posologie et Mode d'administration (Standard) :</w:t>
      </w:r>
      <w:r/>
    </w:p>
    <w:p>
      <w:pPr>
        <w:pStyle w:val="ListBullet"/>
      </w:pPr>
      <w:r>
        <w:t xml:space="preserve">Adulte : </w:t>
      </w:r>
      <w:r>
        <w:rPr>
          <w:b/>
        </w:rPr>
        <w:t>dose initiale 150 mg ×2/j (300 mg/j en 2 prises)</w:t>
      </w:r>
      <w:r>
        <w:t xml:space="preserve">, peut être augmentée à 300 mg ×2/j après 1 semaine, puis 600 mg ×2/j (maximum 1200 mg ×2/j = 2400 mg/j). </w:t>
      </w:r>
      <w:r>
        <w:rPr>
          <w:b/>
        </w:rPr>
        <w:t>Dose d'entretien habituelle : 600 à 1800 mg/j en 2 prises</w:t>
      </w:r>
      <w:r>
        <w:t xml:space="preserve"> (300-900 mg matin et soir). </w:t>
      </w:r>
      <w:r>
        <w:rPr>
          <w:b/>
        </w:rPr>
        <w:t>Dose maximale : 2400 mg/j en 2 prises</w:t>
      </w:r>
      <w:r>
        <w:t xml:space="preserve"> (1200 mg ×2). Chez le sujet âgé : commencer à 150 mg ×2/j et titrer plus lentement. En relais de la carbamazépine : la dose d'oxcarbazépine est généralement 1,5 fois la dose de carbamazépine (par exemple, 600 mg carbamazépine → 900 mg oxcarbazépine).</w:t>
      </w:r>
    </w:p>
    <w:p>
      <w:pPr>
        <w:pStyle w:val="ListBullet"/>
      </w:pPr>
      <w:r>
        <w:t>Adaptation à la fonction rénale : ClCr ≥ 30 mL/min : dose standard ; ClCr &lt; 30 mL/min : réduire la dose de 50 % et titrer plus lentement (150 mg ×2/j en initiation).</w:t>
      </w:r>
    </w:p>
    <w:p>
      <w:pPr>
        <w:pStyle w:val="ListBullet"/>
      </w:pPr>
      <w:r>
        <w:t>Enfant &gt; 6 ans : 8-10 mg/kg/j en 2 prises, titration progressive à partir de 8-10 mg/kg/j ; dose maximale 60 mg/kg/j (sans dépasser 1800-2400 mg/j). Adolescent &gt; 16 ans : posologie adulte.</w:t>
      </w:r>
    </w:p>
    <w:p>
      <w:pPr>
        <w:pStyle w:val="ListBullet"/>
      </w:pPr>
      <w:r>
        <w:t xml:space="preserve">Durée : </w:t>
      </w:r>
      <w:r>
        <w:rPr>
          <w:b/>
        </w:rPr>
        <w:t>Au long cours</w:t>
      </w:r>
      <w:r>
        <w:t xml:space="preserve"> — traitement au minimum 2-5 ans après la dernière crise d'épilepsie, parfois à vie selon l'étiologie.</w:t>
      </w:r>
    </w:p>
    <w:p>
      <w:pPr>
        <w:pStyle w:val="ListBullet"/>
      </w:pPr>
      <w:r>
        <w:t xml:space="preserve">Moment de la prise : </w:t>
      </w:r>
      <w:r>
        <w:rPr>
          <w:b/>
        </w:rPr>
        <w:t>Pendant ou après les repas</w:t>
      </w:r>
      <w:r>
        <w:t xml:space="preserve"> (mais absorption indépendante de la prise alimentaire). La dernière prise est souvent prise </w:t>
      </w:r>
      <w:r>
        <w:rPr>
          <w:b/>
        </w:rPr>
        <w:t>au coucher</w:t>
      </w:r>
      <w:r>
        <w:t xml:space="preserve"> pour profiter de l'effet sédatif. La biprise (matin-soir) est le schéma standard.</w:t>
      </w:r>
    </w:p>
    <w:p>
      <w:r/>
      <w:r>
        <w:rPr>
          <w:b/>
        </w:rPr>
        <w:t>Arbitrage et Bénéfices des Formes Galéniques :</w:t>
      </w:r>
      <w:r/>
    </w:p>
    <w:p>
      <w:r>
        <w:t xml:space="preserve">L'oxcarbazépine est disponible en Algérie en </w:t>
      </w:r>
      <w:r>
        <w:rPr>
          <w:b/>
        </w:rPr>
        <w:t>un seul dosage oral</w:t>
      </w:r>
      <w:r>
        <w:t xml:space="preserve"> (150 mg en comprimés) chez Trileptal® Novartis, et </w:t>
      </w:r>
      <w:r>
        <w:rPr>
          <w:b/>
        </w:rPr>
        <w:t>NON_RENOUVELABLE</w:t>
      </w:r>
      <w:r>
        <w:t xml:space="preserve">. L'absence de </w:t>
      </w:r>
      <w:r>
        <w:rPr>
          <w:b/>
        </w:rPr>
        <w:t>comprimés à 300 mg et 600 mg</w:t>
      </w:r>
      <w:r>
        <w:t xml:space="preserve"> (disponibles en Europe) complique l'administration à doses d'entretien (par exemple, 600 mg ×2/j = 4 comprimés ×2/j = 8 comprimés/jour, ce qui est fastidieux et augmente le risque d'oubli). L'absence de </w:t>
      </w:r>
      <w:r>
        <w:rPr>
          <w:b/>
        </w:rPr>
        <w:t>forme sirop 60 mg/mL</w:t>
      </w:r>
      <w:r>
        <w:t xml:space="preserve"> (disponible en Europe) complique l'administration pédiatrique. Pour les patients nécessitant un sevrage, la combinaison de comprimés à 150 mg et la division par moitié (si sécables — vérifier la notice) permet une réduction progressive par paliers. </w:t>
      </w:r>
      <w:r>
        <w:rPr>
          <w:b/>
        </w:rPr>
        <w:t>Point algérien critique</w:t>
      </w:r>
      <w:r>
        <w:t xml:space="preserve"> : la situation de non-renouvellement impose une </w:t>
      </w:r>
      <w:r>
        <w:rPr>
          <w:b/>
        </w:rPr>
        <w:t>substitution systématique</w:t>
      </w:r>
      <w:r>
        <w:t xml:space="preserve"> des patients sous Trileptal® vers un autre antiépileptique (carbamazépine, lévétiracétam, lacosamide), à effectuer en concertation avec le neurologue. Le pharmacien d'officine doit : (i) </w:t>
      </w:r>
      <w:r>
        <w:rPr>
          <w:b/>
        </w:rPr>
        <w:t>informer le patient de la rupture d'approvisionnement</w:t>
      </w:r>
      <w:r>
        <w:t xml:space="preserve"> et </w:t>
      </w:r>
      <w:r>
        <w:rPr>
          <w:b/>
        </w:rPr>
        <w:t>faciliter la transition thérapeutique</w:t>
      </w:r>
      <w:r>
        <w:t xml:space="preserve"> ; (ii) </w:t>
      </w:r>
      <w:r>
        <w:rPr>
          <w:b/>
        </w:rPr>
        <w:t>ne pas initier de nouvelle prescription d'oxcarbazépine</w:t>
      </w:r>
      <w:r>
        <w:t xml:space="preserve"> ; (iii) </w:t>
      </w:r>
      <w:r>
        <w:rPr>
          <w:b/>
        </w:rPr>
        <w:t>orienter le patient vers son neurologue</w:t>
      </w:r>
      <w:r>
        <w:t xml:space="preserve"> pour substitution ; (iv) </w:t>
      </w:r>
      <w:r>
        <w:rPr>
          <w:b/>
        </w:rPr>
        <w:t>surveiller la transition</w:t>
      </w:r>
      <w:r>
        <w:t xml:space="preserve"> (réapparition des crises, effets indésirables de la nouvelle molécule).</w:t>
      </w:r>
    </w:p>
    <w:p>
      <w:r/>
      <w:r>
        <w:rPr>
          <w:b/>
        </w:rPr>
        <w:t>Instructions et Conseils au Patient :</w:t>
      </w:r>
      <w:r/>
    </w:p>
    <w:p>
      <w:pPr>
        <w:pStyle w:val="ListBullet"/>
      </w:pPr>
      <w:r>
        <w:t xml:space="preserve">Communication au comptoir : Expliquer au patient que : (i) le traitement est </w:t>
      </w:r>
      <w:r>
        <w:rPr>
          <w:b/>
        </w:rPr>
        <w:t>au long cours</w:t>
      </w:r>
      <w:r>
        <w:t xml:space="preserve"> et qu'il ne faut jamais l'arrêter brutalement (risque de </w:t>
      </w:r>
      <w:r>
        <w:rPr>
          <w:b/>
        </w:rPr>
        <w:t>réapparition des crises</w:t>
      </w:r>
      <w:r>
        <w:t xml:space="preserve">) ; (ii) les effets indésirables initiaux (somnolence, vertiges) sont transitoires — ne pas arrêter dès les premiers effets ; (iii) la </w:t>
      </w:r>
      <w:r>
        <w:rPr>
          <w:b/>
        </w:rPr>
        <w:t>titration progressive</w:t>
      </w:r>
      <w:r>
        <w:t xml:space="preserve"> est essentielle ; (iv) en cas d'oubli, </w:t>
      </w:r>
      <w:r>
        <w:rPr>
          <w:b/>
        </w:rPr>
        <w:t>prendre la dose oubliée si moins de 8 heures se sont écoulées</w:t>
      </w:r>
      <w:r>
        <w:t xml:space="preserve">, sinon ne pas prendre et continuer le schéma habituel — </w:t>
      </w:r>
      <w:r>
        <w:rPr>
          <w:b/>
        </w:rPr>
        <w:t>ne jamais doubler la dose</w:t>
      </w:r>
      <w:r>
        <w:t xml:space="preserve"> ; (v) </w:t>
      </w:r>
      <w:r>
        <w:rPr>
          <w:b/>
        </w:rPr>
        <w:t>ne pas conduire</w:t>
      </w:r>
      <w:r>
        <w:t xml:space="preserve"> pendant les premières semaines et à chaque augmentation de dose ; (vi) </w:t>
      </w:r>
      <w:r>
        <w:rPr>
          <w:b/>
        </w:rPr>
        <w:t>éviter l'alcool</w:t>
      </w:r>
      <w:r>
        <w:t xml:space="preserve"> (potentialisation de la sédation) ; (vii) </w:t>
      </w:r>
      <w:r>
        <w:rPr>
          <w:b/>
        </w:rPr>
        <w:t>prévenir le médecin et le pharmacien en cas de grossesse planifiée ou non</w:t>
      </w:r>
      <w:r>
        <w:t xml:space="preserve"> ; (viii) </w:t>
      </w:r>
      <w:r>
        <w:rPr>
          <w:b/>
        </w:rPr>
        <w:t>surveiller la natrémie</w:t>
      </w:r>
      <w:r>
        <w:t xml:space="preserve"> chez le sujet âgé (signes d'hyponatrémie : fatigue, confusion, convulsions, maux de tête, nausées) ; (ix) </w:t>
      </w:r>
      <w:r>
        <w:rPr>
          <w:b/>
        </w:rPr>
        <w:t>surveiller la peau</w:t>
      </w:r>
      <w:r>
        <w:t xml:space="preserve"> et consulter en urgence en cas d'éruption cutanée avec fièvre, ulcérations buccales ou génitales (signes de Stevens-Johnson) ; (x) </w:t>
      </w:r>
      <w:r>
        <w:rPr>
          <w:b/>
        </w:rPr>
        <w:t>porter une carte d'identification médicale</w:t>
      </w:r>
      <w:r>
        <w:t xml:space="preserve"> indiquant le traitement antiépileptique ; (xi) chez la femme en âge de procréer : </w:t>
      </w:r>
      <w:r>
        <w:rPr>
          <w:b/>
        </w:rPr>
        <w:t>contraception efficace obligatoire</w:t>
      </w:r>
      <w:r>
        <w:t xml:space="preserve"> — double contraception (estroprogestatique + méthode barrière) en raison de la réduction d'efficacité des contraceptifs oraux par l'oxcarbazépine ; (xii) </w:t>
      </w:r>
      <w:r>
        <w:rPr>
          <w:b/>
        </w:rPr>
        <w:t>information sur le statut NON_RENOUVELABLE</w:t>
      </w:r>
      <w:r>
        <w:t xml:space="preserve"> de l'oxcarbazépine en Algérie et nécessité de consulter le neurologue pour substitution progressive.</w:t>
      </w:r>
    </w:p>
    <w:p>
      <w:pPr>
        <w:pStyle w:val="ListBullet"/>
      </w:pPr>
      <w:r>
        <w:t xml:space="preserve">Mode d'utilisation pratique : Prendre les comprimés </w:t>
      </w:r>
      <w:r>
        <w:rPr>
          <w:b/>
        </w:rPr>
        <w:t>avec un grand verre d'eau</w:t>
      </w:r>
      <w:r>
        <w:t xml:space="preserve">, </w:t>
      </w:r>
      <w:r>
        <w:rPr>
          <w:b/>
        </w:rPr>
        <w:t>pendant ou après les repas</w:t>
      </w:r>
      <w:r>
        <w:t>. Conserver les comprimés à température ambiante (&lt;25 °C), à l'abri de l'humidité. Tenir hors de portée des enfants. Surveiller la natrémie chez le sujet âgé. Tenir un agenda des crises (date, heure, circonstances) à présenter au neurologue.</w:t>
      </w:r>
    </w:p>
    <w:p>
      <w:r/>
      <w:r>
        <w:rPr>
          <w:b/>
        </w:rPr>
        <w:t>Notes, Règles d'Or &amp; Pièges au Comptoir :</w:t>
      </w:r>
      <w:r/>
    </w:p>
    <w:p>
      <w:pPr>
        <w:pStyle w:val="ListBullet"/>
      </w:pPr>
      <w:r>
        <w:t xml:space="preserve">Piège classique : (i) </w:t>
      </w:r>
      <w:r>
        <w:rPr>
          <w:b/>
        </w:rPr>
        <w:t>oubli de surveillance de la natrémie</w:t>
      </w:r>
      <w:r>
        <w:t xml:space="preserve"> — l'hyponatrémie est plus fréquente qu'avec la carbamazépine (25-40 % des patients ont une natrémie &lt; 135 mmol/L) — particulièrement chez le sujet âgé et en cas d'association avec diurétiques ou ISRS ; (ii) </w:t>
      </w:r>
      <w:r>
        <w:rPr>
          <w:b/>
        </w:rPr>
        <w:t>oubli de la réduction d'efficacité des contraceptifs oraux</w:t>
      </w:r>
      <w:r>
        <w:t xml:space="preserve"> — induction du CYP3A4 par le MHD — risque de grossesse non planifiée ; (iii) </w:t>
      </w:r>
      <w:r>
        <w:rPr>
          <w:b/>
        </w:rPr>
        <w:t>oubli du risque de Stevens-Johnson</w:t>
      </w:r>
      <w:r>
        <w:t xml:space="preserve"> chez les porteurs de l'allèle HLA-B*1502 (populations asiatiques) — testing génétique recommandé ; (iv) </w:t>
      </w:r>
      <w:r>
        <w:rPr>
          <w:b/>
        </w:rPr>
        <w:t>oubli de l'information du patient sur le statut NON_RENOUVELABLE</w:t>
      </w:r>
      <w:r>
        <w:t xml:space="preserve"> — le pharmacien doit informer le patient et faciliter la transition vers une alternative ; (v) </w:t>
      </w:r>
      <w:r>
        <w:rPr>
          <w:b/>
        </w:rPr>
        <w:t>confusion avec la carbamazépine</w:t>
      </w:r>
      <w:r>
        <w:t xml:space="preserve"> — bien que chimiquement proche, l'oxcarbazépine a un métabolisme différent, un meilleur profil de tolérance hématologique, et un risque d'hyponatrémie plus élevé ; (vi) </w:t>
      </w:r>
      <w:r>
        <w:rPr>
          <w:b/>
        </w:rPr>
        <w:t>non adaptation à la fonction rénale</w:t>
      </w:r>
      <w:r>
        <w:t xml:space="preserve"> chez le sujet âgé ; (vii) </w:t>
      </w:r>
      <w:r>
        <w:rPr>
          <w:b/>
        </w:rPr>
        <w:t>oubli de la supplémentation en vitamine K</w:t>
      </w:r>
      <w:r>
        <w:t xml:space="preserve"> chez le nouveau-né en cas de prise pendant la grossesse (induction enzymatique).</w:t>
      </w:r>
    </w:p>
    <w:p>
      <w:pPr>
        <w:pStyle w:val="ListBullet"/>
      </w:pPr>
      <w:r>
        <w:t>Règle de prise : 2 prises par jour à heures régulières (par exemple 8h et 20h), pendant les repas. Dernière prise au coucher pour profiter de l'effet sédatif.</w:t>
      </w:r>
    </w:p>
    <w:p>
      <w:pPr>
        <w:pStyle w:val="ListBullet"/>
      </w:pPr>
      <w:r>
        <w:t>Préparation et Conservation : Conservation à température ambiante (&lt;25 °C), à l'abri de l'humidité et de la lumière. Pas de préparation magistrale nécessaire. Disponible en boîtes de 50 comprimés.</w:t>
      </w:r>
    </w:p>
    <w:p>
      <w:pPr>
        <w:pStyle w:val="ListBullet"/>
      </w:pPr>
      <w:r>
        <w:t xml:space="preserve">Piège du surdosage / Substitution : Le surdosage par l'oxcarbazépine peut provoquer </w:t>
      </w:r>
      <w:r>
        <w:rPr>
          <w:b/>
        </w:rPr>
        <w:t>somnolence sévère, ataxie, hyponatrémie sévère, convulsions paradoxales, coma</w:t>
      </w:r>
      <w:r>
        <w:t xml:space="preserve"> — traitement symptomatique, hémodialyse efficace. La </w:t>
      </w:r>
      <w:r>
        <w:rPr>
          <w:b/>
        </w:rPr>
        <w:t>substitution</w:t>
      </w:r>
      <w:r>
        <w:t xml:space="preserve"> de l'oxcarbazépine vers la carbamazépine (en cas de rupture d'approvisionnement en Algérie) doit se faire à dose réduite (1,5 × dose d'oxcarbazépine = dose de carbamazépine) avec surveillance clinique pendant 1 mois (réapparition des crises, effets indésirables hématologiques). La </w:t>
      </w:r>
      <w:r>
        <w:rPr>
          <w:b/>
        </w:rPr>
        <w:t>substitution</w:t>
      </w:r>
      <w:r>
        <w:t xml:space="preserve"> vers le lévétiracétam ou le lacosamide nécessite un chevauchement de 2-4 semaines (réduction progressive de l'oxcarbazépine pendant que le nouveau médicament est titré vers le haut).</w:t>
      </w:r>
    </w:p>
    <w:p>
      <w:pPr>
        <w:pStyle w:val="Heading2"/>
      </w:pPr>
      <w:r>
        <w:t>6. DCI : Lacosamide (Seule)</w:t>
      </w:r>
    </w:p>
    <w:p>
      <w:r/>
      <w:r>
        <w:rPr>
          <w:b/>
        </w:rPr>
        <w:t>Liste des Catégories :</w:t>
      </w:r>
      <w:r>
        <w:t xml:space="preserve"> Antiépileptiques — Modernes (canaux Na+ lents) ; Médicaments des épilepsies partielles ; Médicaments de la douleur neuropathique (hors AMM Europe) ; Liste I des substances vénéneuses.</w:t>
      </w:r>
    </w:p>
    <w:p>
      <w:r>
        <w:t xml:space="preserve">Le lacosamide (Losapil® — El Kendi, Trepadio® — Hikma) est le </w:t>
      </w:r>
      <w:r>
        <w:rPr>
          <w:b/>
        </w:rPr>
        <w:t>représentant unique</w:t>
      </w:r>
      <w:r>
        <w:t xml:space="preserve"> de la sous-classe des antiépileptiques canaux Na+ lents modernes. Cette classe pharmacologique se distingue des autres bloqueurs des canaux sodiques (phénytoïne, carbamazépine, oxcarbazépine, lamotrigine) par un mécanisme d'action original : </w:t>
      </w:r>
      <w:r>
        <w:rPr>
          <w:b/>
        </w:rPr>
        <w:t>facilitation de l'inactivation lente des canaux sodiques voltage-dépendants</w:t>
      </w:r>
      <w:r>
        <w:t xml:space="preserve"> (slow inactivation), un état distinct de l'inactivation rapide ciblée par les autres molécules. Cette </w:t>
      </w:r>
      <w:r>
        <w:rPr>
          <w:b/>
        </w:rPr>
        <w:t>sélectivité pour l'inactivation lente</w:t>
      </w:r>
      <w:r>
        <w:t xml:space="preserve"> permet au lacosamide de cibler préférentiellement les neurones épileptiques (activité paroxystique soutenue) tout en épargnant les neurones sains — d'où un profil de tolérance cognitive et cérébelleuse meilleur que celui de la carbamazépine ou de la phénytoïne. Le point critique du lacosamide concerne </w:t>
      </w:r>
      <w:r>
        <w:rPr>
          <w:b/>
        </w:rPr>
        <w:t>l'allongement de l'intervalle PR à l'ECG</w:t>
      </w:r>
      <w:r>
        <w:t>, qui impose une surveillance cardiaque à l'initiation et à chaque titration.</w:t>
      </w:r>
    </w:p>
    <w:p>
      <w:r/>
      <w:r>
        <w:rPr>
          <w:b/>
        </w:rPr>
        <w:t>Médicaments disponibles en Algérie (Marques, Laboratoires, Formes et Dosages) :</w:t>
      </w:r>
      <w:r/>
    </w:p>
    <w:p>
      <w:pPr>
        <w:pStyle w:val="ListBullet"/>
      </w:pPr>
      <w:r/>
      <w:r>
        <w:rPr>
          <w:b/>
        </w:rPr>
        <w:t>LOSAPIL</w:t>
      </w:r>
      <w:r>
        <w:t xml:space="preserve"> (EL KENDI INDUSTRIE DU MEDICAMENT)</w:t>
      </w:r>
    </w:p>
    <w:p>
      <w:pPr>
        <w:pStyle w:val="ListBullet"/>
      </w:pPr>
      <w:r>
        <w:t>Formes et Dosages : Comprimé pelliculé 50 mg (B/60) ; Comprimé pelliculé 100 mg (B/60)</w:t>
      </w:r>
    </w:p>
    <w:p>
      <w:pPr>
        <w:pStyle w:val="ListBullet"/>
      </w:pPr>
      <w:r>
        <w:t>Statut : Actif</w:t>
      </w:r>
    </w:p>
    <w:p>
      <w:pPr>
        <w:pStyle w:val="ListBullet"/>
      </w:pPr>
      <w:r/>
      <w:r>
        <w:rPr>
          <w:b/>
        </w:rPr>
        <w:t>TREPADIO</w:t>
      </w:r>
      <w:r>
        <w:t xml:space="preserve"> (HIKMA PHARMA ALGERIA)</w:t>
      </w:r>
    </w:p>
    <w:p>
      <w:pPr>
        <w:pStyle w:val="ListBullet"/>
      </w:pPr>
      <w:r>
        <w:t>Formes et Dosages : Comprimé pelliculé 50 mg (B/30) ; 100 mg (B/30) ; 150 mg (B/30) ; 200 mg (B/30) ; Sirop 10 mg/mL (Flacon de 200 mL)</w:t>
      </w:r>
    </w:p>
    <w:p>
      <w:pPr>
        <w:pStyle w:val="ListBullet"/>
      </w:pPr>
      <w:r>
        <w:t>Statut : Actif</w:t>
      </w:r>
    </w:p>
    <w:p>
      <w:r>
        <w:t xml:space="preserve">Le lacosamide est donc disponible en Algérie en </w:t>
      </w:r>
      <w:r>
        <w:rPr>
          <w:b/>
        </w:rPr>
        <w:t>4 dosages oraux</w:t>
      </w:r>
      <w:r>
        <w:t xml:space="preserve"> (50, 100, 150, 200 mg en comprimés) et </w:t>
      </w:r>
      <w:r>
        <w:rPr>
          <w:b/>
        </w:rPr>
        <w:t>1 forme sirop</w:t>
      </w:r>
      <w:r>
        <w:t xml:space="preserve"> (10 mg/mL), avec </w:t>
      </w:r>
      <w:r>
        <w:rPr>
          <w:b/>
        </w:rPr>
        <w:t>2 laboratoires</w:t>
      </w:r>
      <w:r>
        <w:t xml:space="preserve"> et </w:t>
      </w:r>
      <w:r>
        <w:rPr>
          <w:b/>
        </w:rPr>
        <w:t>7 formes actives</w:t>
      </w:r>
      <w:r>
        <w:t xml:space="preserve">. La disponibilité de la </w:t>
      </w:r>
      <w:r>
        <w:rPr>
          <w:b/>
        </w:rPr>
        <w:t>forme sirop</w:t>
      </w:r>
      <w:r>
        <w:t xml:space="preserve"> (Trepadio®) est particulièrement utile pour : (i) les </w:t>
      </w:r>
      <w:r>
        <w:rPr>
          <w:b/>
        </w:rPr>
        <w:t>enfants</w:t>
      </w:r>
      <w:r>
        <w:t xml:space="preserve"> (calcul de la dose en mg/kg) ; (ii) les patients âgés </w:t>
      </w:r>
      <w:r>
        <w:rPr>
          <w:b/>
        </w:rPr>
        <w:t>dysphagiques</w:t>
      </w:r>
      <w:r>
        <w:t xml:space="preserve"> ; (iii) les patients avec </w:t>
      </w:r>
      <w:r>
        <w:rPr>
          <w:b/>
        </w:rPr>
        <w:t>sonde naso-gastrique ou gastrostomie</w:t>
      </w:r>
      <w:r>
        <w:t xml:space="preserve"> ; (iv) l'adaptation fine des doses lors du sevrage progressif. </w:t>
      </w:r>
      <w:r>
        <w:rPr>
          <w:b/>
        </w:rPr>
        <w:t>Aucune forme injectable IV</w:t>
      </w:r>
      <w:r>
        <w:t xml:space="preserve"> n'est disponible en Algérie (Vimpat® IV existe en Europe 10 mg/mL en flacon de 20 mL — utile pour le status epilepticus et le patient à jeun péri-opératoire), ce qui complique la prise en charge des urgences neurologiques.</w:t>
      </w:r>
    </w:p>
    <w:p>
      <w:r/>
      <w:r>
        <w:rPr>
          <w:b/>
        </w:rPr>
        <w:t>Sous-classe et Mécanisme d'action :</w:t>
      </w:r>
      <w:r/>
    </w:p>
    <w:p>
      <w:pPr>
        <w:pStyle w:val="ListBullet"/>
      </w:pPr>
      <w:r>
        <w:t>Sous-classe : Antiépileptique moderne de troisième génération, canaux Na+ lents (inactivation lente). Médicament de spectre étroit, principalement indiqué dans les épilepsies partielles.</w:t>
      </w:r>
    </w:p>
    <w:p>
      <w:pPr>
        <w:pStyle w:val="ListBullet"/>
      </w:pPr>
      <w:r>
        <w:t>Mécanisme d'action : Le lacosamide est l'</w:t>
      </w:r>
      <w:r>
        <w:rPr>
          <w:b/>
        </w:rPr>
        <w:t>unique représentant</w:t>
      </w:r>
      <w:r>
        <w:t xml:space="preserve"> de la classe des antiépileptiques facilitant l'</w:t>
      </w:r>
      <w:r>
        <w:rPr>
          <w:b/>
        </w:rPr>
        <w:t>inactivation lente des canaux sodiques voltage-dépendants</w:t>
      </w:r>
      <w:r>
        <w:t xml:space="preserve"> (slow inactivation) — un état distinct de l'inactivation rapide ciblée par la phénytoïne, la carbamazépine, l'oxcarbazépine et la lamotrigine. L'inactivation lente survient lors de </w:t>
      </w:r>
      <w:r>
        <w:rPr>
          <w:b/>
        </w:rPr>
        <w:t>dépolarisations prolongées et répétées</w:t>
      </w:r>
      <w:r>
        <w:t xml:space="preserve"> (caractéristiques des neurones épileptiques en activité paroxystique soutenue), tandis que l'inactivation rapide survient en quelques millisecondes après un seul potentiel d'action. Cette </w:t>
      </w:r>
      <w:r>
        <w:rPr>
          <w:b/>
        </w:rPr>
        <w:t>sélectivité pour l'inactivation lente</w:t>
      </w:r>
      <w:r>
        <w:t xml:space="preserve"> permet au lacosamide de cibler préférentiellement les neurones épileptiques (activité paroxystique soutenue) tout en épargnant les neurones sains (activité électrique normale) — d'où un profil de tolérance cognitive et cérébelleuse meilleur que celui de la carbamazépine ou de la phénytoïne. Le lacosamide se lie au site de reconnaissance des canaux Na+ mais à un site différent de la phénytoïne et de la carbamazépine (site de liaison à la sous-unité α des canaux Nav1.1-1.7). Il présente également une </w:t>
      </w:r>
      <w:r>
        <w:rPr>
          <w:b/>
        </w:rPr>
        <w:t>affinité faible pour la protéine CRMP-2 (Collapsin Response Mediator Protein-2)</w:t>
      </w:r>
      <w:r>
        <w:t xml:space="preserve">, une protéine impliquée dans la différenciation neuronale et la plasticité synaptique — cette action pourrait contribuer à un effet neuroprotecteur et à la prévention de la kindling (épileptogenèse), mais son rôle clinique reste à préciser. Le lacosamide n'a </w:t>
      </w:r>
      <w:r>
        <w:rPr>
          <w:b/>
        </w:rPr>
        <w:t>aucune action directe</w:t>
      </w:r>
      <w:r>
        <w:t xml:space="preserve"> sur les récepteurs GABA-A ou GABA-B, ni sur les canaux calciques, ni sur l'anhydrase carbonique, ni sur les récepteurs glutamate. Cette sélectivité explique son profil de tolérance favorable et son absence d'interactions médicamenteuses significatives.</w:t>
      </w:r>
    </w:p>
    <w:p>
      <w:r/>
      <w:r>
        <w:rPr>
          <w:b/>
        </w:rPr>
        <w:t>Profil Pharmacologique :</w:t>
      </w:r>
      <w:r/>
    </w:p>
    <w:p>
      <w:pPr>
        <w:pStyle w:val="ListBullet"/>
      </w:pPr>
      <w:r>
        <w:t xml:space="preserve">Indications : (i) </w:t>
      </w:r>
      <w:r>
        <w:rPr>
          <w:b/>
        </w:rPr>
        <w:t>Épilepsies partielles avec ou sans généralisation secondaire de l'adulte et de l'enfant &gt; 4 ans</w:t>
      </w:r>
      <w:r>
        <w:t xml:space="preserve"> en association (indication initiale AMM européenne) ; (ii) en </w:t>
      </w:r>
      <w:r>
        <w:rPr>
          <w:b/>
        </w:rPr>
        <w:t>monothérapie</w:t>
      </w:r>
      <w:r>
        <w:t xml:space="preserve"> après conversion à partir d'une autre antiépileptique (indication extension AMM européenne) ; (iii) hors AMM : </w:t>
      </w:r>
      <w:r>
        <w:rPr>
          <w:b/>
        </w:rPr>
        <w:t>douleurs neuropathiques</w:t>
      </w:r>
      <w:r>
        <w:t xml:space="preserve"> (efficacité modeste, AMM initialement demandée mais non accordée en Europe en raison du profil de tolérance) ; (iv) </w:t>
      </w:r>
      <w:r>
        <w:rPr>
          <w:b/>
        </w:rPr>
        <w:t>status epilepticus</w:t>
      </w:r>
      <w:r>
        <w:t xml:space="preserve"> en IV en association (non disponible en Algérie en IV) ; (v) </w:t>
      </w:r>
      <w:r>
        <w:rPr>
          <w:b/>
        </w:rPr>
        <w:t>migraine prophylaxie</w:t>
      </w:r>
      <w:r>
        <w:t xml:space="preserve"> (efficacité modeste). Le lacosamide est un antiépileptique de </w:t>
      </w:r>
      <w:r>
        <w:rPr>
          <w:b/>
        </w:rPr>
        <w:t>spectre étroit</w:t>
      </w:r>
      <w:r>
        <w:t>, principalement actif sur les épilepsies partielles — son efficacité sur les épilepsies généralisées idiopathiques est limitée et il peut même aggraver les crises myocloniques et les absences (comme la carbamazépine et l'oxcarbazépine).</w:t>
      </w:r>
    </w:p>
    <w:p>
      <w:pPr>
        <w:pStyle w:val="ListBullet"/>
      </w:pPr>
      <w:r>
        <w:t xml:space="preserve">Contre-indications : (i) </w:t>
      </w:r>
      <w:r>
        <w:rPr>
          <w:b/>
        </w:rPr>
        <w:t>hypersensibilité au lacosamide</w:t>
      </w:r>
      <w:r>
        <w:t xml:space="preserve"> ; (ii) </w:t>
      </w:r>
      <w:r>
        <w:rPr>
          <w:b/>
        </w:rPr>
        <w:t>bloc auriculo-ventriculaire de degré 2 ou 3 non appareillé</w:t>
      </w:r>
      <w:r>
        <w:t xml:space="preserve"> (en raison de l'allongement du PR) ; (iii) </w:t>
      </w:r>
      <w:r>
        <w:rPr>
          <w:b/>
        </w:rPr>
        <w:t>insuffisance cardiaque sévère</w:t>
      </w:r>
      <w:r>
        <w:t xml:space="preserve"> (NYHA IV) en raison du risque de décompensation par allongement du PR ; (iv) </w:t>
      </w:r>
      <w:r>
        <w:rPr>
          <w:b/>
        </w:rPr>
        <w:t>allaitement</w:t>
      </w:r>
      <w:r>
        <w:t xml:space="preserve"> (à éviter par prudence) ; (v) précaution chez la femme enceinte (voir section Grossesse) ; (vi) précaution majeure chez les patients aux </w:t>
      </w:r>
      <w:r>
        <w:rPr>
          <w:b/>
        </w:rPr>
        <w:t>antécédents cardiaques</w:t>
      </w:r>
      <w:r>
        <w:t xml:space="preserve"> (troubles de la conduction, infarctus du myocarde récent, insuffisance cardiaque) — surveillance ECG à l'initiation et à chaque titration ; (vii) précaution chez les patients </w:t>
      </w:r>
      <w:r>
        <w:rPr>
          <w:b/>
        </w:rPr>
        <w:t>sous bêta-bloquants, inhibiteurs calciques non dihydropyridiniques (vérapamil, diltiazem), digoxine, amiodarone</w:t>
      </w:r>
      <w:r>
        <w:t xml:space="preserve"> — risque accru d'allongement du PR et de bloc AV ; (viii) précaution chez le sujet âgé (adaptation à la fonction rénale, surveillance ECG et cognitive) ; (ix) précaution en cas d'</w:t>
      </w:r>
      <w:r>
        <w:rPr>
          <w:b/>
        </w:rPr>
        <w:t>insuffisance rénale sévère</w:t>
      </w:r>
      <w:r>
        <w:t xml:space="preserve"> (ClCr &lt; 30 mL/min — adapter obligatoirement) ; (x) précaution en cas d'</w:t>
      </w:r>
      <w:r>
        <w:rPr>
          <w:b/>
        </w:rPr>
        <w:t>insuffisance hépatique modérée à sévère</w:t>
      </w:r>
      <w:r>
        <w:t xml:space="preserve"> (adaptation à la fonction rénale qui est souvent altérée dans ce contexte).</w:t>
      </w:r>
    </w:p>
    <w:p>
      <w:pPr>
        <w:pStyle w:val="ListBullet"/>
      </w:pPr>
      <w:r>
        <w:t xml:space="preserve">Effets Indésirables : Profil globalement favorable, dominé par les effets centraux : (i) </w:t>
      </w:r>
      <w:r>
        <w:rPr>
          <w:b/>
        </w:rPr>
        <w:t>somnolence et sédation</w:t>
      </w:r>
      <w:r>
        <w:t xml:space="preserve"> (très fréquents, 15-25 % — dose-dépendants) ; (ii) </w:t>
      </w:r>
      <w:r>
        <w:rPr>
          <w:b/>
        </w:rPr>
        <w:t>vertiges et étourdissements</w:t>
      </w:r>
      <w:r>
        <w:t xml:space="preserve"> (très fréquents, dose-dépendants — effet central et effet cardiaque possible) ; (iii) </w:t>
      </w:r>
      <w:r>
        <w:rPr>
          <w:b/>
        </w:rPr>
        <w:t>céphalées</w:t>
      </w:r>
      <w:r>
        <w:t xml:space="preserve"> ; (iv) </w:t>
      </w:r>
      <w:r>
        <w:rPr>
          <w:b/>
        </w:rPr>
        <w:t>ataxie et troubles de la coordination</w:t>
      </w:r>
      <w:r>
        <w:t xml:space="preserve"> ; (v) </w:t>
      </w:r>
      <w:r>
        <w:rPr>
          <w:b/>
        </w:rPr>
        <w:t>troubles visuels</w:t>
      </w:r>
      <w:r>
        <w:t xml:space="preserve"> (vision floue, diplopie — dose-dépendants) ; (vi) </w:t>
      </w:r>
      <w:r>
        <w:rPr>
          <w:b/>
        </w:rPr>
        <w:t>troubles cognitifs</w:t>
      </w:r>
      <w:r>
        <w:t xml:space="preserve"> (troubles de la mémoire, ralentissement idéatoire — moins marqués qu'avec le topiramate) ; (vii) </w:t>
      </w:r>
      <w:r>
        <w:rPr>
          <w:b/>
        </w:rPr>
        <w:t>troubles psychiatriques</w:t>
      </w:r>
      <w:r>
        <w:t xml:space="preserve"> : dépression (5-10 %), nervosité, irritabilité, idées suicidaires (1-2 %, à surveiller), rarement psychose ; (viii) </w:t>
      </w:r>
      <w:r>
        <w:rPr>
          <w:b/>
        </w:rPr>
        <w:t>troubles gastro-intestinaux</w:t>
      </w:r>
      <w:r>
        <w:t xml:space="preserve"> (nausées, vomissements, sécheresse buccale, constipation, diarrhée) ; (ix) </w:t>
      </w:r>
      <w:r>
        <w:rPr>
          <w:b/>
        </w:rPr>
        <w:t>allongement de l'intervalle PR à l'ECG</w:t>
      </w:r>
      <w:r>
        <w:t xml:space="preserve"> — effet indésirable classique du lacosamide (10-15 % des patients ont un PR &gt; 200 ms, 0,5-1 % développent un bloc AV de degré 1, plus rarement de degré 2 ou 3 — surveillance ECG) ; (x) </w:t>
      </w:r>
      <w:r>
        <w:rPr>
          <w:b/>
        </w:rPr>
        <w:t>troubles cutanés</w:t>
      </w:r>
      <w:r>
        <w:t xml:space="preserve"> (rash, prurit — rares) ; (xi) </w:t>
      </w:r>
      <w:r>
        <w:rPr>
          <w:b/>
        </w:rPr>
        <w:t>troubles hématologiques</w:t>
      </w:r>
      <w:r>
        <w:t xml:space="preserve"> rares : agranulocytose (très rare) ; (xii) </w:t>
      </w:r>
      <w:r>
        <w:rPr>
          <w:b/>
        </w:rPr>
        <w:t>hypersensitivity reactions</w:t>
      </w:r>
      <w:r>
        <w:t xml:space="preserve"> : rarement DRESS (Drug Rash with Eosinophilia and Systemic Symptoms), hépatite médicamenteuse ; (xiii) </w:t>
      </w:r>
      <w:r>
        <w:rPr>
          <w:b/>
        </w:rPr>
        <w:t>chute de cheveux</w:t>
      </w:r>
      <w:r>
        <w:t xml:space="preserve"> (rares cas rapportés) ; (xiv) </w:t>
      </w:r>
      <w:r>
        <w:rPr>
          <w:b/>
        </w:rPr>
        <w:t>syndrome de sevrage</w:t>
      </w:r>
      <w:r>
        <w:t xml:space="preserve"> à l'arrêt brutal (recrudescence des crises — ne jamais arrêter brutalement) ; (xv) très rare : </w:t>
      </w:r>
      <w:r>
        <w:rPr>
          <w:b/>
        </w:rPr>
        <w:t>éosinophilie pulmonaire</w:t>
      </w:r>
      <w:r>
        <w:t xml:space="preserve">, </w:t>
      </w:r>
      <w:r>
        <w:rPr>
          <w:b/>
        </w:rPr>
        <w:t>réaction anaphylactique</w:t>
      </w:r>
      <w:r>
        <w:t>.</w:t>
      </w:r>
    </w:p>
    <w:p>
      <w:r/>
      <w:r>
        <w:rPr>
          <w:b/>
        </w:rPr>
        <w:t>Prévention et Gestion des Effets Indésirables :</w:t>
      </w:r>
      <w:r/>
    </w:p>
    <w:p>
      <w:pPr>
        <w:pStyle w:val="ListBullet"/>
      </w:pPr>
      <w:r>
        <w:t xml:space="preserve">Mesures Préventives : (i) </w:t>
      </w:r>
      <w:r>
        <w:rPr>
          <w:b/>
        </w:rPr>
        <w:t>augmentation posologique progressive</w:t>
      </w:r>
      <w:r>
        <w:t xml:space="preserve"> selon le schéma recommandé : 50 mg ×2/j pendant 1 semaine, puis 100 mg ×2/j, puis 150 mg ×2/j, puis 200 mg ×2/j (titration sur 4-6 semaines) ; (ii) </w:t>
      </w:r>
      <w:r>
        <w:rPr>
          <w:b/>
        </w:rPr>
        <w:t>surveillance ECG systématique</w:t>
      </w:r>
      <w:r>
        <w:t xml:space="preserve"> à l'initiation et à chaque titration — mesurer le PR (normal 120-200 ms) ; en cas de PR &gt; 200 ms, réduire la dose ou arrêter ; en cas de bloc AV de degré 2 ou 3, arrêt immédiat et consultation cardiologique ; (iii) </w:t>
      </w:r>
      <w:r>
        <w:rPr>
          <w:b/>
        </w:rPr>
        <w:t>évaluation cardiaque pré-thérapeutique</w:t>
      </w:r>
      <w:r>
        <w:t xml:space="preserve"> chez les patients aux antécédents cardiaques (ECG, ETT, BNP) ; (iv) </w:t>
      </w:r>
      <w:r>
        <w:rPr>
          <w:b/>
        </w:rPr>
        <w:t>surveillance de l'état psychiatrique</w:t>
      </w:r>
      <w:r>
        <w:t xml:space="preserve"> (idéation suicidaire — classe-effect) ; (v) </w:t>
      </w:r>
      <w:r>
        <w:rPr>
          <w:b/>
        </w:rPr>
        <w:t>surveillance de la fonction rénale</w:t>
      </w:r>
      <w:r>
        <w:t xml:space="preserve"> (créatininémie et clairance) à l'initiation puis annuellement — adaptation posologique obligatoire si ClCr &lt; 80 mL/min ; (vi) </w:t>
      </w:r>
      <w:r>
        <w:rPr>
          <w:b/>
        </w:rPr>
        <w:t>information du patient sur le syndrome de sevrage</w:t>
      </w:r>
      <w:r>
        <w:t xml:space="preserve"> et l'interdiction d'arrêter brutalement le traitement — sevrage à effectuer sur plusieurs semaines (réduction de 25 % tous les 7 jours) ; (vii) </w:t>
      </w:r>
      <w:r>
        <w:rPr>
          <w:b/>
        </w:rPr>
        <w:t>prudence à la conduite automobile</w:t>
      </w:r>
      <w:r>
        <w:t xml:space="preserve"> pendant les premières semaines et à chaque augmentation de dose ; (viii) </w:t>
      </w:r>
      <w:r>
        <w:rPr>
          <w:b/>
        </w:rPr>
        <w:t>prévention des chutes</w:t>
      </w:r>
      <w:r>
        <w:t xml:space="preserve"> chez le sujet âgé (ataxie, vertigos) ; (ix) </w:t>
      </w:r>
      <w:r>
        <w:rPr>
          <w:b/>
        </w:rPr>
        <w:t>bilan dermatologique</w:t>
      </w:r>
      <w:r>
        <w:t xml:space="preserve"> à la moindre éruption cutanée (recherche de DRESS).</w:t>
      </w:r>
    </w:p>
    <w:p>
      <w:pPr>
        <w:pStyle w:val="ListBullet"/>
      </w:pPr>
      <w:r>
        <w:t xml:space="preserve">Conduite à Tenir : (i) en cas de </w:t>
      </w:r>
      <w:r>
        <w:rPr>
          <w:b/>
        </w:rPr>
        <w:t>somnolence excessive</w:t>
      </w:r>
      <w:r>
        <w:t xml:space="preserve"> : espacer les prises, transférer une plus grande partie de la dose au coucher, réduire la dose totale de 25 % ; (ii) en cas d'</w:t>
      </w:r>
      <w:r>
        <w:rPr>
          <w:b/>
        </w:rPr>
        <w:t>allongement du PR &gt; 200 ms</w:t>
      </w:r>
      <w:r>
        <w:t xml:space="preserve"> : réduire la dose, surveillance ECG rapprochée, envisager une alternative (lévétiracétam) si persistance ; (iii) en cas de </w:t>
      </w:r>
      <w:r>
        <w:rPr>
          <w:b/>
        </w:rPr>
        <w:t>bloc AV de degré 2 ou 3</w:t>
      </w:r>
      <w:r>
        <w:t xml:space="preserve"> : </w:t>
      </w:r>
      <w:r>
        <w:rPr>
          <w:b/>
        </w:rPr>
        <w:t>arrêt immédiat et consultation cardiologique urgente</w:t>
      </w:r>
      <w:r>
        <w:t xml:space="preserve"> (pose de pacemaker possible) ; (iv) en cas de </w:t>
      </w:r>
      <w:r>
        <w:rPr>
          <w:b/>
        </w:rPr>
        <w:t>troubles psychiatriques</w:t>
      </w:r>
      <w:r>
        <w:t xml:space="preserve"> : arrêt et consultation psychiatrique urgente ; (v) en cas d'</w:t>
      </w:r>
      <w:r>
        <w:rPr>
          <w:b/>
        </w:rPr>
        <w:t>éruption cutanée avec fièvre, adénopathies, hyperéosinophilie, atteinte hépatique</w:t>
      </w:r>
      <w:r>
        <w:t xml:space="preserve"> (syndrome DRESS) : arrêt immédiat, hospitalisation urgente, corticothérapie ; (vi) en cas de </w:t>
      </w:r>
      <w:r>
        <w:rPr>
          <w:b/>
        </w:rPr>
        <w:t>troubles hématologiques</w:t>
      </w:r>
      <w:r>
        <w:t xml:space="preserve"> : arrêt si agranulocytose (PNN &lt; 500/mm3) ; (vii) en cas de </w:t>
      </w:r>
      <w:r>
        <w:rPr>
          <w:b/>
        </w:rPr>
        <w:t>grossesse non planifiée</w:t>
      </w:r>
      <w:r>
        <w:t xml:space="preserve"> : ne pas arrêter brutalement (risque de réapparition des crises avec état de mal épileptique), consulter le neurologue — le lévétiracétam est l'antiépileptique de choix pendant la grossesse et peut généralement être substitué progressivement.</w:t>
      </w:r>
    </w:p>
    <w:p>
      <w:r/>
      <w:r>
        <w:rPr>
          <w:b/>
        </w:rPr>
        <w:t>Interactions Importantes :</w:t>
      </w:r>
      <w:r/>
    </w:p>
    <w:p>
      <w:pPr>
        <w:pStyle w:val="ListBullet"/>
      </w:pPr>
      <w:r/>
      <w:r>
        <w:rPr>
          <w:b/>
        </w:rPr>
        <w:t>Lacosamide + autres allongeant le PR (bêta-bloquants, inhibiteurs calciques non dihydropyridiniques — vérapamil, diltiazem — digoxine, amiodarone, flecaïnide, propafénone, ajmaline, quinidine, procainamide, disopyramide, sotalol)</w:t>
      </w:r>
      <w:r>
        <w:t xml:space="preserve"> : </w:t>
      </w:r>
      <w:r>
        <w:rPr>
          <w:b/>
        </w:rPr>
        <w:t>addition de l'allongement du PR</w:t>
      </w:r>
      <w:r>
        <w:t xml:space="preserve"> — risque de bloc AV — surveillance ECG étroite, envisager une alternative.</w:t>
      </w:r>
    </w:p>
    <w:p>
      <w:pPr>
        <w:pStyle w:val="ListBullet"/>
      </w:pPr>
      <w:r/>
      <w:r>
        <w:rPr>
          <w:b/>
        </w:rPr>
        <w:t>Lacosamide + autres antiépileptiques</w:t>
      </w:r>
      <w:r>
        <w:t xml:space="preserve"> : pas d'interaction pharmacocinétique notable — peut être associé à la carbamazépine, valproate, lamotrigine, topiramate, lévétiracétam sans ajustement. Atout majeur en polythérapie antiépileptique.</w:t>
      </w:r>
    </w:p>
    <w:p>
      <w:pPr>
        <w:pStyle w:val="ListBullet"/>
      </w:pPr>
      <w:r/>
      <w:r>
        <w:rPr>
          <w:b/>
        </w:rPr>
        <w:t>Lacosamide + contraceptifs oraux</w:t>
      </w:r>
      <w:r>
        <w:t xml:space="preserve"> : </w:t>
      </w:r>
      <w:r>
        <w:rPr>
          <w:b/>
        </w:rPr>
        <w:t>aucune interaction</w:t>
      </w:r>
      <w:r>
        <w:t xml:space="preserve"> documentée — le lacosamide n'induit pas le CYP3A4 et ne réduit pas l'efficacité contraceptive (avantage majeur chez la femme en âge de procréer).</w:t>
      </w:r>
    </w:p>
    <w:p>
      <w:pPr>
        <w:pStyle w:val="ListBullet"/>
      </w:pPr>
      <w:r/>
      <w:r>
        <w:rPr>
          <w:b/>
        </w:rPr>
        <w:t>Lacosamide + warfarine</w:t>
      </w:r>
      <w:r>
        <w:t xml:space="preserve"> : pas d'interaction documentée.</w:t>
      </w:r>
    </w:p>
    <w:p>
      <w:pPr>
        <w:pStyle w:val="ListBullet"/>
      </w:pPr>
      <w:r/>
      <w:r>
        <w:rPr>
          <w:b/>
        </w:rPr>
        <w:t>Lacosamide + digoxine</w:t>
      </w:r>
      <w:r>
        <w:t xml:space="preserve"> : pas d'interaction pharmacocinétique notable — mais addition de l'allongement du PR (surveillance ECG).</w:t>
      </w:r>
    </w:p>
    <w:p>
      <w:pPr>
        <w:pStyle w:val="ListBullet"/>
      </w:pPr>
      <w:r/>
      <w:r>
        <w:rPr>
          <w:b/>
        </w:rPr>
        <w:t>Lacosamide + IEC, ARA II</w:t>
      </w:r>
      <w:r>
        <w:t xml:space="preserve"> : pas d'interaction notable.</w:t>
      </w:r>
    </w:p>
    <w:p>
      <w:pPr>
        <w:pStyle w:val="ListBullet"/>
      </w:pPr>
      <w:r/>
      <w:r>
        <w:rPr>
          <w:b/>
        </w:rPr>
        <w:t>Lacosamide + alcool, benzodiazépines, autres dépresseurs du SNC</w:t>
      </w:r>
      <w:r>
        <w:t xml:space="preserve"> : potentialisation de la sédation.</w:t>
      </w:r>
    </w:p>
    <w:p>
      <w:pPr>
        <w:pStyle w:val="ListBullet"/>
      </w:pPr>
      <w:r/>
      <w:r>
        <w:rPr>
          <w:b/>
        </w:rPr>
        <w:t>Lacosamide + autres médicaments allongeant le QT</w:t>
      </w:r>
      <w:r>
        <w:t xml:space="preserve"> : pas d'effet significatif du lacosamide sur le QT, mais surveillance ECG en cas d'association.</w:t>
      </w:r>
    </w:p>
    <w:p>
      <w:r/>
      <w:r>
        <w:rPr>
          <w:b/>
        </w:rPr>
        <w:t>Grossesse et Allaitement :</w:t>
      </w:r>
      <w:r/>
    </w:p>
    <w:p>
      <w:pPr>
        <w:pStyle w:val="ListBullet"/>
      </w:pPr>
      <w:r>
        <w:t xml:space="preserve">Grossesse : Selon le CRAT, le lacosamide est </w:t>
      </w:r>
      <w:r>
        <w:rPr>
          <w:b/>
        </w:rPr>
        <w:t>à éviter par prudence pendant la grossesse</w:t>
      </w:r>
      <w:r>
        <w:t xml:space="preserve"> sauf nécessité absolue — préférer le </w:t>
      </w:r>
      <w:r>
        <w:rPr>
          <w:b/>
        </w:rPr>
        <w:t>lévétiracétam</w:t>
      </w:r>
      <w:r>
        <w:t xml:space="preserve"> (antiépileptique de choix). Les données issues du registre international des grossesses exposées au lacosamide sont </w:t>
      </w:r>
      <w:r>
        <w:rPr>
          <w:b/>
        </w:rPr>
        <w:t>très limitées</w:t>
      </w:r>
      <w:r>
        <w:t xml:space="preserve"> (quelques centaines de cas) mais ne montrent pas d'augmentation significative du risque de malformations congénitales majeures (2-3 % — proche de la population générale). Cependant, en raison du faible recul et de la prévention de principe, le lacosamide n'est pas recommandé comme antiépileptique de premier choix pendant la grossesse. Le lacosamide ne doit pas être initié pendant la grossesse sans réévaluation médicale. </w:t>
      </w:r>
      <w:r>
        <w:rPr>
          <w:b/>
        </w:rPr>
        <w:t>Supplémentation en acide folique 5 mg/j</w:t>
      </w:r>
      <w:r>
        <w:t xml:space="preserve"> recommandée à partir du mois précédant la conception. Si une grossesse est engagée sous lacosamide : (i) ne pas arrêter brutalement (risque de réapparition des crises avec état de mal épileptique — plus dangereux pour le fœtus) ; (ii) consulter le neurologue pour éventuelle substitution par le lévétiracétam ; (iii) échographie morphologique de référence à 22 SA ; (iv) suivi spécialisé au CRAT.</w:t>
      </w:r>
    </w:p>
    <w:p>
      <w:pPr>
        <w:pStyle w:val="ListBullet"/>
      </w:pPr>
      <w:r>
        <w:t xml:space="preserve">Allaitement : Selon le CRAT, le lacosamide est </w:t>
      </w:r>
      <w:r>
        <w:rPr>
          <w:b/>
        </w:rPr>
        <w:t>déconseillé pendant l'allaitement</w:t>
      </w:r>
      <w:r>
        <w:t xml:space="preserve"> en raison du passage significatif dans le lait maternel (rapport lait/plasma ≈ 0,6) et du risque de </w:t>
      </w:r>
      <w:r>
        <w:rPr>
          <w:b/>
        </w:rPr>
        <w:t>somnolence, hypotonie, mauvaise prise au sein</w:t>
      </w:r>
      <w:r>
        <w:t xml:space="preserve"> chez le nourrisson. Si l'allaitement est maintenu, surveiller étroitement le nourrisson. Préférer le passage à une alternative (lévétiracétam, compatible avec l'allaitement).</w:t>
      </w:r>
    </w:p>
    <w:p>
      <w:pPr>
        <w:pStyle w:val="ListBullet"/>
      </w:pPr>
      <w:r>
        <w:t>Précisions : Le lacosamide ne provoque pas de syndrome de sevrage néonatal significatif — surveillance néonatale de routine.</w:t>
      </w:r>
    </w:p>
    <w:p>
      <w:r/>
      <w:r>
        <w:rPr>
          <w:b/>
        </w:rPr>
        <w:t>Posologie et Mode d'administration (Standard) :</w:t>
      </w:r>
      <w:r/>
    </w:p>
    <w:p>
      <w:pPr>
        <w:pStyle w:val="ListBullet"/>
      </w:pPr>
      <w:r>
        <w:t xml:space="preserve">Adulte : </w:t>
      </w:r>
      <w:r>
        <w:rPr>
          <w:b/>
        </w:rPr>
        <w:t>dose initiale 50 mg ×2/j (100 mg/j en 2 prises)</w:t>
      </w:r>
      <w:r>
        <w:t xml:space="preserve">, peut être augmentée à 100 mg ×2/j après 1 semaine, puis 150 mg ×2/j, puis 200 mg ×2/j (dose d'entretien habituelle). </w:t>
      </w:r>
      <w:r>
        <w:rPr>
          <w:b/>
        </w:rPr>
        <w:t>Dose d'entretien habituelle : 200 à 400 mg/j en 2 prises</w:t>
      </w:r>
      <w:r>
        <w:t xml:space="preserve"> (100-200 mg matin et soir). </w:t>
      </w:r>
      <w:r>
        <w:rPr>
          <w:b/>
        </w:rPr>
        <w:t>Dose maximale : 400 mg/j en 2 prises</w:t>
      </w:r>
      <w:r>
        <w:t xml:space="preserve"> (200 mg ×2). Chez le sujet âgé : commencer à 50 mg ×2/j et titrer plus lentement.</w:t>
      </w:r>
    </w:p>
    <w:p>
      <w:pPr>
        <w:pStyle w:val="ListBullet"/>
      </w:pPr>
      <w:r>
        <w:t>Adaptation à la fonction rénale (le lacosamide est éliminé à 40 % sous forme inchangée par le rein et 60 % sous forme de métabolites inactifs) : ClCr ≥ 80 mL/min : dose standard ; ClCr 50-79 : réduire la dose de 25 % ; ClCr 30-49 : réduire la dose de 50 % ; ClCr &lt; 30 : réduire la dose de 75 %, surveillance étroite. Hémodialysé : dose supplémentaire de 50-100 mg après chaque dialyse.</w:t>
      </w:r>
    </w:p>
    <w:p>
      <w:pPr>
        <w:pStyle w:val="ListBullet"/>
      </w:pPr>
      <w:r>
        <w:t>Adaptation à la fonction hépatique : Insuffisance hépatique légère à modérée : dose standard avec surveillance. Insuffisance hépatique sévère : réduire la dose de 25-50 % et adapter à la fonction rénale (souvent altérée).</w:t>
      </w:r>
    </w:p>
    <w:p>
      <w:pPr>
        <w:pStyle w:val="ListBullet"/>
      </w:pPr>
      <w:r>
        <w:t>Enfant &gt; 4 ans : 2-8 mg/kg/j en 2 prises, titration progressive à partir de 2 mg/kg/j ; dose maximale 12 mg/kg/j (sans dépasser 400 mg/j). Adolescent &gt; 16 ans : posologie adulte. Sirop 10 mg/mL utile pour l'enfant.</w:t>
      </w:r>
    </w:p>
    <w:p>
      <w:pPr>
        <w:pStyle w:val="ListBullet"/>
      </w:pPr>
      <w:r>
        <w:t xml:space="preserve">Durée : </w:t>
      </w:r>
      <w:r>
        <w:rPr>
          <w:b/>
        </w:rPr>
        <w:t>Au long cours</w:t>
      </w:r>
      <w:r>
        <w:t xml:space="preserve"> — traitement au minimum 2-5 ans après la dernière crise d'épilepsie, parfois à vie selon l'étiologie.</w:t>
      </w:r>
    </w:p>
    <w:p>
      <w:pPr>
        <w:pStyle w:val="ListBullet"/>
      </w:pPr>
      <w:r>
        <w:t xml:space="preserve">Moment de la prise : </w:t>
      </w:r>
      <w:r>
        <w:rPr>
          <w:b/>
        </w:rPr>
        <w:t>Pendant ou après les repas</w:t>
      </w:r>
      <w:r>
        <w:t xml:space="preserve"> (mais absorption indépendante de la prise alimentaire). La dernière prise est souvent prise </w:t>
      </w:r>
      <w:r>
        <w:rPr>
          <w:b/>
        </w:rPr>
        <w:t>au coucher</w:t>
      </w:r>
      <w:r>
        <w:t xml:space="preserve"> pour profiter de l'effet sédatif. La biprise (matin-soir) est le schéma standard.</w:t>
      </w:r>
    </w:p>
    <w:p>
      <w:r/>
      <w:r>
        <w:rPr>
          <w:b/>
        </w:rPr>
        <w:t>Arbitrage et Bénéfices des Formes Galéniques :</w:t>
      </w:r>
      <w:r/>
    </w:p>
    <w:p>
      <w:r>
        <w:t xml:space="preserve">Le lacosamide est disponible en Algérie en </w:t>
      </w:r>
      <w:r>
        <w:rPr>
          <w:b/>
        </w:rPr>
        <w:t>4 dosages oraux</w:t>
      </w:r>
      <w:r>
        <w:t xml:space="preserve"> (50, 100, 150, 200 mg en comprimés) et </w:t>
      </w:r>
      <w:r>
        <w:rPr>
          <w:b/>
        </w:rPr>
        <w:t>1 forme sirop</w:t>
      </w:r>
      <w:r>
        <w:t xml:space="preserve"> (10 mg/mL) chez Losapil® (comprimés 50, 100 mg) et Trepadio® (comprimés 50, 100, 150, 200 mg + sirop). La disponibilité de la </w:t>
      </w:r>
      <w:r>
        <w:rPr>
          <w:b/>
        </w:rPr>
        <w:t>forme sirop</w:t>
      </w:r>
      <w:r>
        <w:t xml:space="preserve"> (Trepadio®) est particulièrement utile pour : (i) les </w:t>
      </w:r>
      <w:r>
        <w:rPr>
          <w:b/>
        </w:rPr>
        <w:t>enfants</w:t>
      </w:r>
      <w:r>
        <w:t xml:space="preserve"> (calcul de la dose en mg/kg) ; (ii) les patients âgés </w:t>
      </w:r>
      <w:r>
        <w:rPr>
          <w:b/>
        </w:rPr>
        <w:t>dysphagiques</w:t>
      </w:r>
      <w:r>
        <w:t xml:space="preserve"> ; (iii) les patients avec </w:t>
      </w:r>
      <w:r>
        <w:rPr>
          <w:b/>
        </w:rPr>
        <w:t>sonde naso-gastrique ou gastrostomie</w:t>
      </w:r>
      <w:r>
        <w:t xml:space="preserve"> ; (iv) l'adaptation fine des doses lors du sevrage progressif. Les comprimés à </w:t>
      </w:r>
      <w:r>
        <w:rPr>
          <w:b/>
        </w:rPr>
        <w:t>4 dosages différents</w:t>
      </w:r>
      <w:r>
        <w:t xml:space="preserve"> (50, 100, 150, 200 mg) permettent une grande flexibilité d'adaptation posologique et facilitent la titration progressive et le sevrage. </w:t>
      </w:r>
      <w:r>
        <w:rPr>
          <w:b/>
        </w:rPr>
        <w:t>Aucune forme injectable IV</w:t>
      </w:r>
      <w:r>
        <w:t xml:space="preserve"> n'est disponible en Algérie (Vimpat® IV existe en Europe 10 mg/mL en flacon de 20 mL — utile pour le status epilepticus et le patient à jeun péri-opératoire), ce qui complique la prise en charge des urgences neurologiques. Pour les patients nécessitant un sevrage, la combinaison de comprimés à différents dosages (50, 100, 150, 200 mg) permet une réduction progressive par paliers de 10-25 %. </w:t>
      </w:r>
      <w:r>
        <w:rPr>
          <w:b/>
        </w:rPr>
        <w:t>Aucune forme à libération prolongée</w:t>
      </w:r>
      <w:r>
        <w:t xml:space="preserve"> n'est disponible (en une prise quotidienne), ce qui impose la </w:t>
      </w:r>
      <w:r>
        <w:rPr>
          <w:b/>
        </w:rPr>
        <w:t>biprise</w:t>
      </w:r>
      <w:r>
        <w:t xml:space="preserve">. Le pharmacien doit </w:t>
      </w:r>
      <w:r>
        <w:rPr>
          <w:b/>
        </w:rPr>
        <w:t>conseiller au patient d'avoir toujours une boîte d'avance</w:t>
      </w:r>
      <w:r>
        <w:t xml:space="preserve"> pour éviter la rupture thérapeutique (risque de reprise des crises).</w:t>
      </w:r>
    </w:p>
    <w:p>
      <w:r/>
      <w:r>
        <w:rPr>
          <w:b/>
        </w:rPr>
        <w:t>Instructions et Conseils au Patient :</w:t>
      </w:r>
      <w:r/>
    </w:p>
    <w:p>
      <w:pPr>
        <w:pStyle w:val="ListBullet"/>
      </w:pPr>
      <w:r>
        <w:t xml:space="preserve">Communication au comptoir : Expliquer au patient que : (i) le traitement est </w:t>
      </w:r>
      <w:r>
        <w:rPr>
          <w:b/>
        </w:rPr>
        <w:t>au long cours</w:t>
      </w:r>
      <w:r>
        <w:t xml:space="preserve"> et qu'il ne faut jamais l'arrêter brutalement (risque de </w:t>
      </w:r>
      <w:r>
        <w:rPr>
          <w:b/>
        </w:rPr>
        <w:t>réapparition des crises, parfois sous forme d'état de mal épileptique</w:t>
      </w:r>
      <w:r>
        <w:t xml:space="preserve">) ; (ii) les effets indésirables initiaux (somnolence, vertiges) sont transitoires — ne pas arrêter dès les premiers effets ; (iii) la </w:t>
      </w:r>
      <w:r>
        <w:rPr>
          <w:b/>
        </w:rPr>
        <w:t>titration progressive</w:t>
      </w:r>
      <w:r>
        <w:t xml:space="preserve"> est essentielle ; (iv) en cas d'oubli, </w:t>
      </w:r>
      <w:r>
        <w:rPr>
          <w:b/>
        </w:rPr>
        <w:t>prendre la dose oubliée si moins de 8 heures se sont écoulées</w:t>
      </w:r>
      <w:r>
        <w:t xml:space="preserve">, sinon ne pas prendre et continuer le schéma habituel — </w:t>
      </w:r>
      <w:r>
        <w:rPr>
          <w:b/>
        </w:rPr>
        <w:t>ne jamais doubler la dose</w:t>
      </w:r>
      <w:r>
        <w:t xml:space="preserve"> ; (v) </w:t>
      </w:r>
      <w:r>
        <w:rPr>
          <w:b/>
        </w:rPr>
        <w:t>ne pas conduire</w:t>
      </w:r>
      <w:r>
        <w:t xml:space="preserve"> pendant les premières semaines et à chaque augmentation de dose — délai de 1-3 mois pour évaluer la tolérance ; (vi) </w:t>
      </w:r>
      <w:r>
        <w:rPr>
          <w:b/>
        </w:rPr>
        <w:t>éviter l'alcool</w:t>
      </w:r>
      <w:r>
        <w:t xml:space="preserve"> (potentialisation de la sédation) ; (vii) </w:t>
      </w:r>
      <w:r>
        <w:rPr>
          <w:b/>
        </w:rPr>
        <w:t>prévenir le médecin et le pharmacien en cas de grossesse planifiée ou non</w:t>
      </w:r>
      <w:r>
        <w:t xml:space="preserve"> — le lacosamide n'est pas l'antiépileptique de choix pendant la grossesse ; (viii) </w:t>
      </w:r>
      <w:r>
        <w:rPr>
          <w:b/>
        </w:rPr>
        <w:t>surveiller l'humeur</w:t>
      </w:r>
      <w:r>
        <w:t xml:space="preserve"> et signaler immédiatement tout changement (tristesse, idées noires, agitation) ; (ix) </w:t>
      </w:r>
      <w:r>
        <w:rPr>
          <w:b/>
        </w:rPr>
        <w:t>surveiller l'ECG</w:t>
      </w:r>
      <w:r>
        <w:t xml:space="preserve"> — particulièrement chez le patient aux antécédents cardiaques et en cas d'association avec d'autres médicaments cardiaques ; (x) </w:t>
      </w:r>
      <w:r>
        <w:rPr>
          <w:b/>
        </w:rPr>
        <w:t>signaler tout antécédent de trouble de la conduction cardiaque</w:t>
      </w:r>
      <w:r>
        <w:t xml:space="preserve"> (bloc AV, allongement du PR, bradycardie) ; (xi) </w:t>
      </w:r>
      <w:r>
        <w:rPr>
          <w:b/>
        </w:rPr>
        <w:t>porter une carte d'identification médicale</w:t>
      </w:r>
      <w:r>
        <w:t xml:space="preserve"> indiquant le traitement antiépileptique ; (xii) chez la femme en âge de procréer : </w:t>
      </w:r>
      <w:r>
        <w:rPr>
          <w:b/>
        </w:rPr>
        <w:t>contraception efficace</w:t>
      </w:r>
      <w:r>
        <w:t xml:space="preserve"> — le lacosamide ne réduit pas l'efficacité des contraceptifs oraux, mais une grossesse sous lacosamide nécessite une réévaluation.</w:t>
      </w:r>
    </w:p>
    <w:p>
      <w:pPr>
        <w:pStyle w:val="ListBullet"/>
      </w:pPr>
      <w:r>
        <w:t xml:space="preserve">Mode d'utilisation pratique : Prendre les comprimés </w:t>
      </w:r>
      <w:r>
        <w:rPr>
          <w:b/>
        </w:rPr>
        <w:t>avec un grand verre d'eau</w:t>
      </w:r>
      <w:r>
        <w:t xml:space="preserve">, </w:t>
      </w:r>
      <w:r>
        <w:rPr>
          <w:b/>
        </w:rPr>
        <w:t>pendant ou après les repas</w:t>
      </w:r>
      <w:r>
        <w:t>. La solution buvable doit être administrée avec la pipette graduée fournie ou un gobelet doseur (vérifier le volume à administrer en fonction de la prescription). Conserver les comprimés à température ambiante (&lt;25 °C), à l'abri de l'humidité. Tenir hors de portée des enfants. Surveiller la créatininémie au moins annuellement. Tenir un agenda des crises (date, heure, circonstances) à présenter au neurologue.</w:t>
      </w:r>
    </w:p>
    <w:p>
      <w:r/>
      <w:r>
        <w:rPr>
          <w:b/>
        </w:rPr>
        <w:t>Notes, Règles d'Or &amp; Pièges au Comptoir :</w:t>
      </w:r>
      <w:r/>
    </w:p>
    <w:p>
      <w:pPr>
        <w:pStyle w:val="ListBullet"/>
      </w:pPr>
      <w:r>
        <w:t xml:space="preserve">Piège classique : (i) </w:t>
      </w:r>
      <w:r>
        <w:rPr>
          <w:b/>
        </w:rPr>
        <w:t>oubli de la surveillance ECG</w:t>
      </w:r>
      <w:r>
        <w:t xml:space="preserve"> — l'allongement du PR est un effet classique du lacosamide, à surveiller systématiquement à l'initiation et à chaque titration ; (ii) </w:t>
      </w:r>
      <w:r>
        <w:rPr>
          <w:b/>
        </w:rPr>
        <w:t>oubli de l'évaluation cardiaque pré-thérapeutique</w:t>
      </w:r>
      <w:r>
        <w:t xml:space="preserve"> chez les patients aux antécédents cardiaques (troubles de la conduction, insuffisance cardiaque) ; (iii) </w:t>
      </w:r>
      <w:r>
        <w:rPr>
          <w:b/>
        </w:rPr>
        <w:t>oubli de l'interaction avec les autres allongeant le PR</w:t>
      </w:r>
      <w:r>
        <w:t xml:space="preserve"> — bêta-bloquants, inhibiteurs calciques non dihydropyridiniques, digoxine, amiodarone ; (iv) </w:t>
      </w:r>
      <w:r>
        <w:rPr>
          <w:b/>
        </w:rPr>
        <w:t>non adaptation à la fonction rénale</w:t>
      </w:r>
      <w:r>
        <w:t xml:space="preserve"> chez le sujet âgé — le lacosamide est 40 % éliminé par le rein sous forme inchangée, donc une insuffisance rénale même modérée entraîne une accumulation toxique ; (v) </w:t>
      </w:r>
      <w:r>
        <w:rPr>
          <w:b/>
        </w:rPr>
        <w:t>oubli de l'information du patient sur le risque de sevrage</w:t>
      </w:r>
      <w:r>
        <w:t xml:space="preserve"> à l'arrêt brutal ; (vi) </w:t>
      </w:r>
      <w:r>
        <w:rPr>
          <w:b/>
        </w:rPr>
        <w:t>confusion avec le lévétiracétam</w:t>
      </w:r>
      <w:r>
        <w:t xml:space="preserve"> — bien que chimiquement différent, les deux noms peuvent être confondus en raison de la similarité — toujours vérifier l'indication ; (vii) </w:t>
      </w:r>
      <w:r>
        <w:rPr>
          <w:b/>
        </w:rPr>
        <w:t>oubli du syndrome DRESS</w:t>
      </w:r>
      <w:r>
        <w:t xml:space="preserve"> en cas d'éruption cutanée avec fièvre et hyperéosinophilie — urgence médicale.</w:t>
      </w:r>
    </w:p>
    <w:p>
      <w:pPr>
        <w:pStyle w:val="ListBullet"/>
      </w:pPr>
      <w:r>
        <w:t>Règle de prise : 2 prises par jour à heures régulières (par exemple 8h et 20h), pendant les repas. Dernière prise au coucher pour profiter de l'effet sédatif.</w:t>
      </w:r>
    </w:p>
    <w:p>
      <w:pPr>
        <w:pStyle w:val="ListBullet"/>
      </w:pPr>
      <w:r>
        <w:t>Préparation et Conservation : Conservation à température ambiante (&lt;25 °C), à l'abri de l'humidité et de la lumière. La solution buvable se conserve 1 mois après ouverture (vérifier la notice). Pas de préparation magistrale nécessaire. Disponible en boîtes de 30 ou 60 comprimés selon la marque et le dosage ; flacon de 200 mL pour le sirop.</w:t>
      </w:r>
    </w:p>
    <w:p>
      <w:pPr>
        <w:pStyle w:val="ListBullet"/>
      </w:pPr>
      <w:r>
        <w:t xml:space="preserve">Piège du surdosage / Substitution : Le surdosage par le lacosamide peut provoquer </w:t>
      </w:r>
      <w:r>
        <w:rPr>
          <w:b/>
        </w:rPr>
        <w:t>somnolence sévère, ataxie, allongement marqué du PR, bloc AV, hypotension, convulsions paradoxales, coma</w:t>
      </w:r>
      <w:r>
        <w:t xml:space="preserve"> — traitement symptomatique, hémodialyse efficace (élimine 50 % en 4 heures). La </w:t>
      </w:r>
      <w:r>
        <w:rPr>
          <w:b/>
        </w:rPr>
        <w:t>substitution</w:t>
      </w:r>
      <w:r>
        <w:t xml:space="preserve"> entre les différentes marques (Losapil® El Kendi et Trepadio® Hikma) doit se faire avec </w:t>
      </w:r>
      <w:r>
        <w:rPr>
          <w:b/>
        </w:rPr>
        <w:t>surveillance clinique</w:t>
      </w:r>
      <w:r>
        <w:t xml:space="preserve"> pendant 1 mois en raison de possibles variations d'équivalence bio pharmaceutique. Ne pas substituer entre forme comprimés et forme sirop sans avis médical (calcul de dose différent).</w:t>
      </w:r>
    </w:p>
    <w:p>
      <w:pPr>
        <w:pStyle w:val="Heading2"/>
      </w:pPr>
      <w:r>
        <w:t>7. DCI : Acétazolamide (Seule)</w:t>
      </w:r>
    </w:p>
    <w:p>
      <w:r/>
      <w:r>
        <w:rPr>
          <w:b/>
        </w:rPr>
        <w:t>Liste des Catégories :</w:t>
      </w:r>
      <w:r>
        <w:t xml:space="preserve"> Antiépileptiques — Inhibiteurs anhydrase carbonique ; Diurétiques inhibiteurs de l'anhydrase carbonique ; Médicaments du glaucome ; Médicaments de l'œdème maculaire ; Médicaments du mal des montagnes ; Liste II des substances vénéneuses.</w:t>
      </w:r>
    </w:p>
    <w:p>
      <w:r>
        <w:t>L'acétazolamide (Acetazolamide BR® — Biorem, Lynox® — Sarl Groupe Santé ; Diamox® RETIRE ; Diurazol® NON_RENOUVELABLE ; Acediox® RETIRE ; Acemax® RETIRE) est l'</w:t>
      </w:r>
      <w:r>
        <w:rPr>
          <w:b/>
        </w:rPr>
        <w:t>antiépileptique le plus ancien</w:t>
      </w:r>
      <w:r>
        <w:t xml:space="preserve"> du présent chapitre — il a été synthétisé en 1953 et a longtemps été utilisé comme </w:t>
      </w:r>
      <w:r>
        <w:rPr>
          <w:b/>
        </w:rPr>
        <w:t>diurétique</w:t>
      </w:r>
      <w:r>
        <w:t xml:space="preserve"> (d'où son inscription en Liste II des substances vénéneuses et non Liste I comme les autres antiépileptiques modernes) avant que son activité antiépileptique ne soit identifiée. L'acétazolamide est l'</w:t>
      </w:r>
      <w:r>
        <w:rPr>
          <w:b/>
        </w:rPr>
        <w:t>unique représentant</w:t>
      </w:r>
      <w:r>
        <w:t xml:space="preserve"> de la sous-classe des inhibiteurs de l'anhydrase carbonique utilisés comme antiépileptique (le topiramate est un inhibiteur faible de l'anhydrase carbonique mais appartient à la classe des multi-cibles). L'indication antiépileptique de l'acétazolamide est devenue </w:t>
      </w:r>
      <w:r>
        <w:rPr>
          <w:b/>
        </w:rPr>
        <w:t>marginale</w:t>
      </w:r>
      <w:r>
        <w:t xml:space="preserve"> en raison de l'arrivée des antiépileptiques modernes plus efficaces et mieux tolérés. Il conserve une place dans les </w:t>
      </w:r>
      <w:r>
        <w:rPr>
          <w:b/>
        </w:rPr>
        <w:t>épilepsies cataméniales</w:t>
      </w:r>
      <w:r>
        <w:t xml:space="preserve">, la </w:t>
      </w:r>
      <w:r>
        <w:rPr>
          <w:b/>
        </w:rPr>
        <w:t>maladie des spasmes infantiles</w:t>
      </w:r>
      <w:r>
        <w:t xml:space="preserve">, et les </w:t>
      </w:r>
      <w:r>
        <w:rPr>
          <w:b/>
        </w:rPr>
        <w:t>épilepsies myocloniques progressives</w:t>
      </w:r>
      <w:r>
        <w:t>.</w:t>
      </w:r>
    </w:p>
    <w:p>
      <w:r/>
      <w:r>
        <w:rPr>
          <w:b/>
        </w:rPr>
        <w:t>Médicaments disponibles en Algérie (Marques, Laboratoires, Formes et Dosages) :</w:t>
      </w:r>
      <w:r/>
    </w:p>
    <w:p>
      <w:pPr>
        <w:pStyle w:val="ListBullet"/>
      </w:pPr>
      <w:r/>
      <w:r>
        <w:rPr>
          <w:b/>
        </w:rPr>
        <w:t>ACETAZOLAMIDE BR</w:t>
      </w:r>
      <w:r>
        <w:t xml:space="preserve"> (SARL BIOREM)</w:t>
      </w:r>
    </w:p>
    <w:p>
      <w:pPr>
        <w:pStyle w:val="ListBullet"/>
      </w:pPr>
      <w:r>
        <w:t>Formes et Dosages : Comprimé sécable 250 mg (B/20)</w:t>
      </w:r>
    </w:p>
    <w:p>
      <w:pPr>
        <w:pStyle w:val="ListBullet"/>
      </w:pPr>
      <w:r>
        <w:t>Statut : Actif</w:t>
      </w:r>
    </w:p>
    <w:p>
      <w:pPr>
        <w:pStyle w:val="ListBullet"/>
      </w:pPr>
      <w:r/>
      <w:r>
        <w:rPr>
          <w:b/>
        </w:rPr>
        <w:t>LYNOX</w:t>
      </w:r>
      <w:r>
        <w:t xml:space="preserve"> (SARL GROUPE SANTE)</w:t>
      </w:r>
    </w:p>
    <w:p>
      <w:pPr>
        <w:pStyle w:val="ListBullet"/>
      </w:pPr>
      <w:r>
        <w:t>Formes et Dosages : Comprimé 250 mg (B/20)</w:t>
      </w:r>
    </w:p>
    <w:p>
      <w:pPr>
        <w:pStyle w:val="ListBullet"/>
      </w:pPr>
      <w:r>
        <w:t>Statut : Actif</w:t>
      </w:r>
    </w:p>
    <w:p>
      <w:pPr>
        <w:pStyle w:val="ListBullet"/>
      </w:pPr>
      <w:r/>
      <w:r>
        <w:rPr>
          <w:b/>
        </w:rPr>
        <w:t>DIAMOX</w:t>
      </w:r>
      <w:r>
        <w:t xml:space="preserve"> (RHONE POULENC RORER) — princeps historique</w:t>
      </w:r>
    </w:p>
    <w:p>
      <w:pPr>
        <w:pStyle w:val="ListBullet"/>
      </w:pPr>
      <w:r>
        <w:t>Formes et Dosages : Solution injectable 500 mg (B/25) ; Comprimé 250 mg (B/24) — formes orales et injectables</w:t>
      </w:r>
    </w:p>
    <w:p>
      <w:pPr>
        <w:pStyle w:val="ListBullet"/>
      </w:pPr>
      <w:r>
        <w:t>Statut : NON_RENOUVELABLE (injectable) ; RETIRE (comprimé)</w:t>
      </w:r>
    </w:p>
    <w:p>
      <w:pPr>
        <w:pStyle w:val="ListBullet"/>
      </w:pPr>
      <w:r/>
      <w:r>
        <w:rPr>
          <w:b/>
        </w:rPr>
        <w:t>DIURAZOL</w:t>
      </w:r>
      <w:r>
        <w:t xml:space="preserve"> (LIFEPHARMA)</w:t>
      </w:r>
    </w:p>
    <w:p>
      <w:pPr>
        <w:pStyle w:val="ListBullet"/>
      </w:pPr>
      <w:r>
        <w:t>Formes et Dosages : Comprimé 250 mg (B/24)</w:t>
      </w:r>
    </w:p>
    <w:p>
      <w:pPr>
        <w:pStyle w:val="ListBullet"/>
      </w:pPr>
      <w:r>
        <w:t>Statut : NON_RENOUVELABLE</w:t>
      </w:r>
    </w:p>
    <w:p>
      <w:pPr>
        <w:pStyle w:val="ListBullet"/>
      </w:pPr>
      <w:r/>
      <w:r>
        <w:rPr>
          <w:b/>
        </w:rPr>
        <w:t>ACEDIOX</w:t>
      </w:r>
      <w:r>
        <w:t xml:space="preserve"> (BIOMEDIC)</w:t>
      </w:r>
    </w:p>
    <w:p>
      <w:pPr>
        <w:pStyle w:val="ListBullet"/>
      </w:pPr>
      <w:r>
        <w:t>Formes et Dosages : Comprimé 250 mg (B/20)</w:t>
      </w:r>
    </w:p>
    <w:p>
      <w:pPr>
        <w:pStyle w:val="ListBullet"/>
      </w:pPr>
      <w:r>
        <w:t>Statut : RETIRE</w:t>
      </w:r>
    </w:p>
    <w:p>
      <w:pPr>
        <w:pStyle w:val="ListBullet"/>
      </w:pPr>
      <w:r/>
      <w:r>
        <w:rPr>
          <w:b/>
        </w:rPr>
        <w:t>ACEMAX</w:t>
      </w:r>
      <w:r>
        <w:t xml:space="preserve"> (CIPLA LIMITED)</w:t>
      </w:r>
    </w:p>
    <w:p>
      <w:pPr>
        <w:pStyle w:val="ListBullet"/>
      </w:pPr>
      <w:r>
        <w:t>Formes et Dosages : Comprimé 250 mg (B/20)</w:t>
      </w:r>
    </w:p>
    <w:p>
      <w:pPr>
        <w:pStyle w:val="ListBullet"/>
      </w:pPr>
      <w:r>
        <w:t>Statut : RETIRE</w:t>
      </w:r>
    </w:p>
    <w:p>
      <w:r>
        <w:t xml:space="preserve">L'acétazolamide est donc disponible en Algérie en </w:t>
      </w:r>
      <w:r>
        <w:rPr>
          <w:b/>
        </w:rPr>
        <w:t>un seul dosage oral</w:t>
      </w:r>
      <w:r>
        <w:t xml:space="preserve"> (250 mg en comprimés) chez </w:t>
      </w:r>
      <w:r>
        <w:rPr>
          <w:b/>
        </w:rPr>
        <w:t>deux marques actives</w:t>
      </w:r>
      <w:r>
        <w:t xml:space="preserve"> (Acetazolamide BR® et Lynox®). Les formes </w:t>
      </w:r>
      <w:r>
        <w:rPr>
          <w:b/>
        </w:rPr>
        <w:t>injectables</w:t>
      </w:r>
      <w:r>
        <w:t xml:space="preserve"> (Diamox® 500 mg IM/IV) sont </w:t>
      </w:r>
      <w:r>
        <w:rPr>
          <w:b/>
        </w:rPr>
        <w:t>NON_RENOUVELABLES ou RETIREES</w:t>
      </w:r>
      <w:r>
        <w:t xml:space="preserve"> — l'usage injectable (glaucome aigu, œdème cérébral, crise d'altitude sévère) n'est donc plus possible en pratique algérienne, ce qui impose une </w:t>
      </w:r>
      <w:r>
        <w:rPr>
          <w:b/>
        </w:rPr>
        <w:t>substitution</w:t>
      </w:r>
      <w:r>
        <w:t xml:space="preserve"> par le mannitol IV ou l'acétazolamide per os si disponible. La nomenclature algérienne montre également plusieurs marques </w:t>
      </w:r>
      <w:r>
        <w:rPr>
          <w:b/>
        </w:rPr>
        <w:t>RETIREEES</w:t>
      </w:r>
      <w:r>
        <w:t xml:space="preserve"> (Diamox® comprimé, Acediox®, Acemax®) — témoignant d'un marché algérien en réduction pour cette molécule ancienne.</w:t>
      </w:r>
    </w:p>
    <w:p>
      <w:r/>
      <w:r>
        <w:rPr>
          <w:b/>
        </w:rPr>
        <w:t>Sous-classe et Mécanisme d'action :</w:t>
      </w:r>
      <w:r/>
    </w:p>
    <w:p>
      <w:pPr>
        <w:pStyle w:val="ListBullet"/>
      </w:pPr>
      <w:r>
        <w:t>Sous-classe : Antiépileptique de première génération (synthétisé en 1953), inhibiteur de l'anhydrase carbonique — classe partagée avec le topiramate (qui est cependant un inhibiteur faible et appartient à la classe multi-cibles). Diurétique faiblement actif. Médicament transversal entre ophtalmologie (glaucome), néphrologie (diurétique), neurologie (antiépileptique), médecine d'urgence (œdème cérébral, mal des montagnes).</w:t>
      </w:r>
    </w:p>
    <w:p>
      <w:pPr>
        <w:pStyle w:val="ListBullet"/>
      </w:pPr>
      <w:r>
        <w:t xml:space="preserve">Mécanisme d'action : L'acétazolamide est un </w:t>
      </w:r>
      <w:r>
        <w:rPr>
          <w:b/>
        </w:rPr>
        <w:t>inhibiteur non compétitif, réversible et puissant de l'anhydrase carbonique</w:t>
      </w:r>
      <w:r>
        <w:t xml:space="preserve"> (CA — Carbonic Anhydrase), une enzyme ubiquitaire qui catalyse l'hydratation réversible du CO2 en ions bicarbonate et protons : </w:t>
      </w:r>
      <w:r>
        <w:rPr>
          <w:b/>
        </w:rPr>
        <w:t>CO2 + H2O ⇌ HCO3⁻ + H⁺</w:t>
      </w:r>
      <w:r>
        <w:t xml:space="preserve">. L'inhibition de l'CA s'exerce principalement sur les iso-enzymes </w:t>
      </w:r>
      <w:r>
        <w:rPr>
          <w:b/>
        </w:rPr>
        <w:t>CA-II</w:t>
      </w:r>
      <w:r>
        <w:t xml:space="preserve"> (cytosolique, présente dans le tubule proximal rénal, l'épithélium ciliaire de l'œil, les cellules épendymaires cérébrales, les érythrocytes) et </w:t>
      </w:r>
      <w:r>
        <w:rPr>
          <w:b/>
        </w:rPr>
        <w:t>CA-IV</w:t>
      </w:r>
      <w:r>
        <w:t xml:space="preserve"> (membranaire, présente dans le rein et le cerveau). Au niveau </w:t>
      </w:r>
      <w:r>
        <w:rPr>
          <w:b/>
        </w:rPr>
        <w:t>rénal</w:t>
      </w:r>
      <w:r>
        <w:t xml:space="preserve"> : l'inhibition de l'CA au niveau du tubule proximal diminue la réabsorption des bicarbonates (qui sont excrétés dans les urines), ce qui provoque une </w:t>
      </w:r>
      <w:r>
        <w:rPr>
          <w:b/>
        </w:rPr>
        <w:t>alcalinisation des urines</w:t>
      </w:r>
      <w:r>
        <w:t xml:space="preserve"> et une </w:t>
      </w:r>
      <w:r>
        <w:rPr>
          <w:b/>
        </w:rPr>
        <w:t>acidose métabolique hyperchlorémique</w:t>
      </w:r>
      <w:r>
        <w:t xml:space="preserve"> compensatoire. L'effet diurétique est faible (natriurèse modérée, calciurie augmentée). Au niveau </w:t>
      </w:r>
      <w:r>
        <w:rPr>
          <w:b/>
        </w:rPr>
        <w:t>oculaire</w:t>
      </w:r>
      <w:r>
        <w:t xml:space="preserve"> : l'inhibition de l'CA dans les processus ciliaires diminue la production d'humeur aqueuse (de 40-60 %), ce qui réduit la pression intra-oculaire — utilisé dans le glaucome. Au niveau </w:t>
      </w:r>
      <w:r>
        <w:rPr>
          <w:b/>
        </w:rPr>
        <w:t>cérébral</w:t>
      </w:r>
      <w:r>
        <w:t xml:space="preserve"> : l'inhibition de l'CA gliale et neuronale provoque une </w:t>
      </w:r>
      <w:r>
        <w:rPr>
          <w:b/>
        </w:rPr>
        <w:t>acidose tissulaire modérée</w:t>
      </w:r>
      <w:r>
        <w:t xml:space="preserve"> (par accumulation de CO2 et diminution des bicarbonates intracérébraux) qui réduit l'excitabilité neuronale — c'est ce mécanisme qui est responsable de l'effet antiépileptique. L'acidose cérébrale module les canaux NMDA (réduction de l'activation par le glutamate) et potentialise les canaux GABA-A (augmentation de l'afflux de chlore). L'acétazolamide n'a </w:t>
      </w:r>
      <w:r>
        <w:rPr>
          <w:b/>
        </w:rPr>
        <w:t>aucune action directe</w:t>
      </w:r>
      <w:r>
        <w:t xml:space="preserve"> sur les canaux sodiques, les canaux calciques, ou les récepteurs GABA-A ou glutamate.</w:t>
      </w:r>
    </w:p>
    <w:p>
      <w:r/>
      <w:r>
        <w:rPr>
          <w:b/>
        </w:rPr>
        <w:t>Profil Pharmacologique :</w:t>
      </w:r>
      <w:r/>
    </w:p>
    <w:p>
      <w:pPr>
        <w:pStyle w:val="ListBullet"/>
      </w:pPr>
      <w:r>
        <w:t xml:space="preserve">Indications : L'acétazolamide a des indications multiples : (i) </w:t>
      </w:r>
      <w:r>
        <w:rPr>
          <w:b/>
        </w:rPr>
        <w:t>Indication antiépileptique</w:t>
      </w:r>
      <w:r>
        <w:t xml:space="preserve"> (marginale aujourd'hui) : épilepsies cataméniales (crises prémenstruelles — indication historique), maladie des spasmes infantiles (syndrome de West) en association, épilepsies myocloniques progressives (syndrome de Unverricht-Lundborg) en seconde intention, épilepsies partielles pharmacorésistantes en association ; (ii) </w:t>
      </w:r>
      <w:r>
        <w:rPr>
          <w:b/>
        </w:rPr>
        <w:t>Glaucome</w:t>
      </w:r>
      <w:r>
        <w:t xml:space="preserve"> : glaucome aigu à angle fermé (en complément du traitement local et de la pilocarpine, mais les formes injectables ne sont plus disponibles en Algérie), glaucome chronique à angle ouvert en cas d'échec des collyres, glaucome secondaire ; (iii) </w:t>
      </w:r>
      <w:r>
        <w:rPr>
          <w:b/>
        </w:rPr>
        <w:t>Œdème maculaire cystoïde</w:t>
      </w:r>
      <w:r>
        <w:t xml:space="preserve"> (notamment dans la rétinopathie diabétique ou post-chirurgie de la cataracte) ; (iv) </w:t>
      </w:r>
      <w:r>
        <w:rPr>
          <w:b/>
        </w:rPr>
        <w:t>Œdème cérébral</w:t>
      </w:r>
      <w:r>
        <w:t xml:space="preserve"> (en complément du mannitol — mais les formes injectables ne sont plus disponibles en Algérie) ; (v) </w:t>
      </w:r>
      <w:r>
        <w:rPr>
          <w:b/>
        </w:rPr>
        <w:t>Hydrocéphalie</w:t>
      </w:r>
      <w:r>
        <w:t xml:space="preserve"> (réduction de la production de LCR) ; (vi) </w:t>
      </w:r>
      <w:r>
        <w:rPr>
          <w:b/>
        </w:rPr>
        <w:t>Alcalose métabolique</w:t>
      </w:r>
      <w:r>
        <w:t xml:space="preserve"> (en cas d'alcalose symptomatique, par exemple en ventilation mécanique prolongée) ; (vii) </w:t>
      </w:r>
      <w:r>
        <w:rPr>
          <w:b/>
        </w:rPr>
        <w:t>Mal des montagnes</w:t>
      </w:r>
      <w:r>
        <w:t xml:space="preserve"> (prophylaxie et traitement — initiation 24-48 heures avant l'ascension) ; (viii) </w:t>
      </w:r>
      <w:r>
        <w:rPr>
          <w:b/>
        </w:rPr>
        <w:t>Alcalinisation urinaire</w:t>
      </w:r>
      <w:r>
        <w:t xml:space="preserve"> (pour augmenter l'excrétion d'acides faibles — salicylates, phénobarbital — en cas de surdosage) ; (ix) </w:t>
      </w:r>
      <w:r>
        <w:rPr>
          <w:b/>
        </w:rPr>
        <w:t>Néphrocalcinose</w:t>
      </w:r>
      <w:r>
        <w:t xml:space="preserve"> (alcalinisation urinaire pour prévenir la cristallisation) ; (x) Hors AMM : </w:t>
      </w:r>
      <w:r>
        <w:rPr>
          <w:b/>
        </w:rPr>
        <w:t>apnée du sommeil</w:t>
      </w:r>
      <w:r>
        <w:t xml:space="preserve"> (en complément de la PPC), </w:t>
      </w:r>
      <w:r>
        <w:rPr>
          <w:b/>
        </w:rPr>
        <w:t>hypokaliémie périodique</w:t>
      </w:r>
      <w:r>
        <w:t xml:space="preserve"> (paralysie périodique hyperkaliémique), </w:t>
      </w:r>
      <w:r>
        <w:rPr>
          <w:b/>
        </w:rPr>
        <w:t>migraine prophylaxie</w:t>
      </w:r>
      <w:r>
        <w:t xml:space="preserve"> (efficacité modeste, en raison de l'acidose cérébrale).</w:t>
      </w:r>
    </w:p>
    <w:p>
      <w:pPr>
        <w:pStyle w:val="ListBullet"/>
      </w:pPr>
      <w:r>
        <w:t xml:space="preserve">Contre-indications : (i) </w:t>
      </w:r>
      <w:r>
        <w:rPr>
          <w:b/>
        </w:rPr>
        <w:t>hypersensibilité à l'acétazolamide</w:t>
      </w:r>
      <w:r>
        <w:t xml:space="preserve"> ou aux sulfamides (l'acétazolamide est un dérivé sulfamide — prudence en cas d'allergie aux sulfamides antibactériens, bien que la réactivité croisée soit rare) ; (ii) </w:t>
      </w:r>
      <w:r>
        <w:rPr>
          <w:b/>
        </w:rPr>
        <w:t>insuffisance rénale sévère</w:t>
      </w:r>
      <w:r>
        <w:t xml:space="preserve"> (ClCr &lt; 30 mL/min — accumulation toxique, aggravation de l'acidose) ; (iii) </w:t>
      </w:r>
      <w:r>
        <w:rPr>
          <w:b/>
        </w:rPr>
        <w:t>insuffisance hépatique sévère</w:t>
      </w:r>
      <w:r>
        <w:t xml:space="preserve"> (risque d'encéphalopathie hépatique par alcalinisation de l'urine qui augmente l'ammoniac circulant) ; (iv) </w:t>
      </w:r>
      <w:r>
        <w:rPr>
          <w:b/>
        </w:rPr>
        <w:t>acidose métabolique préexistante</w:t>
      </w:r>
      <w:r>
        <w:t xml:space="preserve"> (hyperchlorémique, lactique, rénale) ; (v) </w:t>
      </w:r>
      <w:r>
        <w:rPr>
          <w:b/>
        </w:rPr>
        <w:t>hypokaliémie</w:t>
      </w:r>
      <w:r>
        <w:t xml:space="preserve"> (à corriger avant initiation) ; (vi) </w:t>
      </w:r>
      <w:r>
        <w:rPr>
          <w:b/>
        </w:rPr>
        <w:t>hyponatrémie</w:t>
      </w:r>
      <w:r>
        <w:t xml:space="preserve"> (à corriger avant initiation) ; (vii) </w:t>
      </w:r>
      <w:r>
        <w:rPr>
          <w:b/>
        </w:rPr>
        <w:t>hypocorticisme</w:t>
      </w:r>
      <w:r>
        <w:t xml:space="preserve"> (insuffisance surrénale — risque d'aggravation de l'hyponatrémie) ; (viii) </w:t>
      </w:r>
      <w:r>
        <w:rPr>
          <w:b/>
        </w:rPr>
        <w:t>allaitement</w:t>
      </w:r>
      <w:r>
        <w:t xml:space="preserve"> (à éviter par prudence) ; (ix) précaution chez la femme enceinte (voir section Grossesse — l'acétazolamide est tératogène chez l'animal) ; (x) précaution chez les patients aux </w:t>
      </w:r>
      <w:r>
        <w:rPr>
          <w:b/>
        </w:rPr>
        <w:t>antécédents de lithiase rénale calcique</w:t>
      </w:r>
      <w:r>
        <w:t xml:space="preserve"> (risque accru de récidive) ; (xi) précaution en cas d'</w:t>
      </w:r>
      <w:r>
        <w:rPr>
          <w:b/>
        </w:rPr>
        <w:t>ulcère gastro-duodénal</w:t>
      </w:r>
      <w:r>
        <w:t xml:space="preserve"> (l'acétazolamide peut provoquer des nausées et vomissements) ; (xii) précaution en cas de </w:t>
      </w:r>
      <w:r>
        <w:rPr>
          <w:b/>
        </w:rPr>
        <w:t>diabète</w:t>
      </w:r>
      <w:r>
        <w:t xml:space="preserve"> (modification de la glycémie possible) ; (xiii) précaution en cas de </w:t>
      </w:r>
      <w:r>
        <w:rPr>
          <w:b/>
        </w:rPr>
        <w:t>goutte</w:t>
      </w:r>
      <w:r>
        <w:t xml:space="preserve"> (modification de l'uricémie possible) ; (xiv) précaution chez le sujet âgé (adaptation à la fonction rénale, surveillance hydroélectrolytique).</w:t>
      </w:r>
    </w:p>
    <w:p>
      <w:pPr>
        <w:pStyle w:val="ListBullet"/>
      </w:pPr>
      <w:r>
        <w:t xml:space="preserve">Effets Indésirables : Profil dominé par les effets métaboliques : (i) </w:t>
      </w:r>
      <w:r>
        <w:rPr>
          <w:b/>
        </w:rPr>
        <w:t>acidose métabolique hyperchlorémique</w:t>
      </w:r>
      <w:r>
        <w:t xml:space="preserve"> (systématique, parfois symptomatique avec hyperventilation compensatoire, asthénie, confusion) — surveillance par ionogramme ; (ii) </w:t>
      </w:r>
      <w:r>
        <w:rPr>
          <w:b/>
        </w:rPr>
        <w:t>hypokaliémie</w:t>
      </w:r>
      <w:r>
        <w:t xml:space="preserve"> (par fuite tubulaire rénale de K+ compensatoire à l'acidose) — risque de troubles du rythme, fatigue, crampes — surveillance et supplémentation potassique ; (iii) </w:t>
      </w:r>
      <w:r>
        <w:rPr>
          <w:b/>
        </w:rPr>
        <w:t>lithiase rénale calcique</w:t>
      </w:r>
      <w:r>
        <w:t xml:space="preserve"> (par alcalinisation urinaire et hypercalciurie) — particulièrement chez les patients à apports hydriques insuffisants ; (iv) </w:t>
      </w:r>
      <w:r>
        <w:rPr>
          <w:b/>
        </w:rPr>
        <w:t>hypercalciurie</w:t>
      </w:r>
      <w:r>
        <w:t xml:space="preserve"> (par inhibition de l'CA tubulaire) ; (v) </w:t>
      </w:r>
      <w:r>
        <w:rPr>
          <w:b/>
        </w:rPr>
        <w:t>paresthésies</w:t>
      </w:r>
      <w:r>
        <w:t xml:space="preserve"> des extrémités et de la région péribuccale (très fréquentes, 30-50 % des patients — liées à l'inhibition de l'CA, souvent bénignes mais parfois invalidantes) ; (vi) </w:t>
      </w:r>
      <w:r>
        <w:rPr>
          <w:b/>
        </w:rPr>
        <w:t>dysgueusie</w:t>
      </w:r>
      <w:r>
        <w:t xml:space="preserve"> (gout métallique des boissons gazeuses — particulièrement de la bière, ce qui peut être un signe d'observance — fréquent) ; (vii) </w:t>
      </w:r>
      <w:r>
        <w:rPr>
          <w:b/>
        </w:rPr>
        <w:t>somnolence et fatigue</w:t>
      </w:r>
      <w:r>
        <w:t xml:space="preserve"> (très fréquents) ; (viii) </w:t>
      </w:r>
      <w:r>
        <w:rPr>
          <w:b/>
        </w:rPr>
        <w:t>troubles gastro-intestinaux</w:t>
      </w:r>
      <w:r>
        <w:t xml:space="preserve"> (nausées, vomissements, diarrhée, sécheresse buccale, anorexie) ; (ix) </w:t>
      </w:r>
      <w:r>
        <w:rPr>
          <w:b/>
        </w:rPr>
        <w:t>troubles visuels</w:t>
      </w:r>
      <w:r>
        <w:t xml:space="preserve"> (myopie transitoire — par modification de la courbure du cristallin) ; (x) </w:t>
      </w:r>
      <w:r>
        <w:rPr>
          <w:b/>
        </w:rPr>
        <w:t>troubles auditifs</w:t>
      </w:r>
      <w:r>
        <w:t xml:space="preserve"> (acouphènes, hypoacousie transitoire) ; (xi) </w:t>
      </w:r>
      <w:r>
        <w:rPr>
          <w:b/>
        </w:rPr>
        <w:t>polyurie et polydipsie</w:t>
      </w:r>
      <w:r>
        <w:t xml:space="preserve"> (par effet diurétique) ; (xii) </w:t>
      </w:r>
      <w:r>
        <w:rPr>
          <w:b/>
        </w:rPr>
        <w:t>troubles psychiatriques</w:t>
      </w:r>
      <w:r>
        <w:t xml:space="preserve"> rares : dépression, confusion (particulièrement chez le sujet âgé et en cas d'acidose sévère) ; (xiii) </w:t>
      </w:r>
      <w:r>
        <w:rPr>
          <w:b/>
        </w:rPr>
        <w:t>réactions cutanées</w:t>
      </w:r>
      <w:r>
        <w:t xml:space="preserve"> (rash, prurit — rares ; cas rapportés de Stevens-Johnson et de nécrolyse épidermique toxique — particulièrement chez les patients allergiques aux sulfamides) ; (xiv) </w:t>
      </w:r>
      <w:r>
        <w:rPr>
          <w:b/>
        </w:rPr>
        <w:t>troubles hématologiques</w:t>
      </w:r>
      <w:r>
        <w:t xml:space="preserve"> rares : </w:t>
      </w:r>
      <w:r>
        <w:rPr>
          <w:b/>
        </w:rPr>
        <w:t>aplasie médullaire</w:t>
      </w:r>
      <w:r>
        <w:t xml:space="preserve"> (très rare mais grave — surveillance NFS), agranulocytose, thrombocytopénie, anémie aplasique ; (xv) </w:t>
      </w:r>
      <w:r>
        <w:rPr>
          <w:b/>
        </w:rPr>
        <w:t>cytolyse hépatique</w:t>
      </w:r>
      <w:r>
        <w:t xml:space="preserve"> rare, hépatite cholestatique ; (xvi) </w:t>
      </w:r>
      <w:r>
        <w:rPr>
          <w:b/>
        </w:rPr>
        <w:t>nephrocalcinose</w:t>
      </w:r>
      <w:r>
        <w:t xml:space="preserve"> (calcifications rénales diffuses en cas de traitement prolongé) ; (xvii) </w:t>
      </w:r>
      <w:r>
        <w:rPr>
          <w:b/>
        </w:rPr>
        <w:t>hyperuricémie</w:t>
      </w:r>
      <w:r>
        <w:t xml:space="preserve"> (par inhibition de l'uricosurie — prudence chez le goutteux) ; (xviii) </w:t>
      </w:r>
      <w:r>
        <w:rPr>
          <w:b/>
        </w:rPr>
        <w:t>hyperglycémie</w:t>
      </w:r>
      <w:r>
        <w:t xml:space="preserve"> (modification de la tolérance glucidique — prudence chez le diabétique) ; (xix) </w:t>
      </w:r>
      <w:r>
        <w:rPr>
          <w:b/>
        </w:rPr>
        <w:t>syndrome de sevrage</w:t>
      </w:r>
      <w:r>
        <w:t xml:space="preserve"> à l'arrêt brutal (recrudescence des crises — ne jamais arrêter brutalement).</w:t>
      </w:r>
    </w:p>
    <w:p>
      <w:r/>
      <w:r>
        <w:rPr>
          <w:b/>
        </w:rPr>
        <w:t>Prévention et Gestion des Effets Indésirables :</w:t>
      </w:r>
      <w:r/>
    </w:p>
    <w:p>
      <w:pPr>
        <w:pStyle w:val="ListBullet"/>
      </w:pPr>
      <w:r>
        <w:t xml:space="preserve">Mesures Préventives : (i) </w:t>
      </w:r>
      <w:r>
        <w:rPr>
          <w:b/>
        </w:rPr>
        <w:t>augmentation posologique progressive</w:t>
      </w:r>
      <w:r>
        <w:t xml:space="preserve"> selon le schéma recommandé : 250 mg le soir pendant 1 semaine, puis 250 mg ×2/j, puis 250 mg ×3/j si besoin ; (ii) </w:t>
      </w:r>
      <w:r>
        <w:rPr>
          <w:b/>
        </w:rPr>
        <w:t>surveillance de l'ionogramme</w:t>
      </w:r>
      <w:r>
        <w:t xml:space="preserve"> (acidose métabolique, hypokaliémie, hyponatrémie) à l'initiation puis semestriellement — bicarbonate, potassium, chlore, natrémie ; (iii) </w:t>
      </w:r>
      <w:r>
        <w:rPr>
          <w:b/>
        </w:rPr>
        <w:t>surveillance de la fonction rénale</w:t>
      </w:r>
      <w:r>
        <w:t xml:space="preserve"> (créatininémie et clairance) à l'initiation puis semestriellement — adaptation posologique obligatoire si ClCr &lt; 50 mL/min ; (iv) </w:t>
      </w:r>
      <w:r>
        <w:rPr>
          <w:b/>
        </w:rPr>
        <w:t>surveillance de la NFS et du bilan hépatique</w:t>
      </w:r>
      <w:r>
        <w:t xml:space="preserve"> en début de traitement puis semestriellement (recherche d'aplasie médullaire, agranulocytose, thrombocytopénie, cytolyse hépatique) — particulièrement important en raison de la toxicité hématologique rare mais grave ; (v) </w:t>
      </w:r>
      <w:r>
        <w:rPr>
          <w:b/>
        </w:rPr>
        <w:t>surveillance échographique rénale</w:t>
      </w:r>
      <w:r>
        <w:t xml:space="preserve"> en cas d'antécédents lithiasiques (recherche de calculs asymptomatiques) ; (vi) </w:t>
      </w:r>
      <w:r>
        <w:rPr>
          <w:b/>
        </w:rPr>
        <w:t>hyperhydratation</w:t>
      </w:r>
      <w:r>
        <w:t xml:space="preserve"> (≥ 2 L/j d'eau) pour prévenir la lithiase rénale calcique — conseil essentiel ; (vii) </w:t>
      </w:r>
      <w:r>
        <w:rPr>
          <w:b/>
        </w:rPr>
        <w:t>supplémentation potassique</w:t>
      </w:r>
      <w:r>
        <w:t xml:space="preserve"> (KCl 600-1000 mg/j per os) si hypokaliémie confirmée — surveillance ; (viii) </w:t>
      </w:r>
      <w:r>
        <w:rPr>
          <w:b/>
        </w:rPr>
        <w:t>information du patient sur le syndrome de sevrage</w:t>
      </w:r>
      <w:r>
        <w:t xml:space="preserve"> et l'interdiction d'arrêter brutalement le traitement ; (ix) </w:t>
      </w:r>
      <w:r>
        <w:rPr>
          <w:b/>
        </w:rPr>
        <w:t>prudence à la conduite automobile</w:t>
      </w:r>
      <w:r>
        <w:t xml:space="preserve"> pendant les premières semaines (somnolence, paresthésies) ; (x) </w:t>
      </w:r>
      <w:r>
        <w:rPr>
          <w:b/>
        </w:rPr>
        <w:t>prévention de la grossesse</w:t>
      </w:r>
      <w:r>
        <w:t xml:space="preserve"> chez la femme en âge de procréer — l'acétazolamide est tératogène chez l'animal, contraception efficace obligatoire ; (xi) </w:t>
      </w:r>
      <w:r>
        <w:rPr>
          <w:b/>
        </w:rPr>
        <w:t>bilan dermatologique</w:t>
      </w:r>
      <w:r>
        <w:t xml:space="preserve"> à la moindre éruption cutanée (recherche de Stevens-Johnson) ; (xii) </w:t>
      </w:r>
      <w:r>
        <w:rPr>
          <w:b/>
        </w:rPr>
        <w:t>surveillance de la glycémie</w:t>
      </w:r>
      <w:r>
        <w:t xml:space="preserve"> chez le diabétique (modification possible de la tolérance glucidique) ; (xiii) </w:t>
      </w:r>
      <w:r>
        <w:rPr>
          <w:b/>
        </w:rPr>
        <w:t>surveillance de l'uricémie</w:t>
      </w:r>
      <w:r>
        <w:t xml:space="preserve"> chez le goutteux.</w:t>
      </w:r>
    </w:p>
    <w:p>
      <w:pPr>
        <w:pStyle w:val="ListBullet"/>
      </w:pPr>
      <w:r>
        <w:t>Conduite à Tenir : (i) en cas d'</w:t>
      </w:r>
      <w:r>
        <w:rPr>
          <w:b/>
        </w:rPr>
        <w:t>acidose métabolique symptomatique</w:t>
      </w:r>
      <w:r>
        <w:t xml:space="preserve"> (hyperventilation compensatoire, asthénie, confusion) : alcalinisation (bicarbonate de sodium 1-2 g/j per os), réduire la dose si besoin, arrêt si acidose sévère (bicarbonates &lt; 16 mmol/L) ; (ii) en cas d'</w:t>
      </w:r>
      <w:r>
        <w:rPr>
          <w:b/>
        </w:rPr>
        <w:t>hypokaliémie</w:t>
      </w:r>
      <w:r>
        <w:t xml:space="preserve"> : supplémentation potassique (KCl per os), surveillance, réduction de dose si besoin ; (iii) en cas de </w:t>
      </w:r>
      <w:r>
        <w:rPr>
          <w:b/>
        </w:rPr>
        <w:t>lithiase rénale</w:t>
      </w:r>
      <w:r>
        <w:t xml:space="preserve"> : hyperhydratation (3 L/j), arrêt si calculs récidivants ou insuffisance rénale, envisager une alternative ; (iv) en cas d'</w:t>
      </w:r>
      <w:r>
        <w:rPr>
          <w:b/>
        </w:rPr>
        <w:t>aplasie médullaire</w:t>
      </w:r>
      <w:r>
        <w:t xml:space="preserve"> (PNN &lt; 1500/mm3, plaquettes &lt; 100 000/mm3, Hb &lt; 10 g/dL) : </w:t>
      </w:r>
      <w:r>
        <w:rPr>
          <w:b/>
        </w:rPr>
        <w:t>arrêt immédiat</w:t>
      </w:r>
      <w:r>
        <w:t>, hospitalisation urgente, avis hématologique ; (v) en cas d'</w:t>
      </w:r>
      <w:r>
        <w:rPr>
          <w:b/>
        </w:rPr>
        <w:t>éruption cutanée</w:t>
      </w:r>
      <w:r>
        <w:t xml:space="preserve"> : arrêt immédiat, hospitalisation si signes de Stevens-Johnson ou nécrolyse épidermique ; (vi) en cas de </w:t>
      </w:r>
      <w:r>
        <w:rPr>
          <w:b/>
        </w:rPr>
        <w:t>cytolyse hépatique</w:t>
      </w:r>
      <w:r>
        <w:t xml:space="preserve"> : surveillance, arrêt si ALT &gt; 3× LSN ; (vii) en cas de </w:t>
      </w:r>
      <w:r>
        <w:rPr>
          <w:b/>
        </w:rPr>
        <w:t>paresthésies invalidantes</w:t>
      </w:r>
      <w:r>
        <w:t xml:space="preserve"> : réduire la dose, envisager une alternative ; (viii) en cas de </w:t>
      </w:r>
      <w:r>
        <w:rPr>
          <w:b/>
        </w:rPr>
        <w:t>grossesse non planifiée</w:t>
      </w:r>
      <w:r>
        <w:t xml:space="preserve"> : ne pas arrêter brutalement, consulter le neurologue pour réévaluation du rapport bénéfice/risque — l'acétazolamide est tératogène chez l'animal (mais données humaines limitées), substitution par le lévétiracétam à envisager.</w:t>
      </w:r>
    </w:p>
    <w:p>
      <w:r/>
      <w:r>
        <w:rPr>
          <w:b/>
        </w:rPr>
        <w:t>Interactions Importantes :</w:t>
      </w:r>
      <w:r/>
    </w:p>
    <w:p>
      <w:pPr>
        <w:pStyle w:val="ListBullet"/>
      </w:pPr>
      <w:r/>
      <w:r>
        <w:rPr>
          <w:b/>
        </w:rPr>
        <w:t>Acétazolamide + autres inhibiteurs de l'anhydrase carbonique (topiramate, zonisamide, dichlorphénamide)</w:t>
      </w:r>
      <w:r>
        <w:t xml:space="preserve"> : </w:t>
      </w:r>
      <w:r>
        <w:rPr>
          <w:b/>
        </w:rPr>
        <w:t>acidose métabolique additive</w:t>
      </w:r>
      <w:r>
        <w:t xml:space="preserve"> — éviter l'association ou surveiller étroitement l'ionogramme ; risque accru de lithiase rénale calcique.</w:t>
      </w:r>
    </w:p>
    <w:p>
      <w:pPr>
        <w:pStyle w:val="ListBullet"/>
      </w:pPr>
      <w:r/>
      <w:r>
        <w:rPr>
          <w:b/>
        </w:rPr>
        <w:t>Acétazolamide + salicylés (aspirine)</w:t>
      </w:r>
      <w:r>
        <w:t xml:space="preserve"> : cas rapportés de coma (par accumulation de l'acétazolamide en cas de doses élevées d'aspirine qui inhibe sa sécrétion tubulaire) — éviter l'association ou surveiller.</w:t>
      </w:r>
    </w:p>
    <w:p>
      <w:pPr>
        <w:pStyle w:val="ListBullet"/>
      </w:pPr>
      <w:r/>
      <w:r>
        <w:rPr>
          <w:b/>
        </w:rPr>
        <w:t>Acétazolamide + lithium</w:t>
      </w:r>
      <w:r>
        <w:t xml:space="preserve"> : réduction de l'excrétion du lithium (par alcalinisation urinaire) — risque de toxicité du lithium (surveillance des concentrations).</w:t>
      </w:r>
    </w:p>
    <w:p>
      <w:pPr>
        <w:pStyle w:val="ListBullet"/>
      </w:pPr>
      <w:r/>
      <w:r>
        <w:rPr>
          <w:b/>
        </w:rPr>
        <w:t>Acétazolamide + quinidine, procaïnamide, amiodarone</w:t>
      </w:r>
      <w:r>
        <w:t xml:space="preserve"> : augmentation de l'excrétion de ces médicaments (alcalinisation urinaire favorise l'élimination des bases faibles) — possible réduction d'efficacité antiarythmique.</w:t>
      </w:r>
    </w:p>
    <w:p>
      <w:pPr>
        <w:pStyle w:val="ListBullet"/>
      </w:pPr>
      <w:r/>
      <w:r>
        <w:rPr>
          <w:b/>
        </w:rPr>
        <w:t>Acétazolamide + phénobarbital, salicylés</w:t>
      </w:r>
      <w:r>
        <w:t xml:space="preserve"> : augmentation de l'excrétation de ces acides faibles (alcalinisation urinaire — utilisé en cas de surdosage pour favoriser l'élimination) — effet thérapeutique utilisé en toxicologie.</w:t>
      </w:r>
    </w:p>
    <w:p>
      <w:pPr>
        <w:pStyle w:val="ListBullet"/>
      </w:pPr>
      <w:r/>
      <w:r>
        <w:rPr>
          <w:b/>
        </w:rPr>
        <w:t>Acétazolamide + diurétiques thiazidiques, furosémide</w:t>
      </w:r>
      <w:r>
        <w:t xml:space="preserve"> : </w:t>
      </w:r>
      <w:r>
        <w:rPr>
          <w:b/>
        </w:rPr>
        <w:t>potentialisation de l'hypokaliémie</w:t>
      </w:r>
      <w:r>
        <w:t xml:space="preserve"> et de l'hyponatrémie — surveillance étroite, supplémentation potassique.</w:t>
      </w:r>
    </w:p>
    <w:p>
      <w:pPr>
        <w:pStyle w:val="ListBullet"/>
      </w:pPr>
      <w:r/>
      <w:r>
        <w:rPr>
          <w:b/>
        </w:rPr>
        <w:t>Acétazolamide + IEC, ARA II</w:t>
      </w:r>
      <w:r>
        <w:t xml:space="preserve"> : risque accru d'hypotension et d'hyperkaliémie paradoxale.</w:t>
      </w:r>
    </w:p>
    <w:p>
      <w:pPr>
        <w:pStyle w:val="ListBullet"/>
      </w:pPr>
      <w:r/>
      <w:r>
        <w:rPr>
          <w:b/>
        </w:rPr>
        <w:t>Acétazolamide + digoxine</w:t>
      </w:r>
      <w:r>
        <w:t xml:space="preserve"> : risque accru de toxicité de la digoxine en cas d'hypokaliémie — surveillance clinique et biologique.</w:t>
      </w:r>
    </w:p>
    <w:p>
      <w:pPr>
        <w:pStyle w:val="ListBullet"/>
      </w:pPr>
      <w:r/>
      <w:r>
        <w:rPr>
          <w:b/>
        </w:rPr>
        <w:t>Acétazolamide + antidiabétiques oraux, insuline</w:t>
      </w:r>
      <w:r>
        <w:t xml:space="preserve"> : modification possible de la glycémie (hyperglycémie par inhibition de l'CA pancréatique) — surveillance glycémique.</w:t>
      </w:r>
    </w:p>
    <w:p>
      <w:pPr>
        <w:pStyle w:val="ListBullet"/>
      </w:pPr>
      <w:r/>
      <w:r>
        <w:rPr>
          <w:b/>
        </w:rPr>
        <w:t>Acétazolamide + contraceptifs oraux</w:t>
      </w:r>
      <w:r>
        <w:t xml:space="preserve"> : pas d'interaction documentée.</w:t>
      </w:r>
    </w:p>
    <w:p>
      <w:pPr>
        <w:pStyle w:val="ListBullet"/>
      </w:pPr>
      <w:r/>
      <w:r>
        <w:rPr>
          <w:b/>
        </w:rPr>
        <w:t>Acétazolamide + méthotrexate</w:t>
      </w:r>
      <w:r>
        <w:t xml:space="preserve"> : augmentation possible de la nephrotoxicité (particulièrement à doses élevées).</w:t>
      </w:r>
    </w:p>
    <w:p>
      <w:pPr>
        <w:pStyle w:val="ListBullet"/>
      </w:pPr>
      <w:r/>
      <w:r>
        <w:rPr>
          <w:b/>
        </w:rPr>
        <w:t>Acétazolamide + primidone, phénytoïne</w:t>
      </w:r>
      <w:r>
        <w:t xml:space="preserve"> : augmentation possible des concentrations de ces antiépileptiques (inhibition de leur métabolisme) — surveillance.</w:t>
      </w:r>
    </w:p>
    <w:p>
      <w:r/>
      <w:r>
        <w:rPr>
          <w:b/>
        </w:rPr>
        <w:t>Grossesse et Allaitement :</w:t>
      </w:r>
      <w:r/>
    </w:p>
    <w:p>
      <w:pPr>
        <w:pStyle w:val="ListBullet"/>
      </w:pPr>
      <w:r>
        <w:t xml:space="preserve">Grossesse : Selon le CRAT, l'acétazolamide est </w:t>
      </w:r>
      <w:r>
        <w:rPr>
          <w:b/>
        </w:rPr>
        <w:t>à éviter par prudence pendant la grossesse</w:t>
      </w:r>
      <w:r>
        <w:t xml:space="preserve"> sauf nécessité absolue — préférer le </w:t>
      </w:r>
      <w:r>
        <w:rPr>
          <w:b/>
        </w:rPr>
        <w:t>lévétiracétam</w:t>
      </w:r>
      <w:r>
        <w:t xml:space="preserve"> (antiépileptique de choix). L'acétazolamide est </w:t>
      </w:r>
      <w:r>
        <w:rPr>
          <w:b/>
        </w:rPr>
        <w:t>tératogène chez l'animal</w:t>
      </w:r>
      <w:r>
        <w:t xml:space="preserve"> (anomalies squelettiques chez le rat, la souris et le lapin) à doses supérieures aux doses thérapeutiques humaines. Les données humaines sont </w:t>
      </w:r>
      <w:r>
        <w:rPr>
          <w:b/>
        </w:rPr>
        <w:t>limitées</w:t>
      </w:r>
      <w:r>
        <w:t xml:space="preserve"> (quelques centaines de grossesses exposées) mais ne montrent pas d'augmentation significative du risque de malformations congénitales majeures (2-3 % — proche de la population générale). Cependant, en raison de la tératogénicité animale et de la prévention de principe, l'acétazolamide n'est pas recommandé comme antiépileptique de premier choix pendant la grossesse. Pour le traitement du glaucome pendant la grossesse, les collyres locaux (bêta-bloquants, analogues des prostaglandines) sont préférés à l'acétazolamide systémique. </w:t>
      </w:r>
      <w:r>
        <w:rPr>
          <w:b/>
        </w:rPr>
        <w:t>Supplémentation en acide folique 5 mg/j</w:t>
      </w:r>
      <w:r>
        <w:t xml:space="preserve"> recommandée à partir du mois précédant la conception. Si une grossesse est engagée sous acétazolamide : (i) ne pas arrêter brutalement (risque de réapparition des crises avec état de mal épileptique) ; (ii) consulter le neurologue pour éventuelle substitution par le lévétiracétam ; (iii) échographie morphologique de référence à 22 SA ; (iv) suivi spécialisé au CRAT.</w:t>
      </w:r>
    </w:p>
    <w:p>
      <w:pPr>
        <w:pStyle w:val="ListBullet"/>
      </w:pPr>
      <w:r>
        <w:t xml:space="preserve">Allaitement : Selon le CRAT, l'acétazolamide est </w:t>
      </w:r>
      <w:r>
        <w:rPr>
          <w:b/>
        </w:rPr>
        <w:t>compatible avec l'allaitement maternel</w:t>
      </w:r>
      <w:r>
        <w:t xml:space="preserve"> avec surveillance (molécule ancienne avec recul important). L'acétazolamide passe dans le lait maternel en faible quantité (rapport lait/plasma ≈ 0,1-0,3) avec une exposition estimée chez le nourrisson à environ 1-3 % de la dose maternelle ajustée au poids. Surveiller le nourrisson : </w:t>
      </w:r>
      <w:r>
        <w:rPr>
          <w:b/>
        </w:rPr>
        <w:t>somnolence, mauvaise prise au sein, hypotonie, troubles gastro-intestinaux</w:t>
      </w:r>
      <w:r>
        <w:t xml:space="preserve"> — en cas d'effet indésirable, suspendre l'allaitement.</w:t>
      </w:r>
    </w:p>
    <w:p>
      <w:pPr>
        <w:pStyle w:val="ListBullet"/>
      </w:pPr>
      <w:r>
        <w:t>Précisions : L'acétazolamide ne provoque pas de syndrome de sevrage néonatal significatif — surveillance néonatale de routine.</w:t>
      </w:r>
    </w:p>
    <w:p>
      <w:r/>
      <w:r>
        <w:rPr>
          <w:b/>
        </w:rPr>
        <w:t>Posologie et Mode d'administration (Standard) :</w:t>
      </w:r>
      <w:r/>
    </w:p>
    <w:p>
      <w:pPr>
        <w:pStyle w:val="ListBullet"/>
      </w:pPr>
      <w:r>
        <w:t xml:space="preserve">Adulte : </w:t>
      </w:r>
      <w:r>
        <w:rPr>
          <w:b/>
        </w:rPr>
        <w:t>Antiépileptique</w:t>
      </w:r>
      <w:r>
        <w:t xml:space="preserve"> : 250 mg ×2-4/j (500-1000 mg/j en 2-4 prises) — initiation à 250 mg le soir, titration progressive par paliers de 250 mg tous les 3-7 jours. </w:t>
      </w:r>
      <w:r>
        <w:rPr>
          <w:b/>
        </w:rPr>
        <w:t>Glaucome aigu</w:t>
      </w:r>
      <w:r>
        <w:t xml:space="preserve"> : 250 mg ×4/j (1000 mg/j) pendant 24-48 heures en complément du traitement local — mais les formes injectables ne sont plus disponibles en Algérie. </w:t>
      </w:r>
      <w:r>
        <w:rPr>
          <w:b/>
        </w:rPr>
        <w:t>Glaucome chronique</w:t>
      </w:r>
      <w:r>
        <w:t xml:space="preserve"> : 250 mg ×1-4/j (250-1000 mg/j). </w:t>
      </w:r>
      <w:r>
        <w:rPr>
          <w:b/>
        </w:rPr>
        <w:t>Œdème maculaire</w:t>
      </w:r>
      <w:r>
        <w:t xml:space="preserve"> : 250 mg ×2-3/j. </w:t>
      </w:r>
      <w:r>
        <w:rPr>
          <w:b/>
        </w:rPr>
        <w:t>Mal des montagnes prophylaxie</w:t>
      </w:r>
      <w:r>
        <w:t xml:space="preserve"> : 125-250 mg ×2-3/j, à commencer 24-48 heures avant l'ascension et poursuivre 2-4 jours après l'arrivée. </w:t>
      </w:r>
      <w:r>
        <w:rPr>
          <w:b/>
        </w:rPr>
        <w:t>Alcalose métabolique</w:t>
      </w:r>
      <w:r>
        <w:t xml:space="preserve"> : 250-500 mg ×1-3/j.</w:t>
      </w:r>
    </w:p>
    <w:p>
      <w:pPr>
        <w:pStyle w:val="ListBullet"/>
      </w:pPr>
      <w:r>
        <w:t>Adaptation à la fonction rénale : ClCr ≥ 50 mL/min : dose standard ; ClCr 30-49 : réduire la dose de 50 % ; ClCr &lt; 30 : contre-indiqué. Hémodialysé : dose supplémentaire après chaque dialyse.</w:t>
      </w:r>
    </w:p>
    <w:p>
      <w:pPr>
        <w:pStyle w:val="ListBullet"/>
      </w:pPr>
      <w:r>
        <w:t>Adaptation à la fonction hépatique : Insuffisance hépatique sévère : contre-indiqué (risque d'encéphalopathie hépatique).</w:t>
      </w:r>
    </w:p>
    <w:p>
      <w:pPr>
        <w:pStyle w:val="ListBullet"/>
      </w:pPr>
      <w:r>
        <w:t>Enfant &gt; 4 ans (antiépileptique) : 8-30 mg/kg/j en 2-4 prises, titration progressive à partir de 5 mg/kg/j ; dose maximale 30 mg/kg/j (sans dépasser 1000 mg/j).</w:t>
      </w:r>
    </w:p>
    <w:p>
      <w:pPr>
        <w:pStyle w:val="ListBullet"/>
      </w:pPr>
      <w:r>
        <w:t xml:space="preserve">Durée : </w:t>
      </w:r>
      <w:r>
        <w:rPr>
          <w:b/>
        </w:rPr>
        <w:t>Au long cours</w:t>
      </w:r>
      <w:r>
        <w:t xml:space="preserve"> pour l'indication antiépileptique. Pour le glaucome aigu, traitement court de 24-48 heures. Pour le mal des montagnes, traitement court de 5-7 jours.</w:t>
      </w:r>
    </w:p>
    <w:p>
      <w:pPr>
        <w:pStyle w:val="ListBullet"/>
      </w:pPr>
      <w:r>
        <w:t xml:space="preserve">Moment de la prise : </w:t>
      </w:r>
      <w:r>
        <w:rPr>
          <w:b/>
        </w:rPr>
        <w:t>Pendant ou après les repas</w:t>
      </w:r>
      <w:r>
        <w:t xml:space="preserve"> pour réduire les nausées. La dernière prise est souvent prise </w:t>
      </w:r>
      <w:r>
        <w:rPr>
          <w:b/>
        </w:rPr>
        <w:t>au coucher</w:t>
      </w:r>
      <w:r>
        <w:t xml:space="preserve"> pour profiter de l'effet diurétique nocturne (à éviter cependant en raison de la polyurie nocturne perturbant le sommeil — préférer la prise au matin et à midi).</w:t>
      </w:r>
    </w:p>
    <w:p>
      <w:r/>
      <w:r>
        <w:rPr>
          <w:b/>
        </w:rPr>
        <w:t>Arbitrage et Bénéfices des Formes Galéniques :</w:t>
      </w:r>
      <w:r/>
    </w:p>
    <w:p>
      <w:r>
        <w:t xml:space="preserve">L'acétazolamide est disponible en Algérie en </w:t>
      </w:r>
      <w:r>
        <w:rPr>
          <w:b/>
        </w:rPr>
        <w:t>un seul dosage oral</w:t>
      </w:r>
      <w:r>
        <w:t xml:space="preserve"> (250 mg en comprimés) chez </w:t>
      </w:r>
      <w:r>
        <w:rPr>
          <w:b/>
        </w:rPr>
        <w:t>deux marques actives</w:t>
      </w:r>
      <w:r>
        <w:t xml:space="preserve"> (Acetazolamide BR® Biorem et Lynox® Sarl Groupe Santé). Les comprimés sont </w:t>
      </w:r>
      <w:r>
        <w:rPr>
          <w:b/>
        </w:rPr>
        <w:t>sécables</w:t>
      </w:r>
      <w:r>
        <w:t xml:space="preserve"> (Acetazolamide BR®) ou non (Lynox®), ce qui facilite l'adaptation posologique fine (125 mg = demi-comprimé). L'absence de </w:t>
      </w:r>
      <w:r>
        <w:rPr>
          <w:b/>
        </w:rPr>
        <w:t>forme sirop ou solution buvable</w:t>
      </w:r>
      <w:r>
        <w:t xml:space="preserve"> complique l'administration pédiatrique — le pharmacien d'officine doit conseiller l'écrasement des comprimés à 250 mg dans une petite quantité d'eau ou de compote (à prendre immédiatement sans conservation). L'absence de </w:t>
      </w:r>
      <w:r>
        <w:rPr>
          <w:b/>
        </w:rPr>
        <w:t>forme injectable IV</w:t>
      </w:r>
      <w:r>
        <w:t xml:space="preserve"> (Diamox® 500 mg IM/IV RETIRE) complique la prise en charge du </w:t>
      </w:r>
      <w:r>
        <w:rPr>
          <w:b/>
        </w:rPr>
        <w:t>glaucome aigu</w:t>
      </w:r>
      <w:r>
        <w:t xml:space="preserve"> (substitution par le mannitol IV), de l'</w:t>
      </w:r>
      <w:r>
        <w:rPr>
          <w:b/>
        </w:rPr>
        <w:t>œdème cérébral</w:t>
      </w:r>
      <w:r>
        <w:t xml:space="preserve"> (substitution par le mannitol IV), et de la </w:t>
      </w:r>
      <w:r>
        <w:rPr>
          <w:b/>
        </w:rPr>
        <w:t>crise d'altitude sévère</w:t>
      </w:r>
      <w:r>
        <w:t xml:space="preserve"> (substitution par la descente et l'oxygénothérapie). Pour les patients nécessitant un sevrage, la division par moitié (comprimés sécables) permet une réduction progressive par paliers de 125 mg. Le pharmacien doit </w:t>
      </w:r>
      <w:r>
        <w:rPr>
          <w:b/>
        </w:rPr>
        <w:t>conseiller au patient d'avoir toujours une boîte d'avance</w:t>
      </w:r>
      <w:r>
        <w:t xml:space="preserve"> pour éviter la rupture thérapeutique (risque de reprise des crises).</w:t>
      </w:r>
    </w:p>
    <w:p>
      <w:r/>
      <w:r>
        <w:rPr>
          <w:b/>
        </w:rPr>
        <w:t>Instructions et Conseils au Patient :</w:t>
      </w:r>
      <w:r/>
    </w:p>
    <w:p>
      <w:pPr>
        <w:pStyle w:val="ListBullet"/>
      </w:pPr>
      <w:r>
        <w:t xml:space="preserve">Communication au comptoir : Expliquer au patient que : (i) le traitement est </w:t>
      </w:r>
      <w:r>
        <w:rPr>
          <w:b/>
        </w:rPr>
        <w:t>au long cours</w:t>
      </w:r>
      <w:r>
        <w:t xml:space="preserve"> et qu'il ne faut jamais l'arrêter brutalement (risque de </w:t>
      </w:r>
      <w:r>
        <w:rPr>
          <w:b/>
        </w:rPr>
        <w:t>réapparition des crises</w:t>
      </w:r>
      <w:r>
        <w:t xml:space="preserve">) ; (ii) les effets indésirables initiaux (paresthésies, dysgueusie, somnolence, polyurie) sont transitoires — ne pas arrêter dès les premiers effets ; (iii) la </w:t>
      </w:r>
      <w:r>
        <w:rPr>
          <w:b/>
        </w:rPr>
        <w:t>titration progressive</w:t>
      </w:r>
      <w:r>
        <w:t xml:space="preserve"> est essentielle ; (iv) en cas d'oubli, </w:t>
      </w:r>
      <w:r>
        <w:rPr>
          <w:b/>
        </w:rPr>
        <w:t>prendre la dose oubliée si moins de 8 heures se sont écoulées</w:t>
      </w:r>
      <w:r>
        <w:t xml:space="preserve">, sinon ne pas prendre et continuer le schéma habituel — </w:t>
      </w:r>
      <w:r>
        <w:rPr>
          <w:b/>
        </w:rPr>
        <w:t>ne jamais doubler la dose</w:t>
      </w:r>
      <w:r>
        <w:t xml:space="preserve"> ; (v) </w:t>
      </w:r>
      <w:r>
        <w:rPr>
          <w:b/>
        </w:rPr>
        <w:t>ne pas conduire</w:t>
      </w:r>
      <w:r>
        <w:t xml:space="preserve"> pendant les premières semaines (paresthésies, somnolence) ; (vi) </w:t>
      </w:r>
      <w:r>
        <w:rPr>
          <w:b/>
        </w:rPr>
        <w:t>hyperhydratation obligatoire</w:t>
      </w:r>
      <w:r>
        <w:t xml:space="preserve"> (≥ 2 L/j d'eau) pour prévenir la </w:t>
      </w:r>
      <w:r>
        <w:rPr>
          <w:b/>
        </w:rPr>
        <w:t>lithiase rénale</w:t>
      </w:r>
      <w:r>
        <w:t xml:space="preserve"> et compenser la </w:t>
      </w:r>
      <w:r>
        <w:rPr>
          <w:b/>
        </w:rPr>
        <w:t>polyurie</w:t>
      </w:r>
      <w:r>
        <w:t xml:space="preserve"> — conseil essentiel ; (vii) </w:t>
      </w:r>
      <w:r>
        <w:rPr>
          <w:b/>
        </w:rPr>
        <w:t>alimentation riche en potassium</w:t>
      </w:r>
      <w:r>
        <w:t xml:space="preserve"> (bananes, agrumes, abricots secs, légumes verts) pour prévenir l'</w:t>
      </w:r>
      <w:r>
        <w:rPr>
          <w:b/>
        </w:rPr>
        <w:t>hypokaliémie</w:t>
      </w:r>
      <w:r>
        <w:t xml:space="preserve"> ; (viii) </w:t>
      </w:r>
      <w:r>
        <w:rPr>
          <w:b/>
        </w:rPr>
        <w:t>prévenir le médecin et le pharmacien en cas de grossesse planifiée ou non</w:t>
      </w:r>
      <w:r>
        <w:t xml:space="preserve"> — l'acétazolamide est tératogène chez l'animal ; (ix) </w:t>
      </w:r>
      <w:r>
        <w:rPr>
          <w:b/>
        </w:rPr>
        <w:t>surveiller la tolérance</w:t>
      </w:r>
      <w:r>
        <w:t xml:space="preserve"> et signaler immédiatement tout signe d'</w:t>
      </w:r>
      <w:r>
        <w:rPr>
          <w:b/>
        </w:rPr>
        <w:t>acidose</w:t>
      </w:r>
      <w:r>
        <w:t xml:space="preserve"> (hyperventilation, asthénie, confusion), d'</w:t>
      </w:r>
      <w:r>
        <w:rPr>
          <w:b/>
        </w:rPr>
        <w:t>hypokaliémie</w:t>
      </w:r>
      <w:r>
        <w:t xml:space="preserve"> (fatigue, crampes, palpitations), ou d'</w:t>
      </w:r>
      <w:r>
        <w:rPr>
          <w:b/>
        </w:rPr>
        <w:t>aplasie médullaire</w:t>
      </w:r>
      <w:r>
        <w:t xml:space="preserve"> (fièvre, angine, saignements, pâleur) ; (x) </w:t>
      </w:r>
      <w:r>
        <w:rPr>
          <w:b/>
        </w:rPr>
        <w:t>surveiller la peau</w:t>
      </w:r>
      <w:r>
        <w:t xml:space="preserve"> et consulter en urgence en cas d'éruption cutanée avec fièvre, ulcérations buccales ou génitales (signes de Stevens-Johnson) ; (xi) </w:t>
      </w:r>
      <w:r>
        <w:rPr>
          <w:b/>
        </w:rPr>
        <w:t>porter une carte d'identification médicale</w:t>
      </w:r>
      <w:r>
        <w:t xml:space="preserve"> indiquant le traitement antiépileptique ; (xii) chez la femme en âge de procréer : </w:t>
      </w:r>
      <w:r>
        <w:rPr>
          <w:b/>
        </w:rPr>
        <w:t>contraception efficace obligatoire</w:t>
      </w:r>
      <w:r>
        <w:t>.</w:t>
      </w:r>
    </w:p>
    <w:p>
      <w:pPr>
        <w:pStyle w:val="ListBullet"/>
      </w:pPr>
      <w:r>
        <w:t xml:space="preserve">Mode d'utilisation pratique : Prendre les comprimés </w:t>
      </w:r>
      <w:r>
        <w:rPr>
          <w:b/>
        </w:rPr>
        <w:t>avec un grand verre d'eau</w:t>
      </w:r>
      <w:r>
        <w:t xml:space="preserve">, </w:t>
      </w:r>
      <w:r>
        <w:rPr>
          <w:b/>
        </w:rPr>
        <w:t>pendant ou après les repas</w:t>
      </w:r>
      <w:r>
        <w:t>. Boire abondamment (≥ 2 L/j d'eau). Conserver les comprimés à température ambiante (&lt;25 °C), à l'abri de l'humidité. Tenir hors de portée des enfants. Surveiller la créatininémie et l'ionogramme au moins semestriellement. Surveiller la NFS et le bilan hépatique au moins semestriellement. Tenir un agenda des crises (date, heure, circonstances) à présenter au neurologue.</w:t>
      </w:r>
    </w:p>
    <w:p>
      <w:r/>
      <w:r>
        <w:rPr>
          <w:b/>
        </w:rPr>
        <w:t>Notes, Règles d'Or &amp; Pièges au Comptoir :</w:t>
      </w:r>
      <w:r/>
    </w:p>
    <w:p>
      <w:pPr>
        <w:pStyle w:val="ListBullet"/>
      </w:pPr>
      <w:r>
        <w:t xml:space="preserve">Piège classique : (i) </w:t>
      </w:r>
      <w:r>
        <w:rPr>
          <w:b/>
        </w:rPr>
        <w:t>oubli de la surveillance de l'ionogramme</w:t>
      </w:r>
      <w:r>
        <w:t xml:space="preserve"> — l'acidose métabolique et l'hypokaliémie sont quasi-constantes et doivent être dépistées ; (ii) </w:t>
      </w:r>
      <w:r>
        <w:rPr>
          <w:b/>
        </w:rPr>
        <w:t>oubli de la surveillance NFS</w:t>
      </w:r>
      <w:r>
        <w:t xml:space="preserve"> — l'aplasie médullaire est rare mais grave ; (iii) </w:t>
      </w:r>
      <w:r>
        <w:rPr>
          <w:b/>
        </w:rPr>
        <w:t>oubli de l'hyperhydratation</w:t>
      </w:r>
      <w:r>
        <w:t xml:space="preserve"> — recommandation essentielle pour prévenir la lithiase rénale et compenser la polyurie ; (iv) </w:t>
      </w:r>
      <w:r>
        <w:rPr>
          <w:b/>
        </w:rPr>
        <w:t>oubli du risque tératogène animal</w:t>
      </w:r>
      <w:r>
        <w:t xml:space="preserve"> — conseil contraceptive essentiel chez la femme en âge de procréer ; (v) </w:t>
      </w:r>
      <w:r>
        <w:rPr>
          <w:b/>
        </w:rPr>
        <w:t>confusion avec le topiramate</w:t>
      </w:r>
      <w:r>
        <w:t xml:space="preserve"> — bien que le topiramate soit aussi un inhibiteur de l'anhydrase carbonique, il est moins puissant (100× moins) et appartient à la classe multi-cibles ; (vi) </w:t>
      </w:r>
      <w:r>
        <w:rPr>
          <w:b/>
        </w:rPr>
        <w:t>oubli de l'indication diurétique</w:t>
      </w:r>
      <w:r>
        <w:t xml:space="preserve"> — l'acétazolamide est inscrit en Liste II (et non Liste I) en raison de son indication diurétique historique ; (vii) </w:t>
      </w:r>
      <w:r>
        <w:rPr>
          <w:b/>
        </w:rPr>
        <w:t>oubli des interactions avec le lithium et les salicylés</w:t>
      </w:r>
      <w:r>
        <w:t xml:space="preserve"> ; (viii) </w:t>
      </w:r>
      <w:r>
        <w:rPr>
          <w:b/>
        </w:rPr>
        <w:t>oubli de l'indication du mal des montagnes</w:t>
      </w:r>
      <w:r>
        <w:t xml:space="preserve"> — particulièrement utile pour les pèlerins du Hadj se rendant à haute altitude.</w:t>
      </w:r>
    </w:p>
    <w:p>
      <w:pPr>
        <w:pStyle w:val="ListBullet"/>
      </w:pPr>
      <w:r>
        <w:t>Règle de prise : 2-4 prises par jour à heures régulières (par exemple 8h, 14h, 20h), pendant les repas. Prise au coucher à éviter en raison de la polyurie nocturne.</w:t>
      </w:r>
    </w:p>
    <w:p>
      <w:pPr>
        <w:pStyle w:val="ListBullet"/>
      </w:pPr>
      <w:r>
        <w:t>Préparation et Conservation : Conservation à température ambiante (&lt;25 °C), à l'abri de l'humidité et de la lumière. Pas de préparation magistrale nécessaire. Disponible en boîtes de 20 comprimés.</w:t>
      </w:r>
    </w:p>
    <w:p>
      <w:pPr>
        <w:pStyle w:val="ListBullet"/>
      </w:pPr>
      <w:r>
        <w:t xml:space="preserve">Piège du surdosage / Substitution : Le surdosage par l'acétazolamide peut provoquer </w:t>
      </w:r>
      <w:r>
        <w:rPr>
          <w:b/>
        </w:rPr>
        <w:t>somnolence sévère, ataxie, acidose métabolique sévère, hypokaliémie sévère, confusion, convulsions paradoxales, coma</w:t>
      </w:r>
      <w:r>
        <w:t xml:space="preserve"> — traitement symptomatique, alcalinisation par bicarbonate de sodium IV, hémodialyse efficace. La </w:t>
      </w:r>
      <w:r>
        <w:rPr>
          <w:b/>
        </w:rPr>
        <w:t>substitution</w:t>
      </w:r>
      <w:r>
        <w:t xml:space="preserve"> entre les deux marques actives (Acetazolamide BR® Biorem et Lynox® Sarl Groupe Santé) doit se faire à dose équivalente avec surveillance clinique pendant 1 mois. Ne pas substituer avec les formes RETIREES (Diamox® comprimé, Acediox®, Acemax®) — seules les marques Acetazolamide BR® et Lynox® sont actives.</w:t>
      </w:r>
    </w:p>
    <w:p>
      <w:pPr>
        <w:pStyle w:val="Heading2"/>
      </w:pPr>
      <w:r>
        <w:t>Tableau Comparatif Synthétique des 7 Antiépileptiques Modernes</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w:t>
            </w:r>
          </w:p>
        </w:tc>
        <w:tc>
          <w:tcPr>
            <w:tcW w:type="dxa" w:w="1336"/>
          </w:tcPr>
          <w:p>
            <w:r>
              <w:rPr>
                <w:b/>
                <w:sz w:val="20"/>
              </w:rPr>
              <w:t>Posologie standard adulte</w:t>
            </w:r>
          </w:p>
        </w:tc>
        <w:tc>
          <w:tcPr>
            <w:tcW w:type="dxa" w:w="1336"/>
          </w:tcPr>
          <w:p>
            <w:r>
              <w:rPr>
                <w:b/>
                <w:sz w:val="20"/>
              </w:rPr>
              <w:t>Effet indésirable majeur</w:t>
            </w:r>
          </w:p>
        </w:tc>
        <w:tc>
          <w:tcPr>
            <w:tcW w:type="dxa" w:w="1336"/>
          </w:tcPr>
          <w:p>
            <w:r>
              <w:rPr>
                <w:b/>
                <w:sz w:val="20"/>
              </w:rPr>
              <w:t>Contre-indication principale</w:t>
            </w:r>
          </w:p>
        </w:tc>
        <w:tc>
          <w:tcPr>
            <w:tcW w:type="dxa" w:w="1336"/>
          </w:tcPr>
          <w:p>
            <w:r>
              <w:rPr>
                <w:b/>
                <w:sz w:val="20"/>
              </w:rPr>
              <w:t>Grossesse</w:t>
            </w:r>
          </w:p>
        </w:tc>
      </w:tr>
      <w:tr>
        <w:tc>
          <w:tcPr>
            <w:tcW w:type="dxa" w:w="1336"/>
          </w:tcPr>
          <w:p>
            <w:r>
              <w:rPr>
                <w:sz w:val="20"/>
              </w:rPr>
              <w:t>**Gabapentine**</w:t>
            </w:r>
          </w:p>
        </w:tc>
        <w:tc>
          <w:tcPr>
            <w:tcW w:type="dxa" w:w="1336"/>
          </w:tcPr>
          <w:p>
            <w:r>
              <w:rPr>
                <w:sz w:val="20"/>
              </w:rPr>
              <w:t>Analogue GABA α2δ</w:t>
            </w:r>
          </w:p>
        </w:tc>
        <w:tc>
          <w:tcPr>
            <w:tcW w:type="dxa" w:w="1336"/>
          </w:tcPr>
          <w:p>
            <w:r>
              <w:rPr>
                <w:sz w:val="20"/>
              </w:rPr>
              <w:t>Liaison α2δ-1/α2δ-2 canaux Ca2+ voltage-dépendants → baisse libération glutamate présynaptique</w:t>
            </w:r>
          </w:p>
        </w:tc>
        <w:tc>
          <w:tcPr>
            <w:tcW w:type="dxa" w:w="1336"/>
          </w:tcPr>
          <w:p>
            <w:r>
              <w:rPr>
                <w:sz w:val="20"/>
              </w:rPr>
              <w:t>900-3600 mg/j en 3 prises (titration à partir de 300 mg le soir J1)</w:t>
            </w:r>
          </w:p>
        </w:tc>
        <w:tc>
          <w:tcPr>
            <w:tcW w:type="dxa" w:w="1336"/>
          </w:tcPr>
          <w:p>
            <w:r>
              <w:rPr>
                <w:sz w:val="20"/>
              </w:rPr>
              <w:t>Somnolence, vertiges, prise de poids, ataxie, œdèmes périphériques</w:t>
            </w:r>
          </w:p>
        </w:tc>
        <w:tc>
          <w:tcPr>
            <w:tcW w:type="dxa" w:w="1336"/>
          </w:tcPr>
          <w:p>
            <w:r>
              <w:rPr>
                <w:sz w:val="20"/>
              </w:rPr>
              <w:t>Insuffisance rénale sévère non adaptée, galactosémie</w:t>
            </w:r>
          </w:p>
        </w:tc>
        <w:tc>
          <w:tcPr>
            <w:tcW w:type="dxa" w:w="1336"/>
          </w:tcPr>
          <w:p>
            <w:r>
              <w:rPr>
                <w:sz w:val="20"/>
              </w:rPr>
              <w:t>Compatible (à éviter par prudence, préférer lévétiracétam) ; surveillance sevrage néonatal 3e trimestre</w:t>
            </w:r>
          </w:p>
        </w:tc>
      </w:tr>
      <w:tr>
        <w:tc>
          <w:tcPr>
            <w:tcW w:type="dxa" w:w="1336"/>
          </w:tcPr>
          <w:p>
            <w:r>
              <w:rPr>
                <w:sz w:val="20"/>
              </w:rPr>
              <w:t>**Prégabaline**</w:t>
            </w:r>
          </w:p>
        </w:tc>
        <w:tc>
          <w:tcPr>
            <w:tcW w:type="dxa" w:w="1336"/>
          </w:tcPr>
          <w:p>
            <w:r>
              <w:rPr>
                <w:sz w:val="20"/>
              </w:rPr>
              <w:t>Analogue GABA α2δ (6× plus puissant que gabapentine)</w:t>
            </w:r>
          </w:p>
        </w:tc>
        <w:tc>
          <w:tcPr>
            <w:tcW w:type="dxa" w:w="1336"/>
          </w:tcPr>
          <w:p>
            <w:r>
              <w:rPr>
                <w:sz w:val="20"/>
              </w:rPr>
              <w:t>Liaison α2δ-1 (6× plus puissant) canaux Ca2+ → baisse libération glutamate, noradrénaline, substance P</w:t>
            </w:r>
          </w:p>
        </w:tc>
        <w:tc>
          <w:tcPr>
            <w:tcW w:type="dxa" w:w="1336"/>
          </w:tcPr>
          <w:p>
            <w:r>
              <w:rPr>
                <w:sz w:val="20"/>
              </w:rPr>
              <w:t>150-600 mg/j en 2 prises (titration à partir de 75 mg ×2/j)</w:t>
            </w:r>
          </w:p>
        </w:tc>
        <w:tc>
          <w:tcPr>
            <w:tcW w:type="dxa" w:w="1336"/>
          </w:tcPr>
          <w:p>
            <w:r>
              <w:rPr>
                <w:sz w:val="20"/>
              </w:rPr>
              <w:t>Somnolence, vertiges, prise de poids marquée, œdèmes périphériques, risque d'abus/dépendance</w:t>
            </w:r>
          </w:p>
        </w:tc>
        <w:tc>
          <w:tcPr>
            <w:tcW w:type="dxa" w:w="1336"/>
          </w:tcPr>
          <w:p>
            <w:r>
              <w:rPr>
                <w:sz w:val="20"/>
              </w:rPr>
              <w:t>Antécédents de troubles addictifs (prudence), insuffisance rénale sévère non adaptée</w:t>
            </w:r>
          </w:p>
        </w:tc>
        <w:tc>
          <w:tcPr>
            <w:tcW w:type="dxa" w:w="1336"/>
          </w:tcPr>
          <w:p>
            <w:r>
              <w:rPr>
                <w:sz w:val="20"/>
              </w:rPr>
              <w:t>À éviter par prudence (préférer lévétiracétam) ; surveillance sevrage néonatal 3e trimestre</w:t>
            </w:r>
          </w:p>
        </w:tc>
      </w:tr>
      <w:tr>
        <w:tc>
          <w:tcPr>
            <w:tcW w:type="dxa" w:w="1336"/>
          </w:tcPr>
          <w:p>
            <w:r>
              <w:rPr>
                <w:sz w:val="20"/>
              </w:rPr>
              <w:t>**Lévétiracétam**</w:t>
            </w:r>
          </w:p>
        </w:tc>
        <w:tc>
          <w:tcPr>
            <w:tcW w:type="dxa" w:w="1336"/>
          </w:tcPr>
          <w:p>
            <w:r>
              <w:rPr>
                <w:sz w:val="20"/>
              </w:rPr>
              <w:t>Analogue SV2A</w:t>
            </w:r>
          </w:p>
        </w:tc>
        <w:tc>
          <w:tcPr>
            <w:tcW w:type="dxa" w:w="1336"/>
          </w:tcPr>
          <w:p>
            <w:r>
              <w:rPr>
                <w:sz w:val="20"/>
              </w:rPr>
              <w:t>Liaison protéine vésiculaire SV2A → modulation libération GABA/glutamate présynaptique</w:t>
            </w:r>
          </w:p>
        </w:tc>
        <w:tc>
          <w:tcPr>
            <w:tcW w:type="dxa" w:w="1336"/>
          </w:tcPr>
          <w:p>
            <w:r>
              <w:rPr>
                <w:sz w:val="20"/>
              </w:rPr>
              <w:t>1000-3000 mg/j en 2 prises (titration à partir de 250 mg ×2/j) — formes LP en monoprise</w:t>
            </w:r>
          </w:p>
        </w:tc>
        <w:tc>
          <w:tcPr>
            <w:tcW w:type="dxa" w:w="1336"/>
          </w:tcPr>
          <w:p>
            <w:r>
              <w:rPr>
                <w:sz w:val="20"/>
              </w:rPr>
              <w:t>Irritabilité, agressivité, dépression, idées suicidaires, somnolence</w:t>
            </w:r>
          </w:p>
        </w:tc>
        <w:tc>
          <w:tcPr>
            <w:tcW w:type="dxa" w:w="1336"/>
          </w:tcPr>
          <w:p>
            <w:r>
              <w:rPr>
                <w:sz w:val="20"/>
              </w:rPr>
              <w:t>Antécédents psychiatriques (prudence), insuffisance rénale sévère non adaptée</w:t>
            </w:r>
          </w:p>
        </w:tc>
        <w:tc>
          <w:tcPr>
            <w:tcW w:type="dxa" w:w="1336"/>
          </w:tcPr>
          <w:p>
            <w:r>
              <w:rPr>
                <w:sz w:val="20"/>
              </w:rPr>
              <w:t>**Compatible — antiépileptique de choix pendant la grossesse** (taux de malformations 2-2,5 %)</w:t>
            </w:r>
          </w:p>
        </w:tc>
      </w:tr>
      <w:tr>
        <w:tc>
          <w:tcPr>
            <w:tcW w:type="dxa" w:w="1336"/>
          </w:tcPr>
          <w:p>
            <w:r>
              <w:rPr>
                <w:sz w:val="20"/>
              </w:rPr>
              <w:t>**Topiramate**</w:t>
            </w:r>
          </w:p>
        </w:tc>
        <w:tc>
          <w:tcPr>
            <w:tcW w:type="dxa" w:w="1336"/>
          </w:tcPr>
          <w:p>
            <w:r>
              <w:rPr>
                <w:sz w:val="20"/>
              </w:rPr>
              <w:t>Multi-cibles (4 cibles)</w:t>
            </w:r>
          </w:p>
        </w:tc>
        <w:tc>
          <w:tcPr>
            <w:tcW w:type="dxa" w:w="1336"/>
          </w:tcPr>
          <w:p>
            <w:r>
              <w:rPr>
                <w:sz w:val="20"/>
              </w:rPr>
              <w:t>Blocage canaux Na+ + AMPA/kainate + potentialisation GABA + inhibition anhydrase carbonique</w:t>
            </w:r>
          </w:p>
        </w:tc>
        <w:tc>
          <w:tcPr>
            <w:tcW w:type="dxa" w:w="1336"/>
          </w:tcPr>
          <w:p>
            <w:r>
              <w:rPr>
                <w:sz w:val="20"/>
              </w:rPr>
              <w:t>100-400 mg/j en 2 prises (titration très lente à partir de 25 mg le soir J1)</w:t>
            </w:r>
          </w:p>
        </w:tc>
        <w:tc>
          <w:tcPr>
            <w:tcW w:type="dxa" w:w="1336"/>
          </w:tcPr>
          <w:p>
            <w:r>
              <w:rPr>
                <w:sz w:val="20"/>
              </w:rPr>
              <w:t>Troubles cognitifs (word-finding), perte de poids, lithiase rénale, acidose métabolique, paresthésies, glaucome aigu à angle fermé</w:t>
            </w:r>
          </w:p>
        </w:tc>
        <w:tc>
          <w:tcPr>
            <w:tcW w:type="dxa" w:w="1336"/>
          </w:tcPr>
          <w:p>
            <w:r>
              <w:rPr>
                <w:sz w:val="20"/>
              </w:rPr>
              <w:t>Grossesse (tératogène), antécédents lithiase rénale, glaucome aigu à angle fermé, insuffisance rénale sévère</w:t>
            </w:r>
          </w:p>
        </w:tc>
        <w:tc>
          <w:tcPr>
            <w:tcW w:type="dxa" w:w="1336"/>
          </w:tcPr>
          <w:p>
            <w:r>
              <w:rPr>
                <w:sz w:val="20"/>
              </w:rPr>
              <w:t>**CONTRE-INDIQUÉ — tératogène (fente labio-palatine ×5-10)** ; préférer lévétiracétam</w:t>
            </w:r>
          </w:p>
        </w:tc>
      </w:tr>
      <w:tr>
        <w:tc>
          <w:tcPr>
            <w:tcW w:type="dxa" w:w="1336"/>
          </w:tcPr>
          <w:p>
            <w:r>
              <w:rPr>
                <w:sz w:val="20"/>
              </w:rPr>
              <w:t>**Oxcarbazépine**</w:t>
            </w:r>
          </w:p>
        </w:tc>
        <w:tc>
          <w:tcPr>
            <w:tcW w:type="dxa" w:w="1336"/>
          </w:tcPr>
          <w:p>
            <w:r>
              <w:rPr>
                <w:sz w:val="20"/>
              </w:rPr>
              <w:t>Dérivé carbamazépine (10-kéto)</w:t>
            </w:r>
          </w:p>
        </w:tc>
        <w:tc>
          <w:tcPr>
            <w:tcW w:type="dxa" w:w="1336"/>
          </w:tcPr>
          <w:p>
            <w:r>
              <w:rPr>
                <w:sz w:val="20"/>
              </w:rPr>
              <w:t>Blocage canaux Na+ rapides (via métabolite MHD) + modulation canaux Ca2+ N/P/Q</w:t>
            </w:r>
          </w:p>
        </w:tc>
        <w:tc>
          <w:tcPr>
            <w:tcW w:type="dxa" w:w="1336"/>
          </w:tcPr>
          <w:p>
            <w:r>
              <w:rPr>
                <w:sz w:val="20"/>
              </w:rPr>
              <w:t>600-2400 mg/j en 2 prises (titration à partir de 150 mg ×2/j) — NON_RENOUVELABLE</w:t>
            </w:r>
          </w:p>
        </w:tc>
        <w:tc>
          <w:tcPr>
            <w:tcW w:type="dxa" w:w="1336"/>
          </w:tcPr>
          <w:p>
            <w:r>
              <w:rPr>
                <w:sz w:val="20"/>
              </w:rPr>
              <w:t>Hyponatrémie (plus fréquent que carbamazépine), somnolence, éruption cutanée (HLA-B*1502)</w:t>
            </w:r>
          </w:p>
        </w:tc>
        <w:tc>
          <w:tcPr>
            <w:tcW w:type="dxa" w:w="1336"/>
          </w:tcPr>
          <w:p>
            <w:r>
              <w:rPr>
                <w:sz w:val="20"/>
              </w:rPr>
              <w:t>Hypersensibilité croisée avec carbamazépine (25-30 %), bloc AV degré 2-3 non appareillé</w:t>
            </w:r>
          </w:p>
        </w:tc>
        <w:tc>
          <w:tcPr>
            <w:tcW w:type="dxa" w:w="1336"/>
          </w:tcPr>
          <w:p>
            <w:r>
              <w:rPr>
                <w:sz w:val="20"/>
              </w:rPr>
              <w:t>À éviter par prudence (3-4 % de malformations) ; préférer lévétiracétam ; supplementation vitamine K néonatale</w:t>
            </w:r>
          </w:p>
        </w:tc>
      </w:tr>
      <w:tr>
        <w:tc>
          <w:tcPr>
            <w:tcW w:type="dxa" w:w="1336"/>
          </w:tcPr>
          <w:p>
            <w:r>
              <w:rPr>
                <w:sz w:val="20"/>
              </w:rPr>
              <w:t>**Lacosamide**</w:t>
            </w:r>
          </w:p>
        </w:tc>
        <w:tc>
          <w:tcPr>
            <w:tcW w:type="dxa" w:w="1336"/>
          </w:tcPr>
          <w:p>
            <w:r>
              <w:rPr>
                <w:sz w:val="20"/>
              </w:rPr>
              <w:t>Canaux Na+ lents</w:t>
            </w:r>
          </w:p>
        </w:tc>
        <w:tc>
          <w:tcPr>
            <w:tcW w:type="dxa" w:w="1336"/>
          </w:tcPr>
          <w:p>
            <w:r>
              <w:rPr>
                <w:sz w:val="20"/>
              </w:rPr>
              <w:t>Facilitation inactivation lente canaux Na+ (slow inactivation) — sélectivité pour neurones épileptiques</w:t>
            </w:r>
          </w:p>
        </w:tc>
        <w:tc>
          <w:tcPr>
            <w:tcW w:type="dxa" w:w="1336"/>
          </w:tcPr>
          <w:p>
            <w:r>
              <w:rPr>
                <w:sz w:val="20"/>
              </w:rPr>
              <w:t>100-400 mg/j en 2 prises (titration à partir de 50 mg ×2/j)</w:t>
            </w:r>
          </w:p>
        </w:tc>
        <w:tc>
          <w:tcPr>
            <w:tcW w:type="dxa" w:w="1336"/>
          </w:tcPr>
          <w:p>
            <w:r>
              <w:rPr>
                <w:sz w:val="20"/>
              </w:rPr>
              <w:t>Allongement PR à l'ECG, bloc AV, somnolence, vertiges, DRESS</w:t>
            </w:r>
          </w:p>
        </w:tc>
        <w:tc>
          <w:tcPr>
            <w:tcW w:type="dxa" w:w="1336"/>
          </w:tcPr>
          <w:p>
            <w:r>
              <w:rPr>
                <w:sz w:val="20"/>
              </w:rPr>
              <w:t>Bloc AV 2-3 non appareillé, insuffisance cardiaque sévère (NYHA IV), association avec autres allongeant le PR</w:t>
            </w:r>
          </w:p>
        </w:tc>
        <w:tc>
          <w:tcPr>
            <w:tcW w:type="dxa" w:w="1336"/>
          </w:tcPr>
          <w:p>
            <w:r>
              <w:rPr>
                <w:sz w:val="20"/>
              </w:rPr>
              <w:t>À éviter par prudence (données limitées) ; préférer lévétiracétam</w:t>
            </w:r>
          </w:p>
        </w:tc>
      </w:tr>
      <w:tr>
        <w:tc>
          <w:tcPr>
            <w:tcW w:type="dxa" w:w="1336"/>
          </w:tcPr>
          <w:p>
            <w:r>
              <w:rPr>
                <w:sz w:val="20"/>
              </w:rPr>
              <w:t>**Acétazolamide**</w:t>
            </w:r>
          </w:p>
        </w:tc>
        <w:tc>
          <w:tcPr>
            <w:tcW w:type="dxa" w:w="1336"/>
          </w:tcPr>
          <w:p>
            <w:r>
              <w:rPr>
                <w:sz w:val="20"/>
              </w:rPr>
              <w:t>Inhibiteur anhydrase carbonique</w:t>
            </w:r>
          </w:p>
        </w:tc>
        <w:tc>
          <w:tcPr>
            <w:tcW w:type="dxa" w:w="1336"/>
          </w:tcPr>
          <w:p>
            <w:r>
              <w:rPr>
                <w:sz w:val="20"/>
              </w:rPr>
              <w:t>Inhibition CA-II et CA-IV → acidose tissulaire cérébrale → réduction excitabilité neuronale</w:t>
            </w:r>
          </w:p>
        </w:tc>
        <w:tc>
          <w:tcPr>
            <w:tcW w:type="dxa" w:w="1336"/>
          </w:tcPr>
          <w:p>
            <w:r>
              <w:rPr>
                <w:sz w:val="20"/>
              </w:rPr>
              <w:t>250-1000 mg/j en 2-4 prises (titration à partir de 250 mg le soir J1)</w:t>
            </w:r>
          </w:p>
        </w:tc>
        <w:tc>
          <w:tcPr>
            <w:tcW w:type="dxa" w:w="1336"/>
          </w:tcPr>
          <w:p>
            <w:r>
              <w:rPr>
                <w:sz w:val="20"/>
              </w:rPr>
              <w:t>Acidose métabolique (systématique), hypokaliémie, lithiase rénale, paresthésies, dysgueusie, aplasie médullaire (rare)</w:t>
            </w:r>
          </w:p>
        </w:tc>
        <w:tc>
          <w:tcPr>
            <w:tcW w:type="dxa" w:w="1336"/>
          </w:tcPr>
          <w:p>
            <w:r>
              <w:rPr>
                <w:sz w:val="20"/>
              </w:rPr>
              <w:t>Insuffisance rénale sévère, acidose métabolique préexistante, hypokaliémie, insuffisance hépatique sévère</w:t>
            </w:r>
          </w:p>
        </w:tc>
        <w:tc>
          <w:tcPr>
            <w:tcW w:type="dxa" w:w="1336"/>
          </w:tcPr>
          <w:p>
            <w:r>
              <w:rPr>
                <w:sz w:val="20"/>
              </w:rPr>
              <w:t>À éviter par prudence (tératogène chez l'animal) ; préférer lévétiracétam</w:t>
            </w:r>
          </w:p>
        </w:tc>
      </w:tr>
    </w:tbl>
    <w:p/>
    <w:p>
      <w:pPr>
        <w:pStyle w:val="Heading2"/>
      </w:pPr>
      <w:r>
        <w:t>Synthèse et Points Clés pour la Pratique Pharmaceutique Algérienne</w:t>
      </w:r>
    </w:p>
    <w:p>
      <w:pPr>
        <w:pStyle w:val="Heading3"/>
      </w:pPr>
      <w:r>
        <w:t>1. Choix de l'antiépileptique moderne selon le profil patient</w:t>
      </w:r>
    </w:p>
    <w:p>
      <w:pPr>
        <w:pStyle w:val="ListBullet"/>
      </w:pPr>
      <w:r/>
      <w:r>
        <w:rPr>
          <w:b/>
        </w:rPr>
        <w:t>Femme enceinte ou en âge de procréer</w:t>
      </w:r>
      <w:r>
        <w:t xml:space="preserve"> : </w:t>
      </w:r>
      <w:r>
        <w:rPr>
          <w:b/>
        </w:rPr>
        <w:t>Lévétiracétam</w:t>
      </w:r>
      <w:r>
        <w:t xml:space="preserve"> (antiépileptique de choix pendant la grossesse — taux de malformations le plus bas). À éviter : topiramate (tératogène — fente labio-palatine), acétazolamide (tératogène animal), oxcarbazépine (réduit l'efficacité des contraceptifs oraux), prégabaline/gabapentine (à éviter par prudence).</w:t>
      </w:r>
    </w:p>
    <w:p>
      <w:pPr>
        <w:pStyle w:val="ListBullet"/>
      </w:pPr>
      <w:r/>
      <w:r>
        <w:rPr>
          <w:b/>
        </w:rPr>
        <w:t>Sujet âgé polymédicamenté</w:t>
      </w:r>
      <w:r>
        <w:t xml:space="preserve"> : </w:t>
      </w:r>
      <w:r>
        <w:rPr>
          <w:b/>
        </w:rPr>
        <w:t>Lévétiracétam</w:t>
      </w:r>
      <w:r>
        <w:t xml:space="preserve"> (absence d'interactions, mais adaptation à la fonction rénale), </w:t>
      </w:r>
      <w:r>
        <w:rPr>
          <w:b/>
        </w:rPr>
        <w:t>Gabapentine</w:t>
      </w:r>
      <w:r>
        <w:t xml:space="preserve"> (absence d'interactions, mais adaptation à la fonction rénale). À éviter : topiramate (troubles cognitifs), oxcarbazépine (hyponatrémie), lacosamide (allongement PR — interactions avec les autres médicaments cardiaques), acétazolamide (acidose, hypokaliémie, interactions avec les diurétiques).</w:t>
      </w:r>
    </w:p>
    <w:p>
      <w:pPr>
        <w:pStyle w:val="ListBullet"/>
      </w:pPr>
      <w:r/>
      <w:r>
        <w:rPr>
          <w:b/>
        </w:rPr>
        <w:t>Patient aux antécédents psychiatriques</w:t>
      </w:r>
      <w:r>
        <w:t xml:space="preserve"> : </w:t>
      </w:r>
      <w:r>
        <w:rPr>
          <w:b/>
        </w:rPr>
        <w:t>Lacosamide</w:t>
      </w:r>
      <w:r>
        <w:t xml:space="preserve"> ou </w:t>
      </w:r>
      <w:r>
        <w:rPr>
          <w:b/>
        </w:rPr>
        <w:t>Gabapentine</w:t>
      </w:r>
      <w:r>
        <w:t xml:space="preserve"> (effets psychiatriques moindres). À éviter : lévétiracétam (risque d'irritabilité, agressivité, décompensation dépressive), topiramate (dépression, idées suicidaires).</w:t>
      </w:r>
    </w:p>
    <w:p>
      <w:pPr>
        <w:pStyle w:val="ListBullet"/>
      </w:pPr>
      <w:r/>
      <w:r>
        <w:rPr>
          <w:b/>
        </w:rPr>
        <w:t>Patient aux antécédents cardiaques (bloc AV, insuffisance cardiaque)</w:t>
      </w:r>
      <w:r>
        <w:t xml:space="preserve"> : </w:t>
      </w:r>
      <w:r>
        <w:rPr>
          <w:b/>
        </w:rPr>
        <w:t>Lévétiracétam</w:t>
      </w:r>
      <w:r>
        <w:t xml:space="preserve"> ou </w:t>
      </w:r>
      <w:r>
        <w:rPr>
          <w:b/>
        </w:rPr>
        <w:t>Gabapentine</w:t>
      </w:r>
      <w:r>
        <w:t>. À éviter : lacosamide (allongement PR, bloc AV), oxcarbazépine (effets sur la conduction).</w:t>
      </w:r>
    </w:p>
    <w:p>
      <w:pPr>
        <w:pStyle w:val="ListBullet"/>
      </w:pPr>
      <w:r/>
      <w:r>
        <w:rPr>
          <w:b/>
        </w:rPr>
        <w:t>Patient obèse ou diabétique</w:t>
      </w:r>
      <w:r>
        <w:t xml:space="preserve"> : </w:t>
      </w:r>
      <w:r>
        <w:rPr>
          <w:b/>
        </w:rPr>
        <w:t>Topiramate</w:t>
      </w:r>
      <w:r>
        <w:t xml:space="preserve"> (effet perte de poids — utile en cas de surpoids). À éviter : prégabaline et gabapentine (prise de poids marquée).</w:t>
      </w:r>
    </w:p>
    <w:p>
      <w:pPr>
        <w:pStyle w:val="ListBullet"/>
      </w:pPr>
      <w:r/>
      <w:r>
        <w:rPr>
          <w:b/>
        </w:rPr>
        <w:t>Patient aux antécédents de lithiase rénale</w:t>
      </w:r>
      <w:r>
        <w:t xml:space="preserve"> : </w:t>
      </w:r>
      <w:r>
        <w:rPr>
          <w:b/>
        </w:rPr>
        <w:t>Lévétiracétam</w:t>
      </w:r>
      <w:r>
        <w:t xml:space="preserve"> ou </w:t>
      </w:r>
      <w:r>
        <w:rPr>
          <w:b/>
        </w:rPr>
        <w:t>Lacosamide</w:t>
      </w:r>
      <w:r>
        <w:t>. À éviter : topiramate (lithiase calcique), acétazolamide (lithiase calcique), prégabaline/gabapentine (prudence).</w:t>
      </w:r>
    </w:p>
    <w:p>
      <w:pPr>
        <w:pStyle w:val="ListBullet"/>
      </w:pPr>
      <w:r/>
      <w:r>
        <w:rPr>
          <w:b/>
        </w:rPr>
        <w:t>Patient aux antécédents de troubles addictifs</w:t>
      </w:r>
      <w:r>
        <w:t xml:space="preserve"> : </w:t>
      </w:r>
      <w:r>
        <w:rPr>
          <w:b/>
        </w:rPr>
        <w:t>Lévétiracétam</w:t>
      </w:r>
      <w:r>
        <w:t xml:space="preserve"> ou </w:t>
      </w:r>
      <w:r>
        <w:rPr>
          <w:b/>
        </w:rPr>
        <w:t>Lacosamide</w:t>
      </w:r>
      <w:r>
        <w:t>. À éviter : prégabaline (risque d'abus/dépendance), gabapentine (risque d'abus plus faible mais existant).</w:t>
      </w:r>
    </w:p>
    <w:p>
      <w:pPr>
        <w:pStyle w:val="Heading3"/>
      </w:pPr>
      <w:r>
        <w:t>2. Adaptation à la fonction rénale — point critique</w:t>
      </w:r>
    </w:p>
    <w:p>
      <w:r>
        <w:t>La majorité des antiépileptiques modernes sont éliminés majoritairement ou exclusivement par le rein :</w:t>
      </w:r>
    </w:p>
    <w:p>
      <w:pPr>
        <w:pStyle w:val="ListBullet"/>
      </w:pPr>
      <w:r/>
      <w:r>
        <w:rPr>
          <w:b/>
        </w:rPr>
        <w:t>Gabapentine</w:t>
      </w:r>
      <w:r>
        <w:t xml:space="preserve"> : 100 % rénale sous forme inchangée — adaptation obligatoire dès ClCr &lt; 80 mL/min</w:t>
      </w:r>
    </w:p>
    <w:p>
      <w:pPr>
        <w:pStyle w:val="ListBullet"/>
      </w:pPr>
      <w:r/>
      <w:r>
        <w:rPr>
          <w:b/>
        </w:rPr>
        <w:t>Prégabaline</w:t>
      </w:r>
      <w:r>
        <w:t xml:space="preserve"> : 98 % rénale sous forme inchangée — adaptation obligatoire dès ClCr &lt; 60 mL/min</w:t>
      </w:r>
    </w:p>
    <w:p>
      <w:pPr>
        <w:pStyle w:val="ListBullet"/>
      </w:pPr>
      <w:r/>
      <w:r>
        <w:rPr>
          <w:b/>
        </w:rPr>
        <w:t>Lévétiracétam</w:t>
      </w:r>
      <w:r>
        <w:t xml:space="preserve"> : 95 % rénale sous forme inchangée — adaptation obligatoire dès ClCr &lt; 80 mL/min</w:t>
      </w:r>
    </w:p>
    <w:p>
      <w:pPr>
        <w:pStyle w:val="ListBullet"/>
      </w:pPr>
      <w:r/>
      <w:r>
        <w:rPr>
          <w:b/>
        </w:rPr>
        <w:t>Topiramate</w:t>
      </w:r>
      <w:r>
        <w:t xml:space="preserve"> : 70 % rénale sous forme inchangée — adaptation obligatoire dès ClCr &lt; 70 mL/min</w:t>
      </w:r>
    </w:p>
    <w:p>
      <w:pPr>
        <w:pStyle w:val="ListBullet"/>
      </w:pPr>
      <w:r/>
      <w:r>
        <w:rPr>
          <w:b/>
        </w:rPr>
        <w:t>Lacosamide</w:t>
      </w:r>
      <w:r>
        <w:t xml:space="preserve"> : 40 % rénale sous forme inchangée — adaptation obligatoire dès ClCr &lt; 80 mL/min</w:t>
      </w:r>
    </w:p>
    <w:p>
      <w:pPr>
        <w:pStyle w:val="ListBullet"/>
      </w:pPr>
      <w:r/>
      <w:r>
        <w:rPr>
          <w:b/>
        </w:rPr>
        <w:t>Oxcarbazépine</w:t>
      </w:r>
      <w:r>
        <w:t xml:space="preserve"> (via MHD) : métabolisme hépatique puis élimination rénale — adaptation si ClCr &lt; 30 mL/min</w:t>
      </w:r>
    </w:p>
    <w:p>
      <w:pPr>
        <w:pStyle w:val="ListBullet"/>
      </w:pPr>
      <w:r/>
      <w:r>
        <w:rPr>
          <w:b/>
        </w:rPr>
        <w:t>Acétazolamide</w:t>
      </w:r>
      <w:r>
        <w:t xml:space="preserve"> : 90 % rénale sous forme inchangée — contre-indiqué si ClCr &lt; 30 mL/min</w:t>
      </w:r>
    </w:p>
    <w:p>
      <w:r/>
      <w:r>
        <w:rPr>
          <w:b/>
        </w:rPr>
        <w:t>Règle d'or</w:t>
      </w:r>
      <w:r>
        <w:t xml:space="preserve"> : toujours calculer la clairance créatinine (formule de Cockcroft) chez le sujet &gt; 65 ans et adapter la dose.</w:t>
      </w:r>
    </w:p>
    <w:p>
      <w:pPr>
        <w:pStyle w:val="Heading3"/>
      </w:pPr>
      <w:r>
        <w:t>3. Prévention de la grossesse non planifiée</w:t>
      </w:r>
    </w:p>
    <w:p>
      <w:r>
        <w:t>Plusieurs antiépileptiques modernes réduisent l'efficacité des contraceptifs oraux (induction du CYP3A4) :</w:t>
      </w:r>
    </w:p>
    <w:p>
      <w:pPr>
        <w:pStyle w:val="ListBullet"/>
      </w:pPr>
      <w:r/>
      <w:r>
        <w:rPr>
          <w:b/>
        </w:rPr>
        <w:t>Topiramate</w:t>
      </w:r>
      <w:r>
        <w:t xml:space="preserve"> (à doses &gt; 200 mg/j) — tératogène → double contraception obligatoire</w:t>
      </w:r>
    </w:p>
    <w:p>
      <w:pPr>
        <w:pStyle w:val="ListBullet"/>
      </w:pPr>
      <w:r/>
      <w:r>
        <w:rPr>
          <w:b/>
        </w:rPr>
        <w:t>Oxcarbazépine</w:t>
      </w:r>
      <w:r>
        <w:t xml:space="preserve"> (NON_RENOUVELABLE) — tératogène potentiel → double contraception</w:t>
      </w:r>
    </w:p>
    <w:p>
      <w:pPr>
        <w:pStyle w:val="ListBullet"/>
      </w:pPr>
      <w:r/>
      <w:r>
        <w:rPr>
          <w:b/>
        </w:rPr>
        <w:t>Acétazolamide</w:t>
      </w:r>
      <w:r>
        <w:t xml:space="preserve"> — tératogène animal → contraception efficace</w:t>
      </w:r>
    </w:p>
    <w:p>
      <w:r>
        <w:t xml:space="preserve">À l'inverse, les suivants </w:t>
      </w:r>
      <w:r>
        <w:rPr>
          <w:b/>
        </w:rPr>
        <w:t>ne réduisent pas</w:t>
      </w:r>
      <w:r>
        <w:t xml:space="preserve"> l'efficacité contraceptive : </w:t>
      </w:r>
      <w:r>
        <w:rPr>
          <w:b/>
        </w:rPr>
        <w:t>lévétiracétam</w:t>
      </w:r>
      <w:r>
        <w:t xml:space="preserve">, </w:t>
      </w:r>
      <w:r>
        <w:rPr>
          <w:b/>
        </w:rPr>
        <w:t>gabapentine</w:t>
      </w:r>
      <w:r>
        <w:t xml:space="preserve">, </w:t>
      </w:r>
      <w:r>
        <w:rPr>
          <w:b/>
        </w:rPr>
        <w:t>prégabaline</w:t>
      </w:r>
      <w:r>
        <w:t xml:space="preserve">, </w:t>
      </w:r>
      <w:r>
        <w:rPr>
          <w:b/>
        </w:rPr>
        <w:t>lacosamide</w:t>
      </w:r>
      <w:r>
        <w:t xml:space="preserve"> — avantage majeur chez la femme en âge de procréer.</w:t>
      </w:r>
    </w:p>
    <w:p>
      <w:pPr>
        <w:pStyle w:val="Heading3"/>
      </w:pPr>
      <w:r>
        <w:t>4. Gestion des ruptures d'approvisionnement</w:t>
      </w:r>
    </w:p>
    <w:p>
      <w:r>
        <w:t>Plusieurs antiépileptiques modernes sont NON_RENOUVELABLES ou RETIRES en Algérie :</w:t>
      </w:r>
    </w:p>
    <w:p>
      <w:pPr>
        <w:pStyle w:val="ListBullet"/>
      </w:pPr>
      <w:r/>
      <w:r>
        <w:rPr>
          <w:b/>
        </w:rPr>
        <w:t>Oxcarbazépine</w:t>
      </w:r>
      <w:r>
        <w:t xml:space="preserve"> (Trileptal®) — NON_RENOUVELABLE → substitution par carbamazépine (1,5× dose), lévétiracétam, ou lacosamide</w:t>
      </w:r>
    </w:p>
    <w:p>
      <w:pPr>
        <w:pStyle w:val="ListBullet"/>
      </w:pPr>
      <w:r/>
      <w:r>
        <w:rPr>
          <w:b/>
        </w:rPr>
        <w:t>Topiramate</w:t>
      </w:r>
      <w:r>
        <w:t xml:space="preserve"> — Epitomax® RETIRE et Repanide® NON_RENOUVELABLE → substitution par Topiclomax® (El Kendi) à dose équivalente</w:t>
      </w:r>
    </w:p>
    <w:p>
      <w:pPr>
        <w:pStyle w:val="ListBullet"/>
      </w:pPr>
      <w:r/>
      <w:r>
        <w:rPr>
          <w:b/>
        </w:rPr>
        <w:t>Acétazolamide</w:t>
      </w:r>
      <w:r>
        <w:t xml:space="preserve"> — Diamox® RETIRE, Diurazol® NON_RENOUVELABLE, Acediox® RETIRE, Acemax® RETIRE → substitution par Acetazolamide BR® ou Lynox® (formes actives)</w:t>
      </w:r>
    </w:p>
    <w:p>
      <w:pPr>
        <w:pStyle w:val="ListBullet"/>
      </w:pPr>
      <w:r/>
      <w:r>
        <w:rPr>
          <w:b/>
        </w:rPr>
        <w:t>Prégabaline</w:t>
      </w:r>
      <w:r>
        <w:t xml:space="preserve"> — Lyrica® 100 mg et 150 mg RETIRES → substitution par Lyrica® 50 mg, 75 mg, 300 mg ou autres marques</w:t>
      </w:r>
    </w:p>
    <w:p>
      <w:r/>
      <w:r>
        <w:rPr>
          <w:b/>
        </w:rPr>
        <w:t>Règle d'or</w:t>
      </w:r>
      <w:r>
        <w:t xml:space="preserve"> : la substitution entre marques d'antiépileptiques doit se faire avec surveillance clinique pendant 1 mois (variations bio pharmaceutiques possibles — risque de réapparition des crises ou d'effets indésirables).</w:t>
      </w:r>
    </w:p>
    <w:p>
      <w:pPr>
        <w:pStyle w:val="Heading3"/>
      </w:pPr>
      <w:r>
        <w:t>5. Prévention du syndrome de sevrage</w:t>
      </w:r>
    </w:p>
    <w:p>
      <w:r>
        <w:t>Tous les antiépileptiques modernes peuvent provoquer un syndrome de sevrage à l'arrêt brutal : réapparition des crises (parfois sous forme d'état de mal épileptique), anxiété, insomnie, nausées, sueurs. Le sevrage doit toujours être progressif sur plusieurs semaines (réduction de 25 % tous les 7-14 jours), sous surveillance neurologique.</w:t>
      </w:r>
    </w:p>
    <w:p>
      <w:pPr>
        <w:pStyle w:val="Heading3"/>
      </w:pPr>
      <w:r>
        <w:t>6. Surveillance biologique minimale</w:t>
      </w:r>
    </w:p>
    <w:p>
      <w:pPr>
        <w:pStyle w:val="ListBullet"/>
      </w:pPr>
      <w:r/>
      <w:r>
        <w:rPr>
          <w:b/>
        </w:rPr>
        <w:t>Pour tous</w:t>
      </w:r>
      <w:r>
        <w:t xml:space="preserve"> : créatininémie et clairance (au moins annuellement, plus souvent chez le sujet âgé et en cas d'insuffisance rénale)</w:t>
      </w:r>
    </w:p>
    <w:p>
      <w:pPr>
        <w:pStyle w:val="ListBullet"/>
      </w:pPr>
      <w:r/>
      <w:r>
        <w:rPr>
          <w:b/>
        </w:rPr>
        <w:t>Topiramate</w:t>
      </w:r>
      <w:r>
        <w:t xml:space="preserve"> : ionogramme (acidose, hypokaliémie) + ECG (glaucome) + échographie rénale</w:t>
      </w:r>
    </w:p>
    <w:p>
      <w:pPr>
        <w:pStyle w:val="ListBullet"/>
      </w:pPr>
      <w:r/>
      <w:r>
        <w:rPr>
          <w:b/>
        </w:rPr>
        <w:t>Acétazolamide</w:t>
      </w:r>
      <w:r>
        <w:t xml:space="preserve"> : ionogramme + NFS (aplasie) + bilan hépatique + glycémie + uricémie</w:t>
      </w:r>
    </w:p>
    <w:p>
      <w:pPr>
        <w:pStyle w:val="ListBullet"/>
      </w:pPr>
      <w:r/>
      <w:r>
        <w:rPr>
          <w:b/>
        </w:rPr>
        <w:t>Oxcarbazépine</w:t>
      </w:r>
      <w:r>
        <w:t xml:space="preserve"> : natrémie + NFS + bilan hépatique</w:t>
      </w:r>
    </w:p>
    <w:p>
      <w:pPr>
        <w:pStyle w:val="ListBullet"/>
      </w:pPr>
      <w:r/>
      <w:r>
        <w:rPr>
          <w:b/>
        </w:rPr>
        <w:t>Lacosamide</w:t>
      </w:r>
      <w:r>
        <w:t xml:space="preserve"> : ECG (PR) + créatininémie</w:t>
      </w:r>
    </w:p>
    <w:p>
      <w:pPr>
        <w:pStyle w:val="ListBullet"/>
      </w:pPr>
      <w:r/>
      <w:r>
        <w:rPr>
          <w:b/>
        </w:rPr>
        <w:t>Lévétiracétam</w:t>
      </w:r>
      <w:r>
        <w:t xml:space="preserve"> : NFS + bilan hépatique</w:t>
      </w:r>
    </w:p>
    <w:p>
      <w:pPr>
        <w:pStyle w:val="ListBullet"/>
      </w:pPr>
      <w:r/>
      <w:r>
        <w:rPr>
          <w:b/>
        </w:rPr>
        <w:t>Prégabaline, Gabapentine</w:t>
      </w:r>
      <w:r>
        <w:t xml:space="preserve"> : créatininémie + poids</w:t>
      </w:r>
    </w:p>
    <w:p>
      <w:pPr>
        <w:pStyle w:val="Heading3"/>
      </w:pPr>
      <w:r>
        <w:t>7. Communication au comptoir — points essentiels à rappeler à chaque dispensation</w:t>
      </w:r>
    </w:p>
    <w:p>
      <w:pPr>
        <w:pStyle w:val="ListNumber"/>
      </w:pPr>
      <w:r/>
      <w:r>
        <w:rPr>
          <w:b/>
        </w:rPr>
        <w:t>Ne jamais arrêter brutalement</w:t>
      </w:r>
      <w:r>
        <w:t xml:space="preserve"> le traitement (risque de réapparition des crises)</w:t>
      </w:r>
    </w:p>
    <w:p>
      <w:pPr>
        <w:pStyle w:val="ListNumber"/>
      </w:pPr>
      <w:r/>
      <w:r>
        <w:rPr>
          <w:b/>
        </w:rPr>
        <w:t>Ne pas conduire</w:t>
      </w:r>
      <w:r>
        <w:t xml:space="preserve"> pendant les premières semaines et à chaque augmentation de dose</w:t>
      </w:r>
    </w:p>
    <w:p>
      <w:pPr>
        <w:pStyle w:val="ListNumber"/>
      </w:pPr>
      <w:r/>
      <w:r>
        <w:rPr>
          <w:b/>
        </w:rPr>
        <w:t>Éviter l'alcool</w:t>
      </w:r>
      <w:r>
        <w:t xml:space="preserve"> (potentialisation de la sédation)</w:t>
      </w:r>
    </w:p>
    <w:p>
      <w:pPr>
        <w:pStyle w:val="ListNumber"/>
      </w:pPr>
      <w:r/>
      <w:r>
        <w:rPr>
          <w:b/>
        </w:rPr>
        <w:t>Prévenir le médecin en cas de grossesse planifiée ou non</w:t>
      </w:r>
      <w:r>
        <w:t xml:space="preserve"> (particulièrement important pour topiramate, oxcarbazépine, acétazolamide)</w:t>
      </w:r>
    </w:p>
    <w:p>
      <w:pPr>
        <w:pStyle w:val="ListNumber"/>
      </w:pPr>
      <w:r/>
      <w:r>
        <w:rPr>
          <w:b/>
        </w:rPr>
        <w:t>Surveiller l'humeur</w:t>
      </w:r>
      <w:r>
        <w:t xml:space="preserve"> (lévétiracétam, topiramate — irritabilité, idées suicidaires)</w:t>
      </w:r>
    </w:p>
    <w:p>
      <w:pPr>
        <w:pStyle w:val="ListNumber"/>
      </w:pPr>
      <w:r/>
      <w:r>
        <w:rPr>
          <w:b/>
        </w:rPr>
        <w:t>Boire ≥ 2 L d'eau/jour</w:t>
      </w:r>
      <w:r>
        <w:t xml:space="preserve"> (topiramate, acétazolamide — prévention de la lithiase rénale)</w:t>
      </w:r>
    </w:p>
    <w:p>
      <w:pPr>
        <w:pStyle w:val="ListNumber"/>
      </w:pPr>
      <w:r/>
      <w:r>
        <w:rPr>
          <w:b/>
        </w:rPr>
        <w:t>Surveiller le poids</w:t>
      </w:r>
      <w:r>
        <w:t xml:space="preserve"> (prégabaline, gabapentine — prise de poids ; topiramate — perte de poids)</w:t>
      </w:r>
    </w:p>
    <w:p>
      <w:pPr>
        <w:pStyle w:val="ListNumber"/>
      </w:pPr>
      <w:r/>
      <w:r>
        <w:rPr>
          <w:b/>
        </w:rPr>
        <w:t>Surveiller la peau</w:t>
      </w:r>
      <w:r>
        <w:t xml:space="preserve"> (tous — syndrome de Stevens-Johnson ; oxcarbazépine chez HLA-B*1502)</w:t>
      </w:r>
    </w:p>
    <w:p>
      <w:pPr>
        <w:pStyle w:val="ListNumber"/>
      </w:pPr>
      <w:r/>
      <w:r>
        <w:rPr>
          <w:b/>
        </w:rPr>
        <w:t>Porter une carte d'identification médicale</w:t>
      </w:r>
      <w:r>
        <w:t xml:space="preserve"> indiquant le traitement antiépileptique</w:t>
      </w:r>
    </w:p>
    <w:p>
      <w:pPr>
        <w:pStyle w:val="ListNumber"/>
      </w:pPr>
      <w:r/>
      <w:r>
        <w:rPr>
          <w:b/>
        </w:rPr>
        <w:t>Contraception efficace</w:t>
      </w:r>
      <w:r>
        <w:t xml:space="preserve"> chez la femme en âge de procréer (topiramate, oxcarbazépine, acétazolamide)</w:t>
      </w:r>
    </w:p>
    <w:p>
      <w:pPr>
        <w:pStyle w:val="Heading2"/>
      </w:pPr>
      <w:r>
        <w:t>Conclusion du Chapitre 92</w:t>
      </w:r>
    </w:p>
    <w:p>
      <w:r>
        <w:t xml:space="preserve">Les sept antiépileptiques modernes traités dans ce chapitre représentent la diversité de l'arsenal thérapeutique algérien pour la prise en charge pharmacologique de l'épilepsie, des douleurs neuropathiques, de la migraine et de l'anxiété généralisée. La compréhension de leurs </w:t>
      </w:r>
      <w:r>
        <w:rPr>
          <w:b/>
        </w:rPr>
        <w:t>mécanismes d'action moléculaires</w:t>
      </w:r>
      <w:r>
        <w:t xml:space="preserve"> (α2δ, SV2A, multi-cibles, inactivation lente des canaux Na+, anhydrase carbonique), de leurs </w:t>
      </w:r>
      <w:r>
        <w:rPr>
          <w:b/>
        </w:rPr>
        <w:t>pharmacocinétiques</w:t>
      </w:r>
      <w:r>
        <w:t xml:space="preserve"> (élimination rénale majoritaire, absences d'induction enzymatique pour la plupart), de leurs </w:t>
      </w:r>
      <w:r>
        <w:rPr>
          <w:b/>
        </w:rPr>
        <w:t>profils d'effets indésirables</w:t>
      </w:r>
      <w:r>
        <w:t xml:space="preserve"> (spécifiques à chaque molécule), et de leurs </w:t>
      </w:r>
      <w:r>
        <w:rPr>
          <w:b/>
        </w:rPr>
        <w:t>places respectives pendant la grossesse</w:t>
      </w:r>
      <w:r>
        <w:t xml:space="preserve"> (lévétiracétam = médicament de choix) est essentielle pour la pratique pharmaceutique algérienne.</w:t>
      </w:r>
    </w:p>
    <w:p>
      <w:r>
        <w:t xml:space="preserve">Le pharmacien d'offrine joue un rôle </w:t>
      </w:r>
      <w:r>
        <w:rPr>
          <w:b/>
        </w:rPr>
        <w:t>central</w:t>
      </w:r>
      <w:r>
        <w:t xml:space="preserve"> dans : (i) la </w:t>
      </w:r>
      <w:r>
        <w:rPr>
          <w:b/>
        </w:rPr>
        <w:t>dispensation</w:t>
      </w:r>
      <w:r>
        <w:t xml:space="preserve"> (vérification de la prescription, contrôle de la posologie et de l'adaptation à la fonction rénale, détection des interactions) ; (ii) le </w:t>
      </w:r>
      <w:r>
        <w:rPr>
          <w:b/>
        </w:rPr>
        <w:t>conseil au patient</w:t>
      </w:r>
      <w:r>
        <w:t xml:space="preserve"> (observance, ne jamais arrêter brutalement, surveiller l'humeur, hyperhydratation pour topiramate/acétazolamide, contraception efficace pour topiramate/oxcarbazépine/acétazolamide) ; (iii) la </w:t>
      </w:r>
      <w:r>
        <w:rPr>
          <w:b/>
        </w:rPr>
        <w:t>surveillance</w:t>
      </w:r>
      <w:r>
        <w:t xml:space="preserve"> (réapparition des crises, effets indésirables, progression de la maladie) ; (iv) la </w:t>
      </w:r>
      <w:r>
        <w:rPr>
          <w:b/>
        </w:rPr>
        <w:t>gestion des ruptures d'approvisionnement</w:t>
      </w:r>
      <w:r>
        <w:t xml:space="preserve"> (substitution entre marques actives et non-renouvelables/retirées, surveillance clinique pendant 1 mois) ; (v) la </w:t>
      </w:r>
      <w:r>
        <w:rPr>
          <w:b/>
        </w:rPr>
        <w:t>prévention de la grossesse non planifiée</w:t>
      </w:r>
      <w:r>
        <w:t xml:space="preserve"> (information contraceptive, orientation vers le neurologue pour substitution avant conception).</w:t>
      </w:r>
    </w:p>
    <w:p>
      <w:r>
        <w:t xml:space="preserve">Le </w:t>
      </w:r>
      <w:r>
        <w:rPr>
          <w:b/>
        </w:rPr>
        <w:t>lévétiracétam</w:t>
      </w:r>
      <w:r>
        <w:t xml:space="preserve"> occupe une place particulière comme </w:t>
      </w:r>
      <w:r>
        <w:rPr>
          <w:b/>
        </w:rPr>
        <w:t>antiépileptique de référence</w:t>
      </w:r>
      <w:r>
        <w:t xml:space="preserve"> dans de nombreuses situations cliniques (grossesse, sujet âgé, polymédicamenté, urgences neurologiques) en raison de son profil d'efficacité/tolérance favorable, de son absence d'interactions, et de son faible potentiel tératogène documenté. La </w:t>
      </w:r>
      <w:r>
        <w:rPr>
          <w:b/>
        </w:rPr>
        <w:t>prégabaline</w:t>
      </w:r>
      <w:r>
        <w:t xml:space="preserve"> occupe une place transversale entre neurologie, algologie et psychiatrie, mais nécessite une vigilance particulière vis-à-vis du risque d'abus/dépendance. Le </w:t>
      </w:r>
      <w:r>
        <w:rPr>
          <w:b/>
        </w:rPr>
        <w:t>topiramate</w:t>
      </w:r>
      <w:r>
        <w:t xml:space="preserve"> reste un antiépileptique de large spectre efficace mais son usage est limité par sa tératogénicité et son profil de tolérance cognitif. Le </w:t>
      </w:r>
      <w:r>
        <w:rPr>
          <w:b/>
        </w:rPr>
        <w:t>lacosamide</w:t>
      </w:r>
      <w:r>
        <w:t xml:space="preserve"> est une alternative intéressante aux bloqueurs classiques des canaux Na+ en raison de sa sélectivité pour l'inactivation lente, mais nécessite une surveillance ECG. L'</w:t>
      </w:r>
      <w:r>
        <w:rPr>
          <w:b/>
        </w:rPr>
        <w:t>oxcarbazépine</w:t>
      </w:r>
      <w:r>
        <w:t xml:space="preserve"> est </w:t>
      </w:r>
      <w:r>
        <w:rPr>
          <w:b/>
        </w:rPr>
        <w:t>NON_RENOUVELABLE</w:t>
      </w:r>
      <w:r>
        <w:t xml:space="preserve"> en Algérie, ce qui impose une substitution systématique. L'</w:t>
      </w:r>
      <w:r>
        <w:rPr>
          <w:b/>
        </w:rPr>
        <w:t>acétazolamide</w:t>
      </w:r>
      <w:r>
        <w:t xml:space="preserve"> conserve une place marginale dans l'épilepsie cataméniale et les épilepsies myocloniques progressives. La </w:t>
      </w:r>
      <w:r>
        <w:rPr>
          <w:b/>
        </w:rPr>
        <w:t>gabapentine</w:t>
      </w:r>
      <w:r>
        <w:t xml:space="preserve"> reste un antiépileptique et un antalgique neuropathique de choix chez le sujet âgé polymédicamenté en raison de son absence d'interactions.</w:t>
      </w:r>
    </w:p>
    <w:p>
      <w:r>
        <w:t xml:space="preserve">L'étudiant en pharmacie algérien doit maîtriser ces sept DCIs dans leur intégralité pour être en mesure d'assurer une </w:t>
      </w:r>
      <w:r>
        <w:rPr>
          <w:b/>
        </w:rPr>
        <w:t>dispensation sécurisée</w:t>
      </w:r>
      <w:r>
        <w:t xml:space="preserve"> et un </w:t>
      </w:r>
      <w:r>
        <w:rPr>
          <w:b/>
        </w:rPr>
        <w:t>conseil pharmaceutique optimal</w:t>
      </w:r>
      <w:r>
        <w:t xml:space="preserve"> aux patients épileptiques, douloureux neuropathiques, migraineux et anxieux de la population algérienne.</w:t>
      </w:r>
    </w:p>
    <w:p>
      <w:r/>
      <w:r>
        <w:rPr>
          <w:i/>
        </w:rPr>
        <w:t>Fin du Chapitre 92 — Antiépileptiques modernes.</w:t>
      </w:r>
      <w:r/>
    </w:p>
    <w:p>
      <w:pPr>
        <w:pStyle w:val="Heading2"/>
      </w:pPr>
      <w:r>
        <w:t>Fascicule XI — Chapitre 93 : Traitements de Fond de la Sclérose en Plaques (SEP)</w:t>
      </w:r>
    </w:p>
    <w:p>
      <w:pPr>
        <w:pStyle w:val="Heading2"/>
      </w:pPr>
      <w:r>
        <w:t>Avant-propos du Chapitre 93</w:t>
      </w:r>
    </w:p>
    <w:p>
      <w:r>
        <w:t xml:space="preserve">Le présent chapitre constitue le </w:t>
      </w:r>
      <w:r>
        <w:rPr>
          <w:b/>
        </w:rPr>
        <w:t>troisième volet thématique</w:t>
      </w:r>
      <w:r>
        <w:t xml:space="preserve"> du Fascicule XI consacré à la neurologie clinique, après les chapitres 91 (antiépileptiques anciens — benzodiazépines et dérivés) et 92 (antiépileptiques modernes). Il traite spécifiquement des </w:t>
      </w:r>
      <w:r>
        <w:rPr>
          <w:b/>
        </w:rPr>
        <w:t>traitements de fond de la sclérose en plaques (SEP)</w:t>
      </w:r>
      <w:r>
        <w:t>, classe médicamenteuse qui a connu, en l'espace de trois décennies, une révolution thérapeutique sans précédent en neurologie. La SEP, première cause de handicap neurologique non traumatique acquis chez l'adulte jeune (âge de début entre 20 et 40 ans, sex-ratio 2-3 F/1 H), touche en Algérie une population estimée à 30 000-40 000 patients (prévalence ~80-100/100 000), en progression régulière sous l'effet conjoint d'une meilleure reconnaissance diagnostique (IRM diffusion, critères de McDonald 2017) et d'une véritable transition épidémiologique (urbanisation, modifications du mode de vie, vitamine D).</w:t>
      </w:r>
    </w:p>
    <w:p>
      <w:r>
        <w:t xml:space="preserve">Contrairement aux deux chapitres précédents qui traitaient de la </w:t>
      </w:r>
      <w:r>
        <w:rPr>
          <w:b/>
        </w:rPr>
        <w:t>symptomatologie aiguë</w:t>
      </w:r>
      <w:r>
        <w:t xml:space="preserve"> (crise d'épilepsie, état de mal) ou de la </w:t>
      </w:r>
      <w:r>
        <w:rPr>
          <w:b/>
        </w:rPr>
        <w:t>prévention des récidives</w:t>
      </w:r>
      <w:r>
        <w:t xml:space="preserve"> (antiépileptiques au long cours), le présent chapitre aborde une pathologie auto-immune chronique du système nerveux central (SNC) dont la prise en charge thérapeutique s'inscrit dans une </w:t>
      </w:r>
      <w:r>
        <w:rPr>
          <w:b/>
        </w:rPr>
        <w:t>stratégie à très long terme</w:t>
      </w:r>
      <w:r>
        <w:t xml:space="preserve"> (plusieurs décennies), avec un objectif thérapeutique double : (i) </w:t>
      </w:r>
      <w:r>
        <w:rPr>
          <w:b/>
        </w:rPr>
        <w:t>réduire la fréquence et la sévérité des poussées</w:t>
      </w:r>
      <w:r>
        <w:t xml:space="preserve"> (activité clinique et radiologique) et (ii) </w:t>
      </w:r>
      <w:r>
        <w:rPr>
          <w:b/>
        </w:rPr>
        <w:t>ralentir la progression du handicap</w:t>
      </w:r>
      <w:r>
        <w:t xml:space="preserve"> (accumulation de déficits neurologiques irréversibles, brain atrophy). Cette dualité — activité inflammatoire aiguë versus neurodégénérescence chronique — structure toute la réflexion thérapeutique moderne.</w:t>
      </w:r>
    </w:p>
    <w:p>
      <w:r/>
      <w:r>
        <w:rPr>
          <w:b/>
        </w:rPr>
        <w:t>Pourquoi ce chapitre trouve-t-il sa place dans un fascicule de neurologie ?</w:t>
      </w:r>
      <w:r>
        <w:t xml:space="preserve"> Pour trois raisons fondamentales :</w:t>
      </w:r>
    </w:p>
    <w:p>
      <w:pPr>
        <w:pStyle w:val="ListNumber"/>
      </w:pPr>
      <w:r/>
      <w:r>
        <w:rPr>
          <w:b/>
        </w:rPr>
        <w:t>Rupture épidémiologique</w:t>
      </w:r>
      <w:r>
        <w:t xml:space="preserve"> : la SEP concernait historiquement les populations caucasiennes nord-européennes ; elle est en augmentation rapide dans le bassin méditerranéen, dont le Maghreb. L'Algérie connaît une véritable émergence de la maladie, longtemps sous-diagnostiquée et confondue avec d'autres pathologies neurologiques (vascularites, neuromyélite optique, neurolupus). Le pharmacien d'officine et l'interne en pharmacie clinique algériens doivent désormais maîtriser les traitements de fond de la SEP comme ils maîtrisent ceux du diabète ou de l'hypertension.</w:t>
      </w:r>
    </w:p>
    <w:p>
      <w:pPr>
        <w:pStyle w:val="ListNumber"/>
      </w:pPr>
      <w:r/>
      <w:r>
        <w:rPr>
          <w:b/>
        </w:rPr>
        <w:t>Révolution thérapeutique 2010-2025</w:t>
      </w:r>
      <w:r>
        <w:t xml:space="preserve"> : pendant près de 25 ans (1993-2010), l'arsenal thérapeutique de la SEP s'est limité aux </w:t>
      </w:r>
      <w:r>
        <w:rPr>
          <w:b/>
        </w:rPr>
        <w:t>interférons bêta</w:t>
      </w:r>
      <w:r>
        <w:t xml:space="preserve"> (IFNβ-1a/1b) et au </w:t>
      </w:r>
      <w:r>
        <w:rPr>
          <w:b/>
        </w:rPr>
        <w:t>glatiramer acétate</w:t>
      </w:r>
      <w:r>
        <w:t xml:space="preserve">, premiers traitements de fond injectables modérément efficaces (réduction des poussées de ~30 %). À partir de 2010, l'arrivée de la </w:t>
      </w:r>
      <w:r>
        <w:rPr>
          <w:b/>
        </w:rPr>
        <w:t>haute efficacité</w:t>
      </w:r>
      <w:r>
        <w:t xml:space="preserve"> (natalizumab, fingolimod, alemtuzumab, ocrélizumab, rituximab) a transformé le pronostic : réduction des poussées de 60-80 %, ralentissement majeur de la progression du handicap, et pour la première fois (ocrélizumab), efficacité documentée dans les </w:t>
      </w:r>
      <w:r>
        <w:rPr>
          <w:b/>
        </w:rPr>
        <w:t>formes progressives primaires</w:t>
      </w:r>
      <w:r>
        <w:t xml:space="preserve"> (PPMS), jusqu'alors orphelines de tout traitement modificateur. La stratégie thérapeutique moderne oppose désormais *escalade thérapeutique* (start low, escalate if needed) et *induction précoce à haute efficacité* (early high-efficacy).</w:t>
      </w:r>
    </w:p>
    <w:p>
      <w:pPr>
        <w:pStyle w:val="ListNumber"/>
      </w:pPr>
      <w:r/>
      <w:r>
        <w:rPr>
          <w:b/>
        </w:rPr>
        <w:t>Complexité de la prise en charge</w:t>
      </w:r>
      <w:r>
        <w:t xml:space="preserve"> : les biothérapies de la SEP exposent à des effets indésirables graves spécifiques — </w:t>
      </w:r>
      <w:r>
        <w:rPr>
          <w:b/>
        </w:rPr>
        <w:t>Leucoencéphalopathie Multifocale Progressive (PML)</w:t>
      </w:r>
      <w:r>
        <w:t xml:space="preserve"> (natalizumab, anti-CD20), </w:t>
      </w:r>
      <w:r>
        <w:rPr>
          <w:b/>
        </w:rPr>
        <w:t>bradycardie et bloc auriculo-ventriculaire</w:t>
      </w:r>
      <w:r>
        <w:t xml:space="preserve"> (fingolimod), </w:t>
      </w:r>
      <w:r>
        <w:rPr>
          <w:b/>
        </w:rPr>
        <w:t>cardiotoxicité dose-cumulative et leucémies secondaires</w:t>
      </w:r>
      <w:r>
        <w:t xml:space="preserve"> (mitoxantrone), </w:t>
      </w:r>
      <w:r>
        <w:rPr>
          <w:b/>
        </w:rPr>
        <w:t>réactions à la perfusion et infections sévères</w:t>
      </w:r>
      <w:r>
        <w:t xml:space="preserve"> (ocrélizumab, rituximab), </w:t>
      </w:r>
      <w:r>
        <w:rPr>
          <w:b/>
        </w:rPr>
        <w:t>risque obstétrical</w:t>
      </w:r>
      <w:r>
        <w:t xml:space="preserve"> (fingolimod tératogène). Le pharmacien doit pouvoir reconnaître ces pièges, assurer le suivi biologique (NFS, transaminases, sérologies JCV, échographies cardiaques, ECG), gérer la chaîne du froid (+2-8 °C), et éduquer le patient à l'auto-injection sous-cutanée.</w:t>
      </w:r>
    </w:p>
    <w:p>
      <w:r>
        <w:t xml:space="preserve">Le champ thérapeutique couvert comprend </w:t>
      </w:r>
      <w:r>
        <w:rPr>
          <w:b/>
        </w:rPr>
        <w:t>8 DCI</w:t>
      </w:r>
      <w:r>
        <w:t xml:space="preserve"> structurées en </w:t>
      </w:r>
      <w:r>
        <w:rPr>
          <w:b/>
        </w:rPr>
        <w:t>7 sous-classes mécanistiques distinctes</w:t>
      </w:r>
      <w:r>
        <w:t>, correspondant aux différentes stratégies de modulation du système immunitaire dans la SEP :</w:t>
      </w:r>
    </w:p>
    <w:p>
      <w:pPr>
        <w:pStyle w:val="ListNumber"/>
      </w:pPr>
      <w:r/>
      <w:r>
        <w:rPr>
          <w:b/>
        </w:rPr>
        <w:t>SEP – Interférons bêta</w:t>
      </w:r>
      <w:r>
        <w:t xml:space="preserve"> : Interféron bêta-1a/1b — pionniers historiques (1993-1996), immunomodulateurs injectables SC/IM, schéma 1 à 3 fois par semaine.</w:t>
      </w:r>
    </w:p>
    <w:p>
      <w:pPr>
        <w:pStyle w:val="ListNumber"/>
      </w:pPr>
      <w:r/>
      <w:r>
        <w:rPr>
          <w:b/>
        </w:rPr>
        <w:t>SEP – Immunomodulateurs</w:t>
      </w:r>
      <w:r>
        <w:t xml:space="preserve"> : Glatiramer acétate — copolymère d'acides aminés mimant la protéine basique de la myéline (MBP), administré SC quotidien.</w:t>
      </w:r>
    </w:p>
    <w:p>
      <w:pPr>
        <w:pStyle w:val="ListNumber"/>
      </w:pPr>
      <w:r/>
      <w:r>
        <w:rPr>
          <w:b/>
        </w:rPr>
        <w:t>SEP – Anti-intégrine α4</w:t>
      </w:r>
      <w:r>
        <w:t xml:space="preserve"> : Natalizumab — anticorps monoclonal anti-α4β1/α4β7 bloquant le passage lymphocytaire à travers la BHE, IV mensuel, haute efficacité mais risque PML.</w:t>
      </w:r>
    </w:p>
    <w:p>
      <w:pPr>
        <w:pStyle w:val="ListNumber"/>
      </w:pPr>
      <w:r/>
      <w:r>
        <w:rPr>
          <w:b/>
        </w:rPr>
        <w:t>SEP – Modulateurs S1P</w:t>
      </w:r>
      <w:r>
        <w:t xml:space="preserve"> : Fingolimod — premier traitement oral (2010), agoniste des récepteurs S1P séquestrant les lymphocytes dans les ganglions, surveillance ECG 6 h première dose.</w:t>
      </w:r>
    </w:p>
    <w:p>
      <w:pPr>
        <w:pStyle w:val="ListNumber"/>
      </w:pPr>
      <w:r/>
      <w:r>
        <w:rPr>
          <w:b/>
        </w:rPr>
        <w:t>SEP – Fumarates</w:t>
      </w:r>
      <w:r>
        <w:t xml:space="preserve"> : Diméthyl fumarate — oral, activation de la voie Nrf2 anti-oxydante + effet immunomodulateur (déplétion lymphocytaire partielle), tolérance digestive médiocre (flush, diarrhée).</w:t>
      </w:r>
    </w:p>
    <w:p>
      <w:pPr>
        <w:pStyle w:val="ListNumber"/>
      </w:pPr>
      <w:r/>
      <w:r>
        <w:rPr>
          <w:b/>
        </w:rPr>
        <w:t>SEP – Immunosuppresseurs</w:t>
      </w:r>
      <w:r>
        <w:t xml:space="preserve"> : Mitoxantrone — antinéoplasique intercalant ADN, indications limitées (SEP très agressive) en raison de la cardiotoxicité dose-cumulative (dose maximale 140 mg/m²) et du risque de leucémies secondaires.</w:t>
      </w:r>
    </w:p>
    <w:p>
      <w:pPr>
        <w:pStyle w:val="ListNumber"/>
      </w:pPr>
      <w:r/>
      <w:r>
        <w:rPr>
          <w:b/>
        </w:rPr>
        <w:t>SEP – Anti-CD20</w:t>
      </w:r>
      <w:r>
        <w:t xml:space="preserve"> : Ocrélizumab (humanisé, AMM dans SEP-RR et SEP-PP) et Rituximab (chimérique, usage hors AMM dans SEP, équivalence pratique) — déplétion des lymphocytes B CD20+ par ADCC/CDC, IV 6 mois, surveillance réactivation VHB et infections.</w:t>
      </w:r>
    </w:p>
    <w:p>
      <w:r>
        <w:t>Ces huit molécules, complémentaires dans la stratégie thérapeutique, représentent une vingtaine de spécialités commerciales disponibles sur le territoire algérien (actives, non renouvelables ou retirées), incluant des formes injectables SC et IV, des gélules orales (gastro-résistantes pour le diméthyl fumarate) et des concentrates à diluer pour perfusion. L'analyse détaillée de chaque DCI, de chaque spécialité, de chaque dosage, et de chaque piège thérapeutique constitue l'objet de ce chapitre 93 du Fascicule XI.</w:t>
      </w:r>
    </w:p>
    <w:p>
      <w:pPr>
        <w:pStyle w:val="Heading3"/>
      </w:pPr>
      <w:r>
        <w:t>Sources académiques mobilisées</w:t>
      </w:r>
    </w:p>
    <w:p>
      <w:pPr>
        <w:pStyle w:val="ListBullet"/>
      </w:pPr>
      <w:r/>
      <w:r>
        <w:rPr>
          <w:b/>
        </w:rPr>
        <w:t>VIDAL</w:t>
      </w:r>
      <w:r>
        <w:t xml:space="preserve"> : RCP officiels, posologies, interactions médicamenteuses</w:t>
      </w:r>
    </w:p>
    <w:p>
      <w:pPr>
        <w:pStyle w:val="ListBullet"/>
      </w:pPr>
      <w:r/>
      <w:r>
        <w:rPr>
          <w:b/>
        </w:rPr>
        <w:t>ANSM</w:t>
      </w:r>
      <w:r>
        <w:t xml:space="preserve"> (Agence Nationale de Sécurité du Médicament) : recommandations, mises en garde, RCP</w:t>
      </w:r>
    </w:p>
    <w:p>
      <w:pPr>
        <w:pStyle w:val="ListBullet"/>
      </w:pPr>
      <w:r/>
      <w:r>
        <w:rPr>
          <w:b/>
        </w:rPr>
        <w:t>Thériaque</w:t>
      </w:r>
      <w:r>
        <w:t xml:space="preserve"> (CNHIM) : banque française indépendante (interactions, équivalences)</w:t>
      </w:r>
    </w:p>
    <w:p>
      <w:pPr>
        <w:pStyle w:val="ListBullet"/>
      </w:pPr>
      <w:r/>
      <w:r>
        <w:rPr>
          <w:b/>
        </w:rPr>
        <w:t>CRAT</w:t>
      </w:r>
      <w:r>
        <w:t xml:space="preserve"> (Centre de Renseignement sur les Agents Tératogènes) : données grossesse/allaitement</w:t>
      </w:r>
    </w:p>
    <w:p>
      <w:pPr>
        <w:pStyle w:val="ListBullet"/>
      </w:pPr>
      <w:r/>
      <w:r>
        <w:rPr>
          <w:b/>
        </w:rPr>
        <w:t>HAS</w:t>
      </w:r>
      <w:r>
        <w:t xml:space="preserve"> (Haute Autorité de Santé) : recommandations SEP (2011, mise à jour 2024)</w:t>
      </w:r>
    </w:p>
    <w:p>
      <w:pPr>
        <w:pStyle w:val="ListBullet"/>
      </w:pPr>
      <w:r/>
      <w:r>
        <w:rPr>
          <w:b/>
        </w:rPr>
        <w:t>ECTRIMS</w:t>
      </w:r>
      <w:r>
        <w:t xml:space="preserve"> (European Committee for Treatment and Research in Multiple Sclerosis) : congrès annuels, recommandations européennes</w:t>
      </w:r>
    </w:p>
    <w:p>
      <w:pPr>
        <w:pStyle w:val="ListBullet"/>
      </w:pPr>
      <w:r/>
      <w:r>
        <w:rPr>
          <w:b/>
        </w:rPr>
        <w:t>EAN</w:t>
      </w:r>
      <w:r>
        <w:t xml:space="preserve"> (European Academy of Neurology) : guidelines 2018 (traitement de fond SEP-RR), mise à jour 2024</w:t>
      </w:r>
    </w:p>
    <w:p>
      <w:pPr>
        <w:pStyle w:val="ListBullet"/>
      </w:pPr>
      <w:r/>
      <w:r>
        <w:rPr>
          <w:b/>
        </w:rPr>
        <w:t>NICE</w:t>
      </w:r>
      <w:r>
        <w:t xml:space="preserve"> (National Institute for Health and Care Excellence) : guidelines NG220 (2022) — management of multiple sclerosis</w:t>
      </w:r>
    </w:p>
    <w:p>
      <w:pPr>
        <w:pStyle w:val="ListBullet"/>
      </w:pPr>
      <w:r/>
      <w:r>
        <w:rPr>
          <w:b/>
        </w:rPr>
        <w:t>AAN</w:t>
      </w:r>
      <w:r>
        <w:t xml:space="preserve"> (American Academy of Neurology) : practice guidelines</w:t>
      </w:r>
    </w:p>
    <w:p>
      <w:pPr>
        <w:pStyle w:val="ListBullet"/>
      </w:pPr>
      <w:r/>
      <w:r>
        <w:rPr>
          <w:b/>
        </w:rPr>
        <w:t>MAGNIMS</w:t>
      </w:r>
      <w:r>
        <w:t xml:space="preserve"> (Magnetic Resonance Imaging in MS) : consensus IRM</w:t>
      </w:r>
    </w:p>
    <w:p>
      <w:pPr>
        <w:pStyle w:val="ListBullet"/>
      </w:pPr>
      <w:r/>
      <w:r>
        <w:rPr>
          <w:b/>
        </w:rPr>
        <w:t>UpToDate, Micromedex, Lexicomp</w:t>
      </w:r>
      <w:r>
        <w:t xml:space="preserve"> : référentiels internationaux</w:t>
      </w:r>
    </w:p>
    <w:p>
      <w:pPr>
        <w:pStyle w:val="ListBullet"/>
      </w:pPr>
      <w:r/>
      <w:r>
        <w:rPr>
          <w:b/>
        </w:rPr>
        <w:t>Stahl's Essential Psychopharmacology</w:t>
      </w:r>
      <w:r>
        <w:t xml:space="preserve"> (5e édition) : bases neurochimiques</w:t>
      </w:r>
    </w:p>
    <w:p>
      <w:pPr>
        <w:pStyle w:val="ListBullet"/>
      </w:pPr>
      <w:r/>
      <w:r>
        <w:rPr>
          <w:b/>
        </w:rPr>
        <w:t>Goodman &amp; Gilman's</w:t>
      </w:r>
      <w:r>
        <w:t xml:space="preserve"> (13e édition) : pharmacologie fondamentale</w:t>
      </w:r>
    </w:p>
    <w:p>
      <w:pPr>
        <w:pStyle w:val="ListBullet"/>
      </w:pPr>
      <w:r/>
      <w:r>
        <w:rPr>
          <w:b/>
        </w:rPr>
        <w:t>Katzung</w:t>
      </w:r>
      <w:r>
        <w:t xml:space="preserve"> (15e édition) : pharmacologie clinique</w:t>
      </w:r>
    </w:p>
    <w:p>
      <w:pPr>
        <w:pStyle w:val="ListBullet"/>
      </w:pPr>
      <w:r/>
      <w:r>
        <w:rPr>
          <w:b/>
        </w:rPr>
        <w:t>Société Algérienne de Neurologie</w:t>
      </w:r>
      <w:r>
        <w:t xml:space="preserve"> (SAN) : recommandations nationales</w:t>
      </w:r>
    </w:p>
    <w:p>
      <w:pPr>
        <w:pStyle w:val="Heading3"/>
      </w:pPr>
      <w:r>
        <w:t>Contexte épidémiologique algérien</w:t>
      </w:r>
    </w:p>
    <w:p>
      <w:pPr>
        <w:pStyle w:val="ListBullet"/>
      </w:pPr>
      <w:r>
        <w:t xml:space="preserve">Prévalence de la </w:t>
      </w:r>
      <w:r>
        <w:rPr>
          <w:b/>
        </w:rPr>
        <w:t>SEP en Algérie</w:t>
      </w:r>
      <w:r>
        <w:t xml:space="preserve"> : estimée à 30-40 pour 100 000 (régions nord, littoral), soit ~12 000-16 000 patients diagnostiqués ; en progression régulière (transition épidémiologique, meilleure reconnaissance IRM)</w:t>
      </w:r>
    </w:p>
    <w:p>
      <w:pPr>
        <w:pStyle w:val="ListBullet"/>
      </w:pPr>
      <w:r>
        <w:t>Sex-ratio : 2,5-3 F / 1 H (prédominance féminine marquée)</w:t>
      </w:r>
    </w:p>
    <w:p>
      <w:pPr>
        <w:pStyle w:val="ListBullet"/>
      </w:pPr>
      <w:r>
        <w:t>Âge moyen de début : 28-32 ans (forme récurrente-rémittente, ~85 % des cas à la présentation)</w:t>
      </w:r>
    </w:p>
    <w:p>
      <w:pPr>
        <w:pStyle w:val="ListBullet"/>
      </w:pPr>
      <w:r>
        <w:t>Formes cliniques : SEP récurrente-rémittente (SEP-RR) ~85 %, SEP progressive secondaire (SEP-SP) ~10 % (transformation après 10-15 ans), SEP progressive primaire (SEP-PP) ~5-10 %</w:t>
      </w:r>
    </w:p>
    <w:p>
      <w:pPr>
        <w:pStyle w:val="ListBullet"/>
      </w:pPr>
      <w:r>
        <w:t>Phénotypes cliniques algériens : formes souvent plus inflammatoires et opto-spinales que dans les cohortes nord-européennes (chevauchement avec spectre NMO-MOGOD)</w:t>
      </w:r>
    </w:p>
    <w:p>
      <w:pPr>
        <w:pStyle w:val="ListBullet"/>
      </w:pPr>
      <w:r>
        <w:t>Retard diagnostique moyen : ~2-4 ans en Algérie (diagnostic posé tardivement, accès inégal aux neurologues et à l'IRM)</w:t>
      </w:r>
    </w:p>
    <w:p>
      <w:pPr>
        <w:pStyle w:val="ListBullet"/>
      </w:pPr>
      <w:r>
        <w:t>Gradient nord-sud : prédominance littoral/oranais/algérois/constantinois (vitamine D, ensoleillement paradoxal)</w:t>
      </w:r>
    </w:p>
    <w:p>
      <w:pPr>
        <w:pStyle w:val="ListBullet"/>
      </w:pPr>
      <w:r>
        <w:t>Accès aux biothérapies : inégal, concentré en CHU (Alger, Oran, Constantine), programmes d'accès compassionate (natalizumab, ocrélizumab)</w:t>
      </w:r>
    </w:p>
    <w:p>
      <w:pPr>
        <w:pStyle w:val="ListBullet"/>
      </w:pPr>
      <w:r>
        <w:t>Coût mensuel moyen : variable selon DCI (interférons/glatiramer ~15 000-25 000 DA/mois ; natalizumab/fingolimod/ocrélizumab : 60 000-120 000 DA/mois en moyenne)</w:t>
      </w:r>
    </w:p>
    <w:p>
      <w:pPr>
        <w:pStyle w:val="ListBullet"/>
      </w:pPr>
      <w:r>
        <w:t>Observance thérapeutique : problème majeur (auto-injection quotidienne ou hebdomadaire, effets indésirables, polymédication associée pour les symptômes — spasticité, fatigue, dépression, troubles vésico-sphinctériens)</w:t>
      </w:r>
    </w:p>
    <w:p>
      <w:pPr>
        <w:pStyle w:val="Heading2"/>
      </w:pPr>
      <w:r>
        <w:t>Sommaire du Chapitre 93</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Section</w:t>
            </w:r>
          </w:p>
        </w:tc>
        <w:tc>
          <w:tcPr>
            <w:tcW w:type="dxa" w:w="3118"/>
          </w:tcPr>
          <w:p>
            <w:r>
              <w:rPr>
                <w:b/>
                <w:sz w:val="20"/>
              </w:rPr>
              <w:t>Sous-classes traitées</w:t>
            </w:r>
          </w:p>
        </w:tc>
        <w:tc>
          <w:tcPr>
            <w:tcW w:type="dxa" w:w="3118"/>
          </w:tcPr>
          <w:p>
            <w:r>
              <w:rPr>
                <w:b/>
                <w:sz w:val="20"/>
              </w:rPr>
              <w:t>DCI</w:t>
            </w:r>
          </w:p>
        </w:tc>
      </w:tr>
      <w:tr>
        <w:tc>
          <w:tcPr>
            <w:tcW w:type="dxa" w:w="3118"/>
          </w:tcPr>
          <w:p>
            <w:r>
              <w:rPr>
                <w:sz w:val="20"/>
              </w:rPr>
              <w:t>93.1</w:t>
            </w:r>
          </w:p>
        </w:tc>
        <w:tc>
          <w:tcPr>
            <w:tcW w:type="dxa" w:w="3118"/>
          </w:tcPr>
          <w:p>
            <w:r>
              <w:rPr>
                <w:sz w:val="20"/>
              </w:rPr>
              <w:t>SEP — Interférons bêta</w:t>
            </w:r>
          </w:p>
        </w:tc>
        <w:tc>
          <w:tcPr>
            <w:tcW w:type="dxa" w:w="3118"/>
          </w:tcPr>
          <w:p>
            <w:r>
              <w:rPr>
                <w:sz w:val="20"/>
              </w:rPr>
              <w:t>Interféron bêta-1a/1b</w:t>
            </w:r>
          </w:p>
        </w:tc>
      </w:tr>
      <w:tr>
        <w:tc>
          <w:tcPr>
            <w:tcW w:type="dxa" w:w="3118"/>
          </w:tcPr>
          <w:p>
            <w:r>
              <w:rPr>
                <w:sz w:val="20"/>
              </w:rPr>
              <w:t>93.2</w:t>
            </w:r>
          </w:p>
        </w:tc>
        <w:tc>
          <w:tcPr>
            <w:tcW w:type="dxa" w:w="3118"/>
          </w:tcPr>
          <w:p>
            <w:r>
              <w:rPr>
                <w:sz w:val="20"/>
              </w:rPr>
              <w:t>SEP — Immunomodulateurs</w:t>
            </w:r>
          </w:p>
        </w:tc>
        <w:tc>
          <w:tcPr>
            <w:tcW w:type="dxa" w:w="3118"/>
          </w:tcPr>
          <w:p>
            <w:r>
              <w:rPr>
                <w:sz w:val="20"/>
              </w:rPr>
              <w:t>Glatiramer acétate</w:t>
            </w:r>
          </w:p>
        </w:tc>
      </w:tr>
      <w:tr>
        <w:tc>
          <w:tcPr>
            <w:tcW w:type="dxa" w:w="3118"/>
          </w:tcPr>
          <w:p>
            <w:r>
              <w:rPr>
                <w:sz w:val="20"/>
              </w:rPr>
              <w:t>93.3</w:t>
            </w:r>
          </w:p>
        </w:tc>
        <w:tc>
          <w:tcPr>
            <w:tcW w:type="dxa" w:w="3118"/>
          </w:tcPr>
          <w:p>
            <w:r>
              <w:rPr>
                <w:sz w:val="20"/>
              </w:rPr>
              <w:t>SEP — Anti-intégrine α4</w:t>
            </w:r>
          </w:p>
        </w:tc>
        <w:tc>
          <w:tcPr>
            <w:tcW w:type="dxa" w:w="3118"/>
          </w:tcPr>
          <w:p>
            <w:r>
              <w:rPr>
                <w:sz w:val="20"/>
              </w:rPr>
              <w:t>Natalizumab</w:t>
            </w:r>
          </w:p>
        </w:tc>
      </w:tr>
      <w:tr>
        <w:tc>
          <w:tcPr>
            <w:tcW w:type="dxa" w:w="3118"/>
          </w:tcPr>
          <w:p>
            <w:r>
              <w:rPr>
                <w:sz w:val="20"/>
              </w:rPr>
              <w:t>93.4</w:t>
            </w:r>
          </w:p>
        </w:tc>
        <w:tc>
          <w:tcPr>
            <w:tcW w:type="dxa" w:w="3118"/>
          </w:tcPr>
          <w:p>
            <w:r>
              <w:rPr>
                <w:sz w:val="20"/>
              </w:rPr>
              <w:t>SEP — Modulateurs S1P</w:t>
            </w:r>
          </w:p>
        </w:tc>
        <w:tc>
          <w:tcPr>
            <w:tcW w:type="dxa" w:w="3118"/>
          </w:tcPr>
          <w:p>
            <w:r>
              <w:rPr>
                <w:sz w:val="20"/>
              </w:rPr>
              <w:t>Fingolimod</w:t>
            </w:r>
          </w:p>
        </w:tc>
      </w:tr>
      <w:tr>
        <w:tc>
          <w:tcPr>
            <w:tcW w:type="dxa" w:w="3118"/>
          </w:tcPr>
          <w:p>
            <w:r>
              <w:rPr>
                <w:sz w:val="20"/>
              </w:rPr>
              <w:t>93.5</w:t>
            </w:r>
          </w:p>
        </w:tc>
        <w:tc>
          <w:tcPr>
            <w:tcW w:type="dxa" w:w="3118"/>
          </w:tcPr>
          <w:p>
            <w:r>
              <w:rPr>
                <w:sz w:val="20"/>
              </w:rPr>
              <w:t>SEP — Fumarates</w:t>
            </w:r>
          </w:p>
        </w:tc>
        <w:tc>
          <w:tcPr>
            <w:tcW w:type="dxa" w:w="3118"/>
          </w:tcPr>
          <w:p>
            <w:r>
              <w:rPr>
                <w:sz w:val="20"/>
              </w:rPr>
              <w:t>Diméthyl fumarate</w:t>
            </w:r>
          </w:p>
        </w:tc>
      </w:tr>
      <w:tr>
        <w:tc>
          <w:tcPr>
            <w:tcW w:type="dxa" w:w="3118"/>
          </w:tcPr>
          <w:p>
            <w:r>
              <w:rPr>
                <w:sz w:val="20"/>
              </w:rPr>
              <w:t>93.6</w:t>
            </w:r>
          </w:p>
        </w:tc>
        <w:tc>
          <w:tcPr>
            <w:tcW w:type="dxa" w:w="3118"/>
          </w:tcPr>
          <w:p>
            <w:r>
              <w:rPr>
                <w:sz w:val="20"/>
              </w:rPr>
              <w:t>SEP — Immunosuppresseurs</w:t>
            </w:r>
          </w:p>
        </w:tc>
        <w:tc>
          <w:tcPr>
            <w:tcW w:type="dxa" w:w="3118"/>
          </w:tcPr>
          <w:p>
            <w:r>
              <w:rPr>
                <w:sz w:val="20"/>
              </w:rPr>
              <w:t>Mitoxantrone</w:t>
            </w:r>
          </w:p>
        </w:tc>
      </w:tr>
      <w:tr>
        <w:tc>
          <w:tcPr>
            <w:tcW w:type="dxa" w:w="3118"/>
          </w:tcPr>
          <w:p>
            <w:r>
              <w:rPr>
                <w:sz w:val="20"/>
              </w:rPr>
              <w:t>93.7</w:t>
            </w:r>
          </w:p>
        </w:tc>
        <w:tc>
          <w:tcPr>
            <w:tcW w:type="dxa" w:w="3118"/>
          </w:tcPr>
          <w:p>
            <w:r>
              <w:rPr>
                <w:sz w:val="20"/>
              </w:rPr>
              <w:t>SEP — Anti-CD20</w:t>
            </w:r>
          </w:p>
        </w:tc>
        <w:tc>
          <w:tcPr>
            <w:tcW w:type="dxa" w:w="3118"/>
          </w:tcPr>
          <w:p>
            <w:r>
              <w:rPr>
                <w:sz w:val="20"/>
              </w:rPr>
              <w:t>Ocrélizumab, Rituximab (usage SEP)</w:t>
            </w:r>
          </w:p>
        </w:tc>
      </w:tr>
      <w:tr>
        <w:tc>
          <w:tcPr>
            <w:tcW w:type="dxa" w:w="3118"/>
          </w:tcPr>
          <w:p>
            <w:r>
              <w:rPr>
                <w:sz w:val="20"/>
              </w:rPr>
              <w:t>**Total**</w:t>
            </w:r>
          </w:p>
        </w:tc>
        <w:tc>
          <w:tcPr>
            <w:tcW w:type="dxa" w:w="3118"/>
          </w:tcPr>
          <w:p>
            <w:r>
              <w:rPr>
                <w:sz w:val="20"/>
              </w:rPr>
              <w:t>**7 sous-classes**</w:t>
            </w:r>
          </w:p>
        </w:tc>
        <w:tc>
          <w:tcPr>
            <w:tcW w:type="dxa" w:w="3118"/>
          </w:tcPr>
          <w:p>
            <w:r>
              <w:rPr>
                <w:sz w:val="20"/>
              </w:rPr>
              <w:t>**8 DCI**</w:t>
            </w:r>
          </w:p>
        </w:tc>
      </w:tr>
    </w:tbl>
    <w:p/>
    <w:p>
      <w:pPr>
        <w:pStyle w:val="Heading2"/>
      </w:pPr>
      <w:r>
        <w:t>93.1 — Sous-classe : SEP — Interférons bêta</w:t>
      </w:r>
    </w:p>
    <w:p>
      <w:pPr>
        <w:pStyle w:val="Heading3"/>
      </w:pPr>
      <w:r>
        <w:t>Introduction à la sous-classe</w:t>
      </w:r>
    </w:p>
    <w:p>
      <w:r>
        <w:t xml:space="preserve">Les </w:t>
      </w:r>
      <w:r>
        <w:rPr>
          <w:b/>
        </w:rPr>
        <w:t>interférons bêta (IFNβ)</w:t>
      </w:r>
      <w:r>
        <w:t xml:space="preserve"> ont marqué, dès 1993, le passage de la SEP d'une maladie neurologique chronique orpheline de tout traitement modificateur à une pathologie bénéficiant d'une prise en charge immunomodulatrice au long cours. L'</w:t>
      </w:r>
      <w:r>
        <w:rPr>
          <w:b/>
        </w:rPr>
        <w:t>interféron bêta-1b</w:t>
      </w:r>
      <w:r>
        <w:t xml:space="preserve"> (Betaseron/Betaferon, Bayer) fut le premier traitement de fond approuvé dans la SEP récurrente-rémittente (1993, FDA ; 1995, EMA), suivi de très près par l'</w:t>
      </w:r>
      <w:r>
        <w:rPr>
          <w:b/>
        </w:rPr>
        <w:t>interféron bêta-1a IM</w:t>
      </w:r>
      <w:r>
        <w:t xml:space="preserve"> (Avonex, Biogen — 1996) et l'</w:t>
      </w:r>
      <w:r>
        <w:rPr>
          <w:b/>
        </w:rPr>
        <w:t>interféron bêta-1a SC</w:t>
      </w:r>
      <w:r>
        <w:t xml:space="preserve"> (Rebif, Merck Serono — 1998). Cette triple disponibilité a structuré pendant près de 15 ans la stratégie thérapeutique de première intention de la SEP-RR, avant l'arrivée des biothérapies de haute efficacité à partir de 2010 (natalizumab, fingolimod, ocrélizumab).</w:t>
      </w:r>
    </w:p>
    <w:p>
      <w:r/>
      <w:r>
        <w:rPr>
          <w:b/>
        </w:rPr>
        <w:t>Nature biochimique</w:t>
      </w:r>
      <w:r>
        <w:t xml:space="preserve"> : les interférons bêta appartiennent à la famille des </w:t>
      </w:r>
      <w:r>
        <w:rPr>
          <w:b/>
        </w:rPr>
        <w:t>interférons de type I</w:t>
      </w:r>
      <w:r>
        <w:t xml:space="preserve"> (avec l'IFNα), cytokines naturelles produites par les cellules épithéliales et fibroblastes en réponse à une infection virale. L'IFNβ endogène humain est une glycoprotéine de 166 acides aminés (20 kDa) codée par un gène unique sur le chromosome 9 (9p21.3). Les formes thérapeutiques sont produites par </w:t>
      </w:r>
      <w:r>
        <w:rPr>
          <w:b/>
        </w:rPr>
        <w:t>technologie recombinante</w:t>
      </w:r>
      <w:r>
        <w:t xml:space="preserve"> :</w:t>
      </w:r>
    </w:p>
    <w:p>
      <w:pPr>
        <w:pStyle w:val="ListBullet"/>
      </w:pPr>
      <w:r/>
      <w:r>
        <w:rPr>
          <w:b/>
        </w:rPr>
        <w:t>IFNβ-1b</w:t>
      </w:r>
      <w:r>
        <w:t xml:space="preserve"> (Betaferon/Betaseron) : produit dans *Escherichia coli*, </w:t>
      </w:r>
      <w:r>
        <w:rPr>
          <w:b/>
        </w:rPr>
        <w:t>non glycosylé</w:t>
      </w:r>
      <w:r>
        <w:t>, mutein cystéine-sérine en position 17 (substitution C17S pour éviter les dimérisations par ponts disulfure), perte du premier acide aminé N-terminal méthionylé. Masse ~18,5 kDa. Spécificité d'activité : ~32 MIU/mg (vs IFNβ naturel ~20 MIU/mg). Posologie : 250 µg (8 MIU) SC un jour sur deux (3 fois/semaine).</w:t>
      </w:r>
    </w:p>
    <w:p>
      <w:pPr>
        <w:pStyle w:val="ListBullet"/>
      </w:pPr>
      <w:r/>
      <w:r>
        <w:rPr>
          <w:b/>
        </w:rPr>
        <w:t>IFNβ-1a</w:t>
      </w:r>
      <w:r>
        <w:t xml:space="preserve"> (Avonex, Rebif, Cinnovex, Recigen) : produit dans </w:t>
      </w:r>
      <w:r>
        <w:rPr>
          <w:b/>
        </w:rPr>
        <w:t>cellules ovariennes de hamster chinois (CHO)</w:t>
      </w:r>
      <w:r>
        <w:t xml:space="preserve">, </w:t>
      </w:r>
      <w:r>
        <w:rPr>
          <w:b/>
        </w:rPr>
        <w:t>glycosylé</w:t>
      </w:r>
      <w:r>
        <w:t xml:space="preserve"> (comme l'IFNβ naturel), séquence identique à l'IFNβ humain endogène. Masse ~22,5 kDa. Posologies variables selon la voie : </w:t>
      </w:r>
      <w:r>
        <w:rPr>
          <w:b/>
        </w:rPr>
        <w:t>30 µg IM une fois/semaine</w:t>
      </w:r>
      <w:r>
        <w:t xml:space="preserve"> (Avonex) ou </w:t>
      </w:r>
      <w:r>
        <w:rPr>
          <w:b/>
        </w:rPr>
        <w:t>22 µg (6 MIU) SC 3 fois/semaine</w:t>
      </w:r>
      <w:r>
        <w:t xml:space="preserve"> (Rebif faible dose) ou </w:t>
      </w:r>
      <w:r>
        <w:rPr>
          <w:b/>
        </w:rPr>
        <w:t>44 µg (12 MIU) SC 3 fois/semaine</w:t>
      </w:r>
      <w:r>
        <w:t xml:space="preserve"> (Rebif forte dose, dose maximale recommandée).</w:t>
      </w:r>
    </w:p>
    <w:p>
      <w:r/>
      <w:r>
        <w:rPr>
          <w:b/>
        </w:rPr>
        <w:t>Justification physiopathologique</w:t>
      </w:r>
      <w:r>
        <w:t xml:space="preserve"> : la SEP est une maladie auto-immune médiée principalement par les lymphocytes T helper 1 (Th1) et Th17 qui traversent la barrière hémato-encéphalique (BHE) et attaquent la gaine de myéline des neurones du SNC. Les IFNβ, en se fixant sur le récepteur de type I à l'IFN (IFNAR1/IFNAR2, exprimé ubiquitairement), déclenchent la cascade JAK-STAT (JAK1/TYK2 → STAT1/STAT2 → ISGF3 → gènes ISGs — Interferon-Stimulated Genes) qui produit des effets pléiotropiques :</w:t>
      </w:r>
    </w:p>
    <w:p>
      <w:pPr>
        <w:pStyle w:val="ListBullet"/>
      </w:pPr>
      <w:r/>
      <w:r>
        <w:rPr>
          <w:b/>
        </w:rPr>
        <w:t>Antiviral</w:t>
      </w:r>
      <w:r>
        <w:t xml:space="preserve"> : induction de la 2',5'-OAS (oligoadénylate synthétase) → activation de la RNase L → dégradation des ARN viraux ; induction de la protéine MxGTPase ; induction de la PKR (protéine kinase dépendante de l'ARN).</w:t>
      </w:r>
    </w:p>
    <w:p>
      <w:pPr>
        <w:pStyle w:val="ListBullet"/>
      </w:pPr>
      <w:r/>
      <w:r>
        <w:rPr>
          <w:b/>
        </w:rPr>
        <w:t>Anti-prolifératif</w:t>
      </w:r>
      <w:r>
        <w:t xml:space="preserve"> : induction de p21/WAF1, inhibition de la cycline E/CDK2, blocage du cycle cellulaire en G1.</w:t>
      </w:r>
    </w:p>
    <w:p>
      <w:pPr>
        <w:pStyle w:val="ListBullet"/>
      </w:pPr>
      <w:r/>
      <w:r>
        <w:rPr>
          <w:b/>
        </w:rPr>
        <w:t>Immunomodulateur</w:t>
      </w:r>
      <w:r>
        <w:t xml:space="preserve"> : inhibe la production d'</w:t>
      </w:r>
      <w:r>
        <w:rPr>
          <w:b/>
        </w:rPr>
        <w:t>IL-12</w:t>
      </w:r>
      <w:r>
        <w:t xml:space="preserve"> par les macrophages (qui polarise vers Th1) et d'</w:t>
      </w:r>
      <w:r>
        <w:rPr>
          <w:b/>
        </w:rPr>
        <w:t>IL-23</w:t>
      </w:r>
      <w:r>
        <w:t xml:space="preserve"> (qui polarise vers Th17), tout en augmentant l'</w:t>
      </w:r>
      <w:r>
        <w:rPr>
          <w:b/>
        </w:rPr>
        <w:t>IL-10</w:t>
      </w:r>
      <w:r>
        <w:t xml:space="preserve"> anti-inflammatoire. Inhibe la migration des lymphocytes T à travers la BHE en réduisant l'expression de MMP-9 (métalloprotéinase 9) et de VLA-4. Réduit l'expression du MHC-II et de la molécule de costimulation B7 sur les cellules présentatrices d'antigène, diminuant ainsi l'activation lymphocytaire T.</w:t>
      </w:r>
    </w:p>
    <w:p>
      <w:r/>
      <w:r>
        <w:rPr>
          <w:b/>
        </w:rPr>
        <w:t>Efficacité</w:t>
      </w:r>
      <w:r>
        <w:t xml:space="preserve"> : réduction de la fréquence des poussées d'environ </w:t>
      </w:r>
      <w:r>
        <w:rPr>
          <w:b/>
        </w:rPr>
        <w:t>30-33 %</w:t>
      </w:r>
      <w:r>
        <w:t xml:space="preserve"> vs placebo (essais pivots IFNB MS Study Group 1993 ; PRISMS 1998), réduction de l'activité IRM (hypersignaux T2 nouveaux) de ~50-80 %, et ralentissement discrêt de la progression du handicap (réduction du risque d'EDSS progression confirmée à 2 ans de ~30 %). Efficacité modeste mais réelle, supérieure chez les patients à maladie active modérée (vs très active). L'efficacité s'épuise avec le temps chez 30-50 % des patients ( apparition d'anticorps neutralisants — Nab — après 6-24 mois de traitement, prevalence variable selon molécule : Betaferon 30-40 %, Rebif 15-25 %, Avonex 5-10 %).</w:t>
      </w:r>
    </w:p>
    <w:p>
      <w:r/>
      <w:r>
        <w:rPr>
          <w:b/>
        </w:rPr>
        <w:t>Limites principales</w:t>
      </w:r>
      <w:r>
        <w:t xml:space="preserve"> :</w:t>
      </w:r>
    </w:p>
    <w:p>
      <w:pPr>
        <w:pStyle w:val="ListBullet"/>
      </w:pPr>
      <w:r>
        <w:t xml:space="preserve">Effets indésirables : </w:t>
      </w:r>
      <w:r>
        <w:rPr>
          <w:b/>
        </w:rPr>
        <w:t>syndrome pseudo-grippal</w:t>
      </w:r>
      <w:r>
        <w:t xml:space="preserve"> post-injection (fièvre, myalgies, frissons, céphalées — quasi-constant en début de traitement, s'atténue avec la prémédication par AINS/paracétamol), </w:t>
      </w:r>
      <w:r>
        <w:rPr>
          <w:b/>
        </w:rPr>
        <w:t>réactions site d'injection SC</w:t>
      </w:r>
      <w:r>
        <w:t xml:space="preserve"> (érythème, nodules, rarement nécrose cutanée), </w:t>
      </w:r>
      <w:r>
        <w:rPr>
          <w:b/>
        </w:rPr>
        <w:t>cytopénies</w:t>
      </w:r>
      <w:r>
        <w:t xml:space="preserve"> (leuconeutropénie, thrombopénie modérée), </w:t>
      </w:r>
      <w:r>
        <w:rPr>
          <w:b/>
        </w:rPr>
        <w:t>élévations transaminases</w:t>
      </w:r>
      <w:r>
        <w:t xml:space="preserve"> (cytolyse hépatique généralement &lt;3× LSN), </w:t>
      </w:r>
      <w:r>
        <w:rPr>
          <w:b/>
        </w:rPr>
        <w:t>dépression</w:t>
      </w:r>
      <w:r>
        <w:t xml:space="preserve"> (aggravation ou induction — à surveiller), </w:t>
      </w:r>
      <w:r>
        <w:rPr>
          <w:b/>
        </w:rPr>
        <w:t>thyroidites auto-immunes</w:t>
      </w:r>
      <w:r>
        <w:t xml:space="preserve"> (hypothyroïdie ou hyperthyroïdie, dépistage TSH annuel).</w:t>
      </w:r>
    </w:p>
    <w:p>
      <w:pPr>
        <w:pStyle w:val="ListBullet"/>
      </w:pPr>
      <w:r>
        <w:t>Nécessité d'injections répétitives (1 à 3 fois/sem), observance difficile à long terme (40 % de patients non observants à 2 ans).</w:t>
      </w:r>
    </w:p>
    <w:p>
      <w:pPr>
        <w:pStyle w:val="ListBullet"/>
      </w:pPr>
      <w:r>
        <w:t>Immunogénicité : les anticorps neutralisants (Nab) abolissent l'efficacité chez 5-40 % des patients selon la molécule et la durée.</w:t>
      </w:r>
    </w:p>
    <w:p>
      <w:r/>
      <w:r>
        <w:rPr>
          <w:b/>
        </w:rPr>
        <w:t>Positionnement actuel</w:t>
      </w:r>
      <w:r>
        <w:t xml:space="preserve"> : depuis l'arrivée des hautes efficacités, les IFNβ sont réservés en </w:t>
      </w:r>
      <w:r>
        <w:rPr>
          <w:b/>
        </w:rPr>
        <w:t>première intention chez les patients à maladie modérée</w:t>
      </w:r>
      <w:r>
        <w:t xml:space="preserve"> (critères ECTRIMS 2018 : activité clinique ou radiologique modérée, absence de facteurs pronostiques péjoratifs). Ils restent utiles chez les femmes en âge de procréer (compatibles avec grossesse selon CRAT) et chez les patients réticents aux biothérapies. En cas de maladie active (≥2 poussées/an, IRM active) ou de progression, switch vers haute efficacité (natalizumab, ocrélizumab, fingolimod) recommandé.</w:t>
      </w:r>
    </w:p>
    <w:p>
      <w:pPr>
        <w:pStyle w:val="Heading3"/>
      </w:pPr>
      <w:r>
        <w:t>1. DCI : Interféron bêta-1a/1b (Seule)</w:t>
      </w:r>
    </w:p>
    <w:p>
      <w:r>
        <w:t xml:space="preserve">Les interférons bêta recombinants (IFNβ-1a glycosylé produit en cellules CHO, IFNβ-1b non glycosylé produit dans </w:t>
      </w:r>
      <w:r>
        <w:rPr>
          <w:i/>
        </w:rPr>
        <w:t>E. coli</w:t>
      </w:r>
      <w:r>
        <w:t xml:space="preserve">) constituent la </w:t>
      </w:r>
      <w:r>
        <w:rPr>
          <w:b/>
        </w:rPr>
        <w:t>classe historique</w:t>
      </w:r>
      <w:r>
        <w:t xml:space="preserve"> des traitements de fond de la sclérose en plaques récurrente-rémittente. Approuvés dès 1993 (IFNβ-1b) et 1996-1998 (IFNβ-1a), ils ont transformé le pronostic fonctionnel de la maladie en réduisant d'environ un tiers la fréquence des poussées et en ralentissant l'accumulation des lésions démyélinisantes à l'IRM. Administrés par voie </w:t>
      </w:r>
      <w:r>
        <w:rPr>
          <w:b/>
        </w:rPr>
        <w:t>sous-cutanée (SC)</w:t>
      </w:r>
      <w:r>
        <w:t xml:space="preserve"> à raison de 3 injections par semaine (Rebif 22 ou 44 µg, Betaferon 250 µg) ou par voie </w:t>
      </w:r>
      <w:r>
        <w:rPr>
          <w:b/>
        </w:rPr>
        <w:t>intramusculaire (IM)</w:t>
      </w:r>
      <w:r>
        <w:t xml:space="preserve"> une fois par semaine (Avonex 30 µg), ils imposent une formation du patient à l'auto-injection et une surveillance biologique régulière (NFS, transaminases, TSH) ainsi qu'une prémédication par paracétamol ou AINS pour minimiser le syndrome pseudo-grippal post-injection. Leur immunogénicité (anticorps neutralisants) et leur efficacité modeste comparée aux nouvelles biothérapies de haute efficacité en font aujourd'hui un traitement de première intention réservé aux SEP modérées, ou de transition chez les femmes envisageant une grossesse (compatibles avec la gestation selon le CRAT).</w:t>
      </w:r>
    </w:p>
    <w:p>
      <w:r/>
      <w:r>
        <w:rPr>
          <w:b/>
        </w:rPr>
        <w:t>Liste des Catégories :</w:t>
      </w:r>
      <w:r>
        <w:t xml:space="preserve"> LISTE I — Immunomodulateur — Interféron bêta recombinant — traitement de fond de la SEP-RR.</w:t>
      </w:r>
    </w:p>
    <w:p>
      <w:r/>
      <w:r>
        <w:rPr>
          <w:b/>
        </w:rPr>
        <w:t>Médicaments disponibles en Algérie (Marques, Laboratoires, Formes et Dosages) :</w:t>
      </w:r>
      <w:r/>
    </w:p>
    <w:p>
      <w:r>
        <w:t xml:space="preserve">Spécialités ACTIVES — </w:t>
      </w:r>
      <w:r>
        <w:rPr>
          <w:b/>
        </w:rPr>
        <w:t>Interféron bêta-1a sous-cutané</w:t>
      </w:r>
      <w:r>
        <w:t xml:space="preserve"> :</w:t>
      </w:r>
    </w:p>
    <w:p>
      <w:pPr>
        <w:pStyle w:val="ListBullet"/>
      </w:pPr>
      <w:r/>
      <w:r>
        <w:rPr>
          <w:b/>
        </w:rPr>
        <w:t>REBIF</w:t>
      </w:r>
      <w:r>
        <w:t xml:space="preserve"> (MERCK SERONO EUROPE LIMITED)</w:t>
      </w:r>
    </w:p>
    <w:p>
      <w:pPr>
        <w:pStyle w:val="ListBullet"/>
      </w:pPr>
      <w:r>
        <w:t>Formes et Dosages : Solution injectable SC en seringue préremplie 22 µg/0,5 mL (6 MIU/0,5 mL) — Boîte de 12 seringues préremplies de 0,5 mL</w:t>
      </w:r>
    </w:p>
    <w:p>
      <w:pPr>
        <w:pStyle w:val="ListBullet"/>
      </w:pPr>
      <w:r>
        <w:t>Formes et Dosages : Solution injectable SC en seringue préremplie 44 µg/0,5 mL (12 MIU/0,5 mL) — Boîte de 12 seringues préremplies de 0,5 mL</w:t>
      </w:r>
    </w:p>
    <w:p>
      <w:pPr>
        <w:pStyle w:val="ListBullet"/>
      </w:pPr>
      <w:r>
        <w:t>Formes et Dosages : Solution injectable SC en cartouche préremplie 22 µg/0,5 mL — Coffret de 4 cartouches préremplies de 1,5 mL (compatible stylo injecteur RebiSmart)</w:t>
      </w:r>
    </w:p>
    <w:p>
      <w:pPr>
        <w:pStyle w:val="ListBullet"/>
      </w:pPr>
      <w:r>
        <w:t>Formes et Dosages : Solution injectable SC en cartouche préremplie 44 µg/0,5 mL — Coffret de 4 cartouches préremplies de 1,5 mL (compatible stylo injecteur RebiSmart)</w:t>
      </w:r>
    </w:p>
    <w:p>
      <w:pPr>
        <w:pStyle w:val="ListBullet"/>
      </w:pPr>
      <w:r>
        <w:t>Statut : Actif (Liste I) — princeps de référence, IFNβ-1a SC</w:t>
      </w:r>
    </w:p>
    <w:p>
      <w:pPr>
        <w:pStyle w:val="ListBullet"/>
      </w:pPr>
      <w:r/>
      <w:r>
        <w:rPr>
          <w:b/>
        </w:rPr>
        <w:t>RECIGEN</w:t>
      </w:r>
      <w:r>
        <w:t xml:space="preserve"> (ORION LAB)</w:t>
      </w:r>
    </w:p>
    <w:p>
      <w:pPr>
        <w:pStyle w:val="ListBullet"/>
      </w:pPr>
      <w:r>
        <w:t>Formes et Dosages : Solution injectable SC 44 µg/0,5 mL (12 MIU/0,5 mL) — Boîte de 12 seringues préremplies de 0,5 mL</w:t>
      </w:r>
    </w:p>
    <w:p>
      <w:pPr>
        <w:pStyle w:val="ListBullet"/>
      </w:pPr>
      <w:r>
        <w:t>Statut : Actif (Liste I) — générique/biosimilaire de Rebif 44 µg</w:t>
      </w:r>
    </w:p>
    <w:p>
      <w:pPr>
        <w:pStyle w:val="ListBullet"/>
      </w:pPr>
      <w:r/>
      <w:r>
        <w:rPr>
          <w:b/>
        </w:rPr>
        <w:t>CINNOVEX</w:t>
      </w:r>
      <w:r>
        <w:t xml:space="preserve"> (ORION LAB)</w:t>
      </w:r>
    </w:p>
    <w:p>
      <w:pPr>
        <w:pStyle w:val="ListBullet"/>
      </w:pPr>
      <w:r>
        <w:t>Formes et Dosages : Solution injectable SC en seringue préremplie 30 µg/0,5 mL (6 MIU/0,5 mL) — Boîte de 4 seringues préremplies</w:t>
      </w:r>
    </w:p>
    <w:p>
      <w:pPr>
        <w:pStyle w:val="ListBullet"/>
      </w:pPr>
      <w:r>
        <w:t>Statut : Actif (Liste I) — biosimilaire d'Avonex 30 µg (voie SC au lieu de IM)</w:t>
      </w:r>
    </w:p>
    <w:p>
      <w:r>
        <w:t xml:space="preserve">Spécialités ACTIVES — </w:t>
      </w:r>
      <w:r>
        <w:rPr>
          <w:b/>
        </w:rPr>
        <w:t>Interféron bêta-1a intramusculaire</w:t>
      </w:r>
      <w:r>
        <w:t xml:space="preserve"> :</w:t>
      </w:r>
    </w:p>
    <w:p>
      <w:pPr>
        <w:pStyle w:val="ListBullet"/>
      </w:pPr>
      <w:r/>
      <w:r>
        <w:rPr>
          <w:b/>
        </w:rPr>
        <w:t>AVONEX</w:t>
      </w:r>
      <w:r>
        <w:t xml:space="preserve"> (BIOGEN NETHERLANDS B.V)</w:t>
      </w:r>
    </w:p>
    <w:p>
      <w:pPr>
        <w:pStyle w:val="ListBullet"/>
      </w:pPr>
      <w:r>
        <w:t>Formes et Dosages : Solution injectable IM 30 µg/0,5 mL (6 MIU/0,5 mL) — Boîte de 4 seringues préremplies</w:t>
      </w:r>
    </w:p>
    <w:p>
      <w:pPr>
        <w:pStyle w:val="ListBullet"/>
      </w:pPr>
      <w:r>
        <w:t>Statut : Actif (Liste I) — princeps de référence, IFNβ-1a IM hebdomadaire</w:t>
      </w:r>
    </w:p>
    <w:p>
      <w:r>
        <w:t xml:space="preserve">Spécialités ACTIVES — </w:t>
      </w:r>
      <w:r>
        <w:rPr>
          <w:b/>
        </w:rPr>
        <w:t>Interféron bêta-1b sous-cutané</w:t>
      </w:r>
      <w:r>
        <w:t xml:space="preserve"> :</w:t>
      </w:r>
    </w:p>
    <w:p>
      <w:pPr>
        <w:pStyle w:val="ListBullet"/>
      </w:pPr>
      <w:r/>
      <w:r>
        <w:rPr>
          <w:b/>
        </w:rPr>
        <w:t>BETAFERON</w:t>
      </w:r>
      <w:r>
        <w:t xml:space="preserve"> (BAYER PHARMA AG)</w:t>
      </w:r>
    </w:p>
    <w:p>
      <w:pPr>
        <w:pStyle w:val="ListBullet"/>
      </w:pPr>
      <w:r>
        <w:t>Formes et Dosages : Poudre et solvant pour solution injectable SC 250 µg/mL (8 MIU/mL) après reconstitution — Boîte de 15 présentations unitaires contenant chacune : 1 flacon de poudre + 1 seringue préremplie de 1,2 mL de solvant + 2 tampons imbibés d'alcool + 1 adaptateur pour flacon avec aiguille</w:t>
      </w:r>
    </w:p>
    <w:p>
      <w:pPr>
        <w:pStyle w:val="ListBullet"/>
      </w:pPr>
      <w:r>
        <w:t>Statut : Actif (Liste I) — princeps de référence, IFNβ-1b SC un jour sur deux</w:t>
      </w:r>
    </w:p>
    <w:p>
      <w:r/>
      <w:r>
        <w:rPr>
          <w:b/>
        </w:rPr>
        <w:t>Commentaire sur la disponibilité algérienne</w:t>
      </w:r>
      <w:r>
        <w:t xml:space="preserve"> : le marché algérien dispose d'un </w:t>
      </w:r>
      <w:r>
        <w:rPr>
          <w:b/>
        </w:rPr>
        <w:t>panel complet d'IFNβ</w:t>
      </w:r>
      <w:r>
        <w:t xml:space="preserve"> (1a IM, 1a SC à 22 et 44 µg, 1b SC), avec le princeps Avonex (Biogen) pour la voie IM, Rebif (Merck Serono) pour la voie SC à deux dosages et en cartouches pour stylo, et Betaferon (Bayer) pour la voie SC en poudre à reconstituer. Les biosimilaires Recigen et Cinnovex (tous deux Orion Lab) offrent des alternatives à coût réduit. Cette diversité permet l'adaptation au profil du patient : observance hebdomadaire privilégiée (Avonex IM), préférence auto-injection avec stylo (Rebif cartouches), tolérance variable aux effets indésirables (Betaferon parfois mieux toléré à long terme). À noter : Kikuzubam (Pharmaghreb) fut un biosimilaire de rituximab — non d'IFNβ — retiré du marché.</w:t>
      </w:r>
    </w:p>
    <w:p>
      <w:r/>
      <w:r>
        <w:rPr>
          <w:b/>
        </w:rPr>
        <w:t>Sous-classe et Mécanisme d'action :</w:t>
      </w:r>
      <w:r/>
    </w:p>
    <w:p>
      <w:pPr>
        <w:pStyle w:val="ListBullet"/>
      </w:pPr>
      <w:r/>
      <w:r>
        <w:rPr>
          <w:b/>
        </w:rPr>
        <w:t>Sous-classe</w:t>
      </w:r>
      <w:r>
        <w:t xml:space="preserve"> : Immunomodulateur de la sclérose en plaques — Interféron de type I (famille IFNα/β/ω) recombinant. Première ligne historique, traitement de fond de la SEP récurrente-rémittente active modérée.</w:t>
      </w:r>
    </w:p>
    <w:p>
      <w:pPr>
        <w:pStyle w:val="ListBullet"/>
      </w:pPr>
      <w:r/>
      <w:r>
        <w:rPr>
          <w:b/>
        </w:rPr>
        <w:t>Mécanisme d'action</w:t>
      </w:r>
      <w:r>
        <w:t xml:space="preserve"> : les IFNβ se lient au récepteur hétérodimérique ubiquitaire </w:t>
      </w:r>
      <w:r>
        <w:rPr>
          <w:b/>
        </w:rPr>
        <w:t>IFNAR1/IFNAR2</w:t>
      </w:r>
      <w:r>
        <w:t xml:space="preserve"> présent à la surface de toutes les cellules nucléées. Cette liaison active la cascade </w:t>
      </w:r>
      <w:r>
        <w:rPr>
          <w:b/>
        </w:rPr>
        <w:t>JAK1/TYK2</w:t>
      </w:r>
      <w:r>
        <w:t xml:space="preserve"> qui phosphoryle les facteurs de transcription </w:t>
      </w:r>
      <w:r>
        <w:rPr>
          <w:b/>
        </w:rPr>
        <w:t>STAT1 et STAT2</w:t>
      </w:r>
      <w:r>
        <w:t xml:space="preserve">, formant le complexe </w:t>
      </w:r>
      <w:r>
        <w:rPr>
          <w:b/>
        </w:rPr>
        <w:t>ISGF3</w:t>
      </w:r>
      <w:r>
        <w:t xml:space="preserve"> (Interferon-Stimulated Gene Factor 3) qui transloque dans le noyau et se fixe sur les éléments </w:t>
      </w:r>
      <w:r>
        <w:rPr>
          <w:b/>
        </w:rPr>
        <w:t>ISRE</w:t>
      </w:r>
      <w:r>
        <w:t xml:space="preserve"> (Interferon-Stimulated Response Elements) des promoteurs de gènes ISGs. Les conséquences pléiotropiques sur la physiopathologie de la SEP sont multiples :</w:t>
      </w:r>
    </w:p>
    <w:p>
      <w:r>
        <w:t xml:space="preserve">  (i) </w:t>
      </w:r>
      <w:r>
        <w:rPr>
          <w:b/>
        </w:rPr>
        <w:t>Effet antiviral</w:t>
      </w:r>
      <w:r>
        <w:t xml:space="preserve"> : induction de la 2',5'-oligoadénylate synthétase (OAS) → activation de la RNase L → dégradation des ARN double-brin viraux ; induction de la </w:t>
      </w:r>
      <w:r>
        <w:rPr>
          <w:b/>
        </w:rPr>
        <w:t>PKR</w:t>
      </w:r>
      <w:r>
        <w:t xml:space="preserve"> (protéine kinase R) → phosphorylation du facteur eIF2α → inhibition de la traduction protéique virale. Cet effet antiviral participe à la réduction de l'activation inflammatoire déclenchée par les infections virales (rhumes, grippes) qui sont des facteurs déclenchants classiques des poussées de SEP.</w:t>
      </w:r>
    </w:p>
    <w:p>
      <w:r>
        <w:t xml:space="preserve">  (ii) </w:t>
      </w:r>
      <w:r>
        <w:rPr>
          <w:b/>
        </w:rPr>
        <w:t>Effet anti-prolifératif</w:t>
      </w:r>
      <w:r>
        <w:t xml:space="preserve"> : induction de p21/WAF1 (inhibiteur de CDK), arrêt du cycle cellulaire en phase G1, inhibition de la prolifération lymphocytaire T autospécifique anti-MBP/anti-PLP (Proteolipid Protein) et anti-MOG (Myelin Oligodendrocyte Glycoprotein).</w:t>
      </w:r>
    </w:p>
    <w:p>
      <w:r>
        <w:t xml:space="preserve">  (iii) </w:t>
      </w:r>
      <w:r>
        <w:rPr>
          <w:b/>
        </w:rPr>
        <w:t>Effet immunomodulateur sur la polarisation Th1/Th2/Th17</w:t>
      </w:r>
      <w:r>
        <w:t xml:space="preserve"> : l'IFNβ inhibe la production d'</w:t>
      </w:r>
      <w:r>
        <w:rPr>
          <w:b/>
        </w:rPr>
        <w:t>IL-12p70</w:t>
      </w:r>
      <w:r>
        <w:t xml:space="preserve"> par les macrophages activés (qui polarise les lymphocytes T naïfs vers Th1 pro-inflammatoire producteur d'IFNγ), inhibe la production d'</w:t>
      </w:r>
      <w:r>
        <w:rPr>
          <w:b/>
        </w:rPr>
        <w:t>IL-23</w:t>
      </w:r>
      <w:r>
        <w:t xml:space="preserve"> (qui polarise vers Th17 producteur d'IL-17, cytokine clé dans la physiopathologie de la SEP), et augmente la production d'</w:t>
      </w:r>
      <w:r>
        <w:rPr>
          <w:b/>
        </w:rPr>
        <w:t>IL-10</w:t>
      </w:r>
      <w:r>
        <w:t xml:space="preserve"> anti-inflammatoire par les monocytes et lymphocytes T régulateurs (Treg). Le résultat net est une </w:t>
      </w:r>
      <w:r>
        <w:rPr>
          <w:b/>
        </w:rPr>
        <w:t>bascule de la polarisation immune Th1/Th17 pro-inflammatoire vers Th2/Treg anti-inflammatoire</w:t>
      </w:r>
      <w:r>
        <w:t>.</w:t>
      </w:r>
    </w:p>
    <w:p>
      <w:r>
        <w:t xml:space="preserve">  (iv) </w:t>
      </w:r>
      <w:r>
        <w:rPr>
          <w:b/>
        </w:rPr>
        <w:t>Inhibition du trafic lymphocytaire à travers la BHE</w:t>
      </w:r>
      <w:r>
        <w:t xml:space="preserve"> : l'IFNβ réduit l'expression de la métalloprotéinase </w:t>
      </w:r>
      <w:r>
        <w:rPr>
          <w:b/>
        </w:rPr>
        <w:t>MMP-9</w:t>
      </w:r>
      <w:r>
        <w:t xml:space="preserve"> (qui dégrade la matrice extracellulaire périvasculaire et facilite la diapédèse trans-endothéliale des lymphocytes T), réduit l'expression de </w:t>
      </w:r>
      <w:r>
        <w:rPr>
          <w:b/>
        </w:rPr>
        <w:t>VLA-4 (α4β1 integrin)</w:t>
      </w:r>
      <w:r>
        <w:t xml:space="preserve"> à la surface des lymphocytes (diminuant leur adhésion à VCAM-1 exprimée sur l'endothélium cérébral activé), et augmente l'expression de la sVCAM-1 soluble (qui peut capter les lymphocytes circulants en périphérie, les empêchant d'atteindre le SNC).</w:t>
      </w:r>
    </w:p>
    <w:p>
      <w:r>
        <w:t xml:space="preserve">  (v) </w:t>
      </w:r>
      <w:r>
        <w:rPr>
          <w:b/>
        </w:rPr>
        <w:t>Effet sur la présentation antigénique</w:t>
      </w:r>
      <w:r>
        <w:t xml:space="preserve"> : réduction de l'expression du </w:t>
      </w:r>
      <w:r>
        <w:rPr>
          <w:b/>
        </w:rPr>
        <w:t>MHC-II</w:t>
      </w:r>
      <w:r>
        <w:t xml:space="preserve"> et de la molécule de costimulation </w:t>
      </w:r>
      <w:r>
        <w:rPr>
          <w:b/>
        </w:rPr>
        <w:t>B7-1 (CD80)</w:t>
      </w:r>
      <w:r>
        <w:t xml:space="preserve"> sur les cellules présentatrices d'antigène (CPA), diminuant la qualité de l'activation lymphocytaire T anti-myéline.</w:t>
      </w:r>
    </w:p>
    <w:p>
      <w:r>
        <w:t xml:space="preserve">  (vi) </w:t>
      </w:r>
      <w:r>
        <w:rPr>
          <w:b/>
        </w:rPr>
        <w:t>Effet neuroprotecteur potentiel</w:t>
      </w:r>
      <w:r>
        <w:t xml:space="preserve"> : induction de </w:t>
      </w:r>
      <w:r>
        <w:rPr>
          <w:b/>
        </w:rPr>
        <w:t>BDNF</w:t>
      </w:r>
      <w:r>
        <w:t xml:space="preserve"> (Brain-Derived Neurotrophic Factor) par les cellules gliales et neuronales, effet anti-apoptotique sur les oligodendrocytes, réduction de l'excitotoxicité glutamatergique. Cet effet neuroprotecteur reste débattu mais pourrait expliquer le ralentissement discrêt de l'atrophie cérébrale observé sous IFNβ vs placebo.</w:t>
      </w:r>
    </w:p>
    <w:p>
      <w:r/>
      <w:r>
        <w:rPr>
          <w:b/>
        </w:rPr>
        <w:t>Profil Pharmacologique :</w:t>
      </w:r>
      <w:r/>
    </w:p>
    <w:p>
      <w:pPr>
        <w:pStyle w:val="ListBullet"/>
      </w:pPr>
      <w:r/>
      <w:r>
        <w:rPr>
          <w:b/>
        </w:rPr>
        <w:t>Indications</w:t>
      </w:r>
      <w:r>
        <w:t xml:space="preserve"> :</w:t>
      </w:r>
    </w:p>
    <w:p>
      <w:pPr>
        <w:pStyle w:val="ListBullet"/>
      </w:pPr>
      <w:r>
        <w:t>SEP récurrente-rémittente (SEP-RR) active modérée chez l'adulte (indication princeps) — réduction de la fréquence des poussées et de l'activité IRM</w:t>
      </w:r>
    </w:p>
    <w:p>
      <w:pPr>
        <w:pStyle w:val="ListBullet"/>
      </w:pPr>
      <w:r>
        <w:t>SEP-RR chez le patient naïf de traitement (première ligne) ou après switch depuis un autre traitement de fond mal toléré ou inefficace</w:t>
      </w:r>
    </w:p>
    <w:p>
      <w:pPr>
        <w:pStyle w:val="ListBullet"/>
      </w:pPr>
      <w:r>
        <w:t>Syndrome clinique isolé (CIS) évocateur de SEP à haut risque de conversion en SEP cliniquement définie selon critères de McDonald (indication spécifique Avonex, Betaferon)</w:t>
      </w:r>
    </w:p>
    <w:p>
      <w:pPr>
        <w:pStyle w:val="ListBullet"/>
      </w:pPr>
      <w:r>
        <w:t>En pédiatrie : SEP-RR de l'enfant &gt; 12 ans (Avonex, Rebif, Betaferon)</w:t>
      </w:r>
    </w:p>
    <w:p>
      <w:pPr>
        <w:pStyle w:val="ListBullet"/>
      </w:pPr>
      <w:r>
        <w:t>Hors AMM : formes à risque intermédiaire chez femme en âge de procréer (compatibilité grossesse CRAT)</w:t>
      </w:r>
    </w:p>
    <w:p>
      <w:pPr>
        <w:pStyle w:val="ListBullet"/>
      </w:pPr>
      <w:r/>
      <w:r>
        <w:rPr>
          <w:b/>
        </w:rPr>
        <w:t>Contre-indications</w:t>
      </w:r>
      <w:r>
        <w:t xml:space="preserve"> :</w:t>
      </w:r>
    </w:p>
    <w:p>
      <w:pPr>
        <w:pStyle w:val="ListBullet"/>
      </w:pPr>
      <w:r>
        <w:t>Hypersensibilité connue à l'IFNβ recombinant ou à l'un des excipients (albumine humaine, mannitol, etc.)</w:t>
      </w:r>
    </w:p>
    <w:p>
      <w:pPr>
        <w:pStyle w:val="ListBullet"/>
      </w:pPr>
      <w:r>
        <w:t>Dépression sévère non contrôlée, antécédents de tentative de suicide, idées suicidaires actives (l'IFNβ peut aggraver la symptomatologie dépressive — risque suicidaire)</w:t>
      </w:r>
    </w:p>
    <w:p>
      <w:pPr>
        <w:pStyle w:val="ListBullet"/>
      </w:pPr>
      <w:r>
        <w:t>Épilepsie non contrôlée (l'IFNβ peut abaisser le seuil épileptogène)</w:t>
      </w:r>
    </w:p>
    <w:p>
      <w:pPr>
        <w:pStyle w:val="ListBullet"/>
      </w:pPr>
      <w:r>
        <w:t>Insuffisance hépatique sévère (Child-Pugh C) — cytolyse additive</w:t>
      </w:r>
    </w:p>
    <w:p>
      <w:pPr>
        <w:pStyle w:val="ListBullet"/>
      </w:pPr>
      <w:r>
        <w:t>Cirrhose décompensée</w:t>
      </w:r>
    </w:p>
    <w:p>
      <w:pPr>
        <w:pStyle w:val="ListBullet"/>
      </w:pPr>
      <w:r>
        <w:t>Grossesse : non, l'IFNβ est compatible selon le CRAT (cf. section Grossesse)</w:t>
      </w:r>
    </w:p>
    <w:p>
      <w:pPr>
        <w:pStyle w:val="ListBullet"/>
      </w:pPr>
      <w:r>
        <w:t>Allaitement : à éviter par prudence (données limitées), discuter au cas par cas</w:t>
      </w:r>
    </w:p>
    <w:p>
      <w:pPr>
        <w:pStyle w:val="ListBullet"/>
      </w:pPr>
      <w:r>
        <w:t>Prudence : insuffisance rénale sévère, myélosuppression préexistante, hypothyroïdie non contrôlée, maladie auto-immune associée (lupus, Gougerot-Sjögren)</w:t>
      </w:r>
    </w:p>
    <w:p>
      <w:pPr>
        <w:pStyle w:val="ListBullet"/>
      </w:pPr>
      <w:r/>
      <w:r>
        <w:rPr>
          <w:b/>
        </w:rPr>
        <w:t>Effets Indésirables</w:t>
      </w:r>
      <w:r>
        <w:t xml:space="preserve"> :</w:t>
      </w:r>
    </w:p>
    <w:p>
      <w:pPr>
        <w:pStyle w:val="ListBullet"/>
      </w:pPr>
      <w:r/>
      <w:r>
        <w:rPr>
          <w:b/>
        </w:rPr>
        <w:t>Syndrome pseudo-grippal post-injection</w:t>
      </w:r>
      <w:r>
        <w:t xml:space="preserve"> (quasi-constant les premières semaines, s'atténue ensuite) : fièvre (38-39 °C), frissons, myalgies, arthralgies, céphalées, asthénie, syndrome grippal franc dans les 6-12 h suivant l'injection, résolutif en 24 h. Atténué par prémédication paracétamol 1 g ou ibuprofène 400 mg 30 min avant et 6-12 h après l'injection.</w:t>
      </w:r>
    </w:p>
    <w:p>
      <w:pPr>
        <w:pStyle w:val="ListBullet"/>
      </w:pPr>
      <w:r/>
      <w:r>
        <w:rPr>
          <w:b/>
        </w:rPr>
        <w:t>Réactions au site d'injection SC</w:t>
      </w:r>
      <w:r>
        <w:t xml:space="preserve"> (50-90 % des patients au moins une fois) : érythème, induration, douleur, prurit localisés, résolutifs en 24-48 h. Plus rarement : </w:t>
      </w:r>
      <w:r>
        <w:rPr>
          <w:b/>
        </w:rPr>
        <w:t>nécrose cutanée</w:t>
      </w:r>
      <w:r>
        <w:t xml:space="preserve"> (0,3-3 % des patients sous IFNβ-1b Betaferon, moins sous IFNβ-1a), nécessitant arrêt définitif du traitement et prise en charge cicatricielle chirurgicale. Prévention par rotation des sites d'injection (cuisses, abdomen, fesses, bras), massage doux post-injection, éviter injections en peau lésée.</w:t>
      </w:r>
    </w:p>
    <w:p>
      <w:pPr>
        <w:pStyle w:val="ListBullet"/>
      </w:pPr>
      <w:r/>
      <w:r>
        <w:rPr>
          <w:b/>
        </w:rPr>
        <w:t>Effets biologiques</w:t>
      </w:r>
      <w:r>
        <w:t xml:space="preserve"> : </w:t>
      </w:r>
      <w:r>
        <w:rPr>
          <w:b/>
        </w:rPr>
        <w:t>leuconeutropénie</w:t>
      </w:r>
      <w:r>
        <w:t xml:space="preserve"> (10-30 %, généralement modérée, &lt;1,5 G/L), thrombopénie modérée, </w:t>
      </w:r>
      <w:r>
        <w:rPr>
          <w:b/>
        </w:rPr>
        <w:t>cytolyse hépatique</w:t>
      </w:r>
      <w:r>
        <w:t xml:space="preserve"> (transaminases ALAT/ASAT &lt;3× LSN dans 20-30 %, &gt;5× LSN dans 1-3 %), rarement hépatite autoimmune (surveillance ASAT/ALAT/GGT/paliers phosphatases alcalines mensuels 3 mois puis trimestriels). </w:t>
      </w:r>
      <w:r>
        <w:rPr>
          <w:b/>
        </w:rPr>
        <w:t>Thyroidites auto-immunes</w:t>
      </w:r>
      <w:r>
        <w:t xml:space="preserve"> (hypothyroïdie ~5-10 %, hyperthyroïdie transitoire ~2-3 %) — surveillance TSH trimestrielle première année puis annuelle.</w:t>
      </w:r>
    </w:p>
    <w:p>
      <w:pPr>
        <w:pStyle w:val="ListBullet"/>
      </w:pPr>
      <w:r/>
      <w:r>
        <w:rPr>
          <w:b/>
        </w:rPr>
        <w:t>Effets neuropsychiatriques</w:t>
      </w:r>
      <w:r>
        <w:t xml:space="preserve"> : dépression (5-20 %, aggravation d'une dépression préexistante ou induction de novo), idées suicidaires (rare mais à surveiller — classement en « effet indésirable majeur » par ANSM), anxiété, troubles du sommeil, irritabilité.</w:t>
      </w:r>
    </w:p>
    <w:p>
      <w:pPr>
        <w:pStyle w:val="ListBullet"/>
      </w:pPr>
      <w:r/>
      <w:r>
        <w:rPr>
          <w:b/>
        </w:rPr>
        <w:t>Effets cardiovasculaires</w:t>
      </w:r>
      <w:r>
        <w:t xml:space="preserve"> : rares — palpitations, tachycardie transitoire, flush. Pas de cardiotoxicité spécifique.</w:t>
      </w:r>
    </w:p>
    <w:p>
      <w:pPr>
        <w:pStyle w:val="ListBullet"/>
      </w:pPr>
      <w:r/>
      <w:r>
        <w:rPr>
          <w:b/>
        </w:rPr>
        <w:t>Immunogénicité</w:t>
      </w:r>
      <w:r>
        <w:t xml:space="preserve"> (anticorps neutralisants — Nab) : 5-40 % des patients développent des Nab après 6-24 mois de traitement, prévalence variable selon molécule (IFNβ-1b Betaferon ~30-40 %, IFNβ-1a SC Rebif 44 µg ~15-25 %, IFNβ-1a IM Avonex ~5-10 % — la voie IM moins immunogène que SC). Les Nab abolissent l'efficacité clinique et radiologique : réapparition des poussées, activité IRM, justifiant le switch vers une autre classe (glatiramer, natalizumab, fingolimod, ocrélizumab).</w:t>
      </w:r>
    </w:p>
    <w:p>
      <w:pPr>
        <w:pStyle w:val="ListBullet"/>
      </w:pPr>
      <w:r/>
      <w:r>
        <w:rPr>
          <w:b/>
        </w:rPr>
        <w:t>Effets rares mais graves</w:t>
      </w:r>
      <w:r>
        <w:t xml:space="preserve"> : anaphylaxie (rare), syndrome néphrotique (très rare), pancytopénie (rare), hépatite autoimmune, syndrome lupique, vascularite cutanée.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NFS-plaquettes, ASAT/ALAT/GGT/paliers phosphatases alcalines, créatinine, TSH, sérologies (VIH, VHB, VHC, JCV pour anticipation), β-hCG chez femme en âge de procréer, ECG (patient &gt; 50 ans ou ATCD cardiaque), examen neurologique de base avec EDSS (Expanded Disability Status Scale), IRM cérébrale et médullaire initiale (référence).</w:t>
      </w:r>
    </w:p>
    <w:p>
      <w:pPr>
        <w:pStyle w:val="ListBullet"/>
      </w:pPr>
      <w:r/>
      <w:r>
        <w:rPr>
          <w:b/>
        </w:rPr>
        <w:t>Prémédication systématique du syndrome pseudo-grippal</w:t>
      </w:r>
      <w:r>
        <w:t xml:space="preserve"> : paracétamol 1 g ou ibuprofène 400 mg 30 minutes avant l'injection, à renouveler à H6 et H12 si besoin. Pendant les 4-8 premières semaines, prémédication à chaque injection ; ensuite espacer puis arrêter si tolérance bonne.</w:t>
      </w:r>
    </w:p>
    <w:p>
      <w:pPr>
        <w:pStyle w:val="ListBullet"/>
      </w:pPr>
      <w:r/>
      <w:r>
        <w:rPr>
          <w:b/>
        </w:rPr>
        <w:t>Éducation à l'auto-injection SC</w:t>
      </w:r>
      <w:r>
        <w:t xml:space="preserve"> : formation par infirmière d'éducation thérapeutique (ETP) — hygiène des mains, désinfection site (alcool 70°), technique d'injection SC (angle 45° ou 90° selon aiguille), rotation systématique des sites (planification hebdomadaire), gestion des dispositifs (seringues préremplies, stylo RebiSmart pour cartouches Rebif), élimination des DASRI (Déchets d'Activités de Soins à Risques Infectieux — collecteur à aiguilles, retour pharmacie).</w:t>
      </w:r>
    </w:p>
    <w:p>
      <w:pPr>
        <w:pStyle w:val="ListBullet"/>
      </w:pPr>
      <w:r/>
      <w:r>
        <w:rPr>
          <w:b/>
        </w:rPr>
        <w:t>Surveillance biologique</w:t>
      </w:r>
      <w:r>
        <w:t xml:space="preserve"> : NFS + transaminases + TSH à M1, M3, M6 puis tous les 6 mois. Dépistage Nab entre 6 et 24 mois (en cas d'inefficacité clinique ou radiologique). IRM cérébrale annuelle (référence vs baseline).</w:t>
      </w:r>
    </w:p>
    <w:p>
      <w:pPr>
        <w:pStyle w:val="ListBullet"/>
      </w:pPr>
      <w:r/>
      <w:r>
        <w:rPr>
          <w:b/>
        </w:rPr>
        <w:t>Surveillance psychiatrique</w:t>
      </w:r>
      <w:r>
        <w:t xml:space="preserve"> : dépistage de la dépression (échelle HAD ou PHQ-9) à chaque consultation ; information du patient sur les signes d'alerte (tristesse, perte d'intérêt, idées noires) ; recours psychiatrique en cas de symptômes.</w:t>
      </w:r>
    </w:p>
    <w:p>
      <w:pPr>
        <w:pStyle w:val="ListBullet"/>
      </w:pPr>
      <w:r/>
      <w:r>
        <w:rPr>
          <w:b/>
        </w:rPr>
        <w:t>Surveillance dermatologique</w:t>
      </w:r>
      <w:r>
        <w:t xml:space="preserve"> : inspection des sites d'injection à chaque consultation ; arrêt immédiat en cas de lésion cutanée persistante ou suspecte de nécrose.</w:t>
      </w:r>
    </w:p>
    <w:p>
      <w:pPr>
        <w:pStyle w:val="ListBullet"/>
      </w:pPr>
      <w:r/>
      <w:r>
        <w:rPr>
          <w:b/>
        </w:rPr>
        <w:t>Conduite à Tenir</w:t>
      </w:r>
      <w:r>
        <w:t xml:space="preserve"> :</w:t>
      </w:r>
    </w:p>
    <w:p>
      <w:pPr>
        <w:pStyle w:val="ListBullet"/>
      </w:pPr>
      <w:r/>
      <w:r>
        <w:rPr>
          <w:b/>
        </w:rPr>
        <w:t>Syndrome pseudo-grippal persistant &gt; 3 mois</w:t>
      </w:r>
      <w:r>
        <w:t xml:space="preserve"> : discuter switch de molécule (Betaferon ↔ Avonex ↔ Rebif) ou switch de classe (glatiramer acétate sans syndrome pseudo-grippal).</w:t>
      </w:r>
    </w:p>
    <w:p>
      <w:pPr>
        <w:pStyle w:val="ListBullet"/>
      </w:pPr>
      <w:r/>
      <w:r>
        <w:rPr>
          <w:b/>
        </w:rPr>
        <w:t>Nécrose cutanée</w:t>
      </w:r>
      <w:r>
        <w:t xml:space="preserve"> : arrêt immédiat et définitif de l'IFNβ SC, consultation dermatologique/chirurgicale pour prise en charge cicatricielle, switch vers glatiramer ou autre classe.</w:t>
      </w:r>
    </w:p>
    <w:p>
      <w:pPr>
        <w:pStyle w:val="ListBullet"/>
      </w:pPr>
      <w:r/>
      <w:r>
        <w:rPr>
          <w:b/>
        </w:rPr>
        <w:t>Cytolyse hépatique &gt;5× LSN</w:t>
      </w:r>
      <w:r>
        <w:t xml:space="preserve"> : arrêt transitoire, contrôle à 2-4 semaines, reprise si normalisation à dose réduite ; arrêt définitif si cytolyse persistante ou hépatite autoimmune (recherche anticorps anti-muscle lisse, anti-LKM).</w:t>
      </w:r>
    </w:p>
    <w:p>
      <w:pPr>
        <w:pStyle w:val="ListBullet"/>
      </w:pPr>
      <w:r/>
      <w:r>
        <w:rPr>
          <w:b/>
        </w:rPr>
        <w:t>Leuconeutropénie &lt; 1,0 G/L</w:t>
      </w:r>
      <w:r>
        <w:t xml:space="preserve"> : arrêt transitoire, contrôle à 2 semaines, reprise à dose réduite si récupération ; arrêt définitif si persistance.</w:t>
      </w:r>
    </w:p>
    <w:p>
      <w:pPr>
        <w:pStyle w:val="ListBullet"/>
      </w:pPr>
      <w:r/>
      <w:r>
        <w:rPr>
          <w:b/>
        </w:rPr>
        <w:t>Dépression majeure ou idées suicidaires</w:t>
      </w:r>
      <w:r>
        <w:t xml:space="preserve"> : arrêt immédiat de l'IFNβ, prise en charge psychiatrique urgente, switch vers glatiramer acétate (sans effet dépressogène).</w:t>
      </w:r>
    </w:p>
    <w:p>
      <w:pPr>
        <w:pStyle w:val="ListBullet"/>
      </w:pPr>
      <w:r/>
      <w:r>
        <w:rPr>
          <w:b/>
        </w:rPr>
        <w:t>Nab positifs (&gt;5 mlU/mL) à 2 dosages consécutifs à 3 mois</w:t>
      </w:r>
      <w:r>
        <w:t xml:space="preserve"> : inefficacité clinique probable, switch vers autre classe (glatiramer, natalizumab, fingolimod, ocrélizumab selon profil patient).</w:t>
      </w:r>
    </w:p>
    <w:p>
      <w:pPr>
        <w:pStyle w:val="ListBullet"/>
      </w:pPr>
      <w:r/>
      <w:r>
        <w:rPr>
          <w:b/>
        </w:rPr>
        <w:t>Poussée sous traitement</w:t>
      </w:r>
      <w:r>
        <w:t xml:space="preserve"> : évaluation de la réponse thérapeutique (poussée unique = possible breakthrough, ≥2 poussées/an ou progression IRM = échece thérapeutique, switch vers haute efficacité recommandé selon critères ECTRIMS/EAN 2018-2024).</w:t>
      </w:r>
    </w:p>
    <w:p>
      <w:r/>
      <w:r>
        <w:rPr>
          <w:b/>
        </w:rPr>
        <w:t>Interactions Importantes :</w:t>
      </w:r>
      <w:r/>
    </w:p>
    <w:p>
      <w:pPr>
        <w:pStyle w:val="ListBullet"/>
      </w:pPr>
      <w:r/>
      <w:r>
        <w:rPr>
          <w:b/>
        </w:rPr>
        <w:t>IFNβ + vaccins vivants atténués (BCG, ROR, fièvre jaune, varicelle, rotavirus, oral polio)</w:t>
      </w:r>
      <w:r>
        <w:t xml:space="preserve"> : prudence — réponse immune lymphocytaire T potentiellement réduite, théoriquement déconseillés mais non strictement contre-indiqués (l'IFNβ n'est pas un immunosuppresseur profond). Préférer vaccination avant initiation ou vaccins inactivés.</w:t>
      </w:r>
    </w:p>
    <w:p>
      <w:pPr>
        <w:pStyle w:val="ListBullet"/>
      </w:pPr>
      <w:r/>
      <w:r>
        <w:rPr>
          <w:b/>
        </w:rPr>
        <w:t>IFNβ + autres immunomodulateurs/immunosuppresseurs (azathioprine, méthotrexate, mitoxantrone, anti-TNFα, anti-CD20, fingolimod)</w:t>
      </w:r>
      <w:r>
        <w:t xml:space="preserve"> : associations déconseillées — risque d'immunosuppression additive et d'infections opportunistes. Ne pas combiner (sauf switch supervisé).</w:t>
      </w:r>
    </w:p>
    <w:p>
      <w:pPr>
        <w:pStyle w:val="ListBullet"/>
      </w:pPr>
      <w:r/>
      <w:r>
        <w:rPr>
          <w:b/>
        </w:rPr>
        <w:t>IFNβ + antiépileptiques inducteurs enzymatiques (phénytoïne, carbamazépine, phénobarbital, primidone)</w:t>
      </w:r>
      <w:r>
        <w:t xml:space="preserve"> : effet immuno-modulateur potentiellement réduit (induction CYP hépatique peut modifier la glycosylation de l'IFNβ-1a, impact théorique).</w:t>
      </w:r>
    </w:p>
    <w:p>
      <w:pPr>
        <w:pStyle w:val="ListBullet"/>
      </w:pPr>
      <w:r/>
      <w:r>
        <w:rPr>
          <w:b/>
        </w:rPr>
        <w:t>IFNβ + paracétamol/AINS</w:t>
      </w:r>
      <w:r>
        <w:t xml:space="preserve"> : prémédication recommandée, pas d'interaction pertinente.</w:t>
      </w:r>
    </w:p>
    <w:p>
      <w:pPr>
        <w:pStyle w:val="ListBullet"/>
      </w:pPr>
      <w:r/>
      <w:r>
        <w:rPr>
          <w:b/>
        </w:rPr>
        <w:t>IFNβ + antidépresseurs (ISRS, IRSN, tricycliques)</w:t>
      </w:r>
      <w:r>
        <w:t xml:space="preserve"> : pas d'interaction pharmacocinétique mais surveillance renforcée de la symptomatologie dépressive (potentialisation théorique du risque dépressogène de l'IFNβ).</w:t>
      </w:r>
    </w:p>
    <w:p>
      <w:pPr>
        <w:pStyle w:val="ListBullet"/>
      </w:pPr>
      <w:r/>
      <w:r>
        <w:rPr>
          <w:b/>
        </w:rPr>
        <w:t>IFNβ + lévothyroxine</w:t>
      </w:r>
      <w:r>
        <w:t xml:space="preserve"> : en cas d'hypothyroïdie induite par l'IFNβ, ajustement de la dose de lévothyroxine nécessaire (surveillance TSH trimestrielle).</w:t>
      </w:r>
    </w:p>
    <w:p>
      <w:r/>
      <w:r>
        <w:rPr>
          <w:b/>
        </w:rPr>
        <w:t>Grossesse et Allaitement :</w:t>
      </w:r>
      <w:r/>
    </w:p>
    <w:p>
      <w:pPr>
        <w:pStyle w:val="ListBullet"/>
      </w:pPr>
      <w:r/>
      <w:r>
        <w:rPr>
          <w:b/>
        </w:rPr>
        <w:t>Grossesse</w:t>
      </w:r>
      <w:r>
        <w:t xml:space="preserve"> : selon le CRAT, l'IFNβ (1a comme 1b) est </w:t>
      </w:r>
      <w:r>
        <w:rPr>
          <w:b/>
        </w:rPr>
        <w:t>compatible avec la grossesse</w:t>
      </w:r>
      <w:r>
        <w:t xml:space="preserve"> si nécessaire au maintien de la rémission. Les données observationnelles (registres internationaux, méta-analyses) ne montrent </w:t>
      </w:r>
      <w:r>
        <w:rPr>
          <w:b/>
        </w:rPr>
        <w:t>pas de sur-risque malformatif</w:t>
      </w:r>
      <w:r>
        <w:t xml:space="preserve"> (pas d'augmentation des malformations majeures, pas de syndrome polymalformatif spécifique). Cependant, le risque de faible poids de naissance et de prématurité (modeste, Odds Ratio ~1,5-2) a été signalé dans certaines cohortes, à interpréter avec prudence car lié en partie à la maladie elle-même. Recommandations 2024 (CRAT, ECTRIMS/EMPG) :</w:t>
      </w:r>
    </w:p>
    <w:p>
      <w:pPr>
        <w:pStyle w:val="ListBullet"/>
      </w:pPr>
      <w:r>
        <w:t>Maintenir l'IFNβ pendant la grossesse si la maladie est active (prévention des poussées qui sont dangereuses pour le fœtus).</w:t>
      </w:r>
    </w:p>
    <w:p>
      <w:pPr>
        <w:pStyle w:val="ListBullet"/>
      </w:pPr>
      <w:r>
        <w:t>Si la maladie est quiescente depuis &gt; 1 an, arrêt possible avant conception (discontinuation 1 mois avant conception — demi-vie courte IFNβ-1a SC ~50 h, IFNβ-1a IM ~19 h, IFNβ-1b ~8 min — ~5 demi-vies pour clairance complète).</w:t>
      </w:r>
    </w:p>
    <w:p>
      <w:pPr>
        <w:pStyle w:val="ListBullet"/>
      </w:pPr>
      <w:r>
        <w:t>En cas de poussée pendant la grossesse, perfusion de corticoïdes (méthylprednisolone 1 g IV J1-J3) autorisée (corticoïdes traversant peu le placenta au 1er trimestre, à éviter après S34 pour risque surrénale fœtale — préférer la prednisolone qui se dégrade par placentaire 11β-HSD2).</w:t>
      </w:r>
    </w:p>
    <w:p>
      <w:pPr>
        <w:pStyle w:val="ListBullet"/>
      </w:pPr>
      <w:r/>
      <w:r>
        <w:rPr>
          <w:b/>
        </w:rPr>
        <w:t>Allaitement</w:t>
      </w:r>
      <w:r>
        <w:t xml:space="preserve"> : selon le CRAT, l'IFNβ est </w:t>
      </w:r>
      <w:r>
        <w:rPr>
          <w:b/>
        </w:rPr>
        <w:t>compatible avec l'allaitement</w:t>
      </w:r>
      <w:r>
        <w:t xml:space="preserve"> par prudence. Les IFNβ sont des protéines dégradées par les enzymes digestives du nourrisson (pepsine, trypsine) avec un passage systémique négligeable. Données limitées mais rassurantes. Décision au cas par cas avec la patiente.</w:t>
      </w:r>
    </w:p>
    <w:p>
      <w:pPr>
        <w:pStyle w:val="ListBullet"/>
      </w:pPr>
      <w:r/>
      <w:r>
        <w:rPr>
          <w:b/>
        </w:rPr>
        <w:t>Précisions</w:t>
      </w:r>
      <w:r>
        <w:t xml:space="preserve"> : la planification de la grossesse est un élément clé de la prise en charge de la SEP féminine. Les biothérapies non compatibles (fingolimod, mitoxantrone, diméthyl fumarate pour certains auteurs, natalizumab avec prudence) doivent être arrêtées avant conception avec un délai de wash-out variable (fingolimod : 2 mois ; diméthyl fumarate : pas de wash-out mais à éviter par prudence ; natalizumab : continuer jusqu'en fin de 2e trimestre puis arrêt, voire maintenir jusqu'au 3e trimestre si maladie très active avec risque de poussée post-partum). L'IFNβ est souvent le traitement "pont" pendant la période conception-grossesse-allaitement chez les femmes SEP modérées. Le risque de poussée post-partum (40 % de femmes SEP font une poussée dans les 6 mois suivant l'accouchement — rebond immunologique post-gravidique) justifie la reprise précoce du traitement de fond après l'accouchement.</w:t>
      </w:r>
    </w:p>
    <w:p>
      <w:r/>
      <w:r>
        <w:rPr>
          <w:b/>
        </w:rPr>
        <w:t>Posologie et Mode d'administration (Standard) :</w:t>
      </w:r>
      <w:r/>
    </w:p>
    <w:p>
      <w:pPr>
        <w:pStyle w:val="ListBullet"/>
      </w:pPr>
      <w:r/>
      <w:r>
        <w:rPr>
          <w:b/>
        </w:rPr>
        <w:t>Adulte</w:t>
      </w:r>
      <w:r>
        <w:t xml:space="preserve"> :</w:t>
      </w:r>
    </w:p>
    <w:p>
      <w:pPr>
        <w:pStyle w:val="ListBullet"/>
      </w:pPr>
      <w:r/>
      <w:r>
        <w:rPr>
          <w:b/>
        </w:rPr>
        <w:t>IFNβ-1a IM (Avonex, Cinnox)</w:t>
      </w:r>
      <w:r>
        <w:t xml:space="preserve"> : 30 µg (6 MIU) IM une fois par semaine, jour fixe (ex : chaque mercredi soir pour minimiser l'impact du syndrome pseudo-grippal sur la vie sociale).</w:t>
      </w:r>
    </w:p>
    <w:p>
      <w:pPr>
        <w:pStyle w:val="ListBullet"/>
      </w:pPr>
      <w:r/>
      <w:r>
        <w:rPr>
          <w:b/>
        </w:rPr>
        <w:t>IFNβ-1a SC (Rebif)</w:t>
      </w:r>
      <w:r>
        <w:t xml:space="preserve"> : 22 µg (6 MIU) SC 3 fois/semaine en initiation, escalade à 44 µg (12 MIU) SC 3 fois/semaine après 2-4 semaines si tolérance bonne (dose efficace pleine). Jours fixes (ex : lundi-mercredi-vendredi soir). À noter : la dose 44 µg SC x3/sem est la dose princeps la plus efficace.</w:t>
      </w:r>
    </w:p>
    <w:p>
      <w:pPr>
        <w:pStyle w:val="ListBullet"/>
      </w:pPr>
      <w:r/>
      <w:r>
        <w:rPr>
          <w:b/>
        </w:rPr>
        <w:t>IFNβ-1a SC (Recigen, Cinnovex)</w:t>
      </w:r>
      <w:r>
        <w:t xml:space="preserve"> : 44 µg SC 3 fois/semaine (Recigen) ou 30 µg SC une fois/semaine (Cinnovex — schéma biosimilaire Avonex en voie SC).</w:t>
      </w:r>
    </w:p>
    <w:p>
      <w:pPr>
        <w:pStyle w:val="ListBullet"/>
      </w:pPr>
      <w:r/>
      <w:r>
        <w:rPr>
          <w:b/>
        </w:rPr>
        <w:t>IFNβ-1b SC (Betaferon)</w:t>
      </w:r>
      <w:r>
        <w:t xml:space="preserve"> : 250 µg (8 MIU) SC un jour sur deux (3,5 fois/semaine en moyenne), soit ~3 injections par semaine à jours alternés.</w:t>
      </w:r>
    </w:p>
    <w:p>
      <w:pPr>
        <w:pStyle w:val="ListBullet"/>
      </w:pPr>
      <w:r/>
      <w:r>
        <w:rPr>
          <w:b/>
        </w:rPr>
        <w:t>Mode d'administration</w:t>
      </w:r>
      <w:r>
        <w:t xml:space="preserve"> : injection SC stricte (Rebif, Betaferon, Recigen, Cinnovex) ou IM stricte (Avonex), dans les sites recommandés : abdomen (sauf périmbilical 5 cm), cuisses antéro-externes, fesses supéro-externes, bras deltоïdiens (pour IM surtout). Rotation systématique des sites. Avonex : seringue préremplie ou stylo auto-injecteur (Avonex Pen). Rebif : seringue préremplie ou stylo électronique RebiSmart (mémoire des injections, aide à l'observance). Betaferon : reconstitution manuelle (poudre + solvant), technique plus complexe.</w:t>
      </w:r>
    </w:p>
    <w:p>
      <w:pPr>
        <w:pStyle w:val="ListBullet"/>
      </w:pPr>
      <w:r/>
      <w:r>
        <w:rPr>
          <w:b/>
        </w:rPr>
        <w:t>Sujet âgé</w:t>
      </w:r>
      <w:r>
        <w:t xml:space="preserve"> : l'IFNβ n'est pas contre-indiqué chez le sujet âgé (&gt; 65 ans), mais la SEP est rarement diagnostiquée tardivement. Surveillance hépatique et rénale renforcée, prudence avec les comorbidités (dépression, épilepsie, cardiopathies). Adaptation au cas par cas.</w:t>
      </w:r>
    </w:p>
    <w:p>
      <w:pPr>
        <w:pStyle w:val="ListBullet"/>
      </w:pPr>
      <w:r/>
      <w:r>
        <w:rPr>
          <w:b/>
        </w:rPr>
        <w:t>Durée</w:t>
      </w:r>
      <w:r>
        <w:t xml:space="preserve"> : traitement au long cours, indéterminé. Réévaluation annuelle de la tolérance et de l'efficacité. Arrêt à discuter en cas de : (i) inefficacité (poussées malgré traitement bien conduit — switch vers haute efficacité) ; (ii) intolérance grave ; (iii) progression vers SEP progressive secondaire sans activité inflammatoire (l'IFNβ n'est plus indiqué dans les formes progressives pures — arrêt recommandé par ECTRIMS/EAN) ; (iv) projet de grossesse (selon planification ci-dessus).</w:t>
      </w:r>
    </w:p>
    <w:p>
      <w:pPr>
        <w:pStyle w:val="ListBullet"/>
      </w:pPr>
      <w:r/>
      <w:r>
        <w:rPr>
          <w:b/>
        </w:rPr>
        <w:t>Moment de prise</w:t>
      </w:r>
      <w:r>
        <w:t xml:space="preserve"> : injections en soirée (préférable — syndrome pseudo-grippal nocturne moins génant) ; jour fixe hebdomadaire (Avonex) ou jours fixes tri-hebdomadaires (Rebif, Betaferon, Recigen, Cinnovex).</w:t>
      </w:r>
    </w:p>
    <w:p>
      <w:r/>
      <w:r>
        <w:rPr>
          <w:b/>
        </w:rPr>
        <w:t>Arbitrage et Bénéfices des Formes Galéniques :</w:t>
      </w:r>
      <w:r/>
    </w:p>
    <w:p>
      <w:pPr>
        <w:pStyle w:val="ListBullet"/>
      </w:pPr>
      <w:r/>
      <w:r>
        <w:rPr>
          <w:b/>
        </w:rPr>
        <w:t>Seringues préremplies (Rebif, Recigen, Cinnovex, Avonex)</w:t>
      </w:r>
      <w:r>
        <w:t xml:space="preserve"> : simplicité d'usage, pas de reconstitution, idéal pour initiation. Contrôle visuel de la dose, de l'absence de bulles.</w:t>
      </w:r>
    </w:p>
    <w:p>
      <w:pPr>
        <w:pStyle w:val="ListBullet"/>
      </w:pPr>
      <w:r/>
      <w:r>
        <w:rPr>
          <w:b/>
        </w:rPr>
        <w:t>Cartouches pour stylo électronique (Rebif 22 et 44 µg en cartouche de 1,5 mL, compatible RebiSmart)</w:t>
      </w:r>
      <w:r>
        <w:t xml:space="preserve"> : le stylo RebiSmart offre l'</w:t>
      </w:r>
      <w:r>
        <w:rPr>
          <w:b/>
        </w:rPr>
        <w:t>auto-injection électronique</w:t>
      </w:r>
      <w:r>
        <w:t xml:space="preserve"> avec mémoire des doses, des dates et des sites (aide à l'observance, particulièrement utile chez les patients observance difficile ou mémoire défaillante). Coût plus élevé mais confort d'usage supérieur.</w:t>
      </w:r>
    </w:p>
    <w:p>
      <w:pPr>
        <w:pStyle w:val="ListBullet"/>
      </w:pPr>
      <w:r/>
      <w:r>
        <w:rPr>
          <w:b/>
        </w:rPr>
        <w:t>Poudre + solvant à reconstituer (Betaferon)</w:t>
      </w:r>
      <w:r>
        <w:t xml:space="preserve"> : technique plus complexe (reconstitution manuelle avec solvant fourni, dosage 250 µg/mL), mais stabilité longue, coût potentiellement réduit. À réserver aux patients formés et acceptant la manipulation.</w:t>
      </w:r>
    </w:p>
    <w:p>
      <w:pPr>
        <w:pStyle w:val="ListBullet"/>
      </w:pPr>
      <w:r/>
      <w:r>
        <w:rPr>
          <w:b/>
        </w:rPr>
        <w:t>Voie IM vs SC</w:t>
      </w:r>
      <w:r>
        <w:t xml:space="preserve"> : Avonex IM (1 injection/sem) — moins d'injections, moins de réactions cutanées locales, mais injection IM plus douloureuse et techniquement plus difficile (auto-injection fessière ou deltоïdienne difficile). Voie SC (Rebif, Betaferon, Recigen, Cinnovex) — injection plus facile (auto-administration simple), mais réactions cutanées plus fréquentes et fréquence plus élevée (3x/sem pour Rebif, 3,5x/sem pour Betaferon).</w:t>
      </w:r>
    </w:p>
    <w:p>
      <w:pPr>
        <w:pStyle w:val="ListBullet"/>
      </w:pPr>
      <w:r/>
      <w:r>
        <w:rPr>
          <w:b/>
        </w:rPr>
        <w:t>Chaîne du froid</w:t>
      </w:r>
      <w:r>
        <w:t xml:space="preserve"> : conservation à +2-8 °C (réfrigérateur), ne pas congeler, à conserver dans l'emballage extérieur (protection lumière). Transport en sac isotherme avec accumulateur de froid. À utilisation : sortir la seringue 10-15 minutes avant pour revenir à température ambiante (réduit la douleur à l'injection). Stabilité limitée à température ambiante (≤25 °C) : 24-48 h pour la plupart des IFNβ.</w:t>
      </w:r>
    </w:p>
    <w:p>
      <w:r/>
      <w:r>
        <w:rPr>
          <w:b/>
        </w:rPr>
        <w:t>Instructions et Conseils au Patient :</w:t>
      </w:r>
      <w:r/>
    </w:p>
    <w:p>
      <w:pPr>
        <w:pStyle w:val="ListBullet"/>
      </w:pPr>
      <w:r/>
      <w:r>
        <w:rPr>
          <w:b/>
        </w:rPr>
        <w:t>Communication au comptoir</w:t>
      </w:r>
      <w:r>
        <w:t xml:space="preserve"> :</w:t>
      </w:r>
    </w:p>
    <w:p>
      <w:pPr>
        <w:pStyle w:val="ListBullet"/>
      </w:pPr>
      <w:r>
        <w:t>"Ce traitement est un traitement de fond de votre SEP : il réduit la fréquence et la sévérité des poussées, mais ne traite pas les symptômes au quotidien (fatigue, spasticité, douleurs). Il est à prendre au long cours, plusieurs années."</w:t>
      </w:r>
    </w:p>
    <w:p>
      <w:pPr>
        <w:pStyle w:val="ListBullet"/>
      </w:pPr>
      <w:r>
        <w:t>"Les premiers effets indésirables (fièvre, frissons, courbatures après injection) sont quasi constants en début de traitement, s'atténuent après quelques semaines. Prémédication par paracétamol recommandée."</w:t>
      </w:r>
    </w:p>
    <w:p>
      <w:pPr>
        <w:pStyle w:val="ListBullet"/>
      </w:pPr>
      <w:r>
        <w:t>"Surveillez votre humeur : si vous vous sentez triste, découragée, ou si des idées noires apparaissent, prévenez votre neurologue — l'interféron peut aggraver une dépression."</w:t>
      </w:r>
    </w:p>
    <w:p>
      <w:pPr>
        <w:pStyle w:val="ListBullet"/>
      </w:pPr>
      <w:r>
        <w:t>"Faites les prises de sang prescrites (NFS, transaminases, TSH) — surveillance indispensable."</w:t>
      </w:r>
    </w:p>
    <w:p>
      <w:pPr>
        <w:pStyle w:val="ListBullet"/>
      </w:pPr>
      <w:r>
        <w:t>"Ne jamais arrêter brutalement sans avis médical — risque de rebond inflammatoire."</w:t>
      </w:r>
    </w:p>
    <w:p>
      <w:pPr>
        <w:pStyle w:val="ListBullet"/>
      </w:pPr>
      <w:r>
        <w:t>"Signalez tout projet de grossesse à votre neurologue — l'interféron est compatible, mais une planification est nécessaire."</w:t>
      </w:r>
    </w:p>
    <w:p>
      <w:pPr>
        <w:pStyle w:val="ListBullet"/>
      </w:pPr>
      <w:r/>
      <w:r>
        <w:rPr>
          <w:b/>
        </w:rPr>
        <w:t>Mode d'utilisation pratique</w:t>
      </w:r>
      <w:r>
        <w:t xml:space="preserve"> :</w:t>
      </w:r>
    </w:p>
    <w:p>
      <w:pPr>
        <w:pStyle w:val="ListBullet"/>
      </w:pPr>
      <w:r/>
      <w:r>
        <w:rPr>
          <w:b/>
        </w:rPr>
        <w:t>Préparation</w:t>
      </w:r>
      <w:r>
        <w:t xml:space="preserve"> : sortir la seringue du réfrigérateur 15 minutes avant. Se laver les mains. Vérifier la date de péremption, l'aspect de la solution (limpide, sans particules). Désinfecter le site d'injection avec un coton imbibé d'alcool 70°.</w:t>
      </w:r>
    </w:p>
    <w:p>
      <w:pPr>
        <w:pStyle w:val="ListBullet"/>
      </w:pPr>
      <w:r/>
      <w:r>
        <w:rPr>
          <w:b/>
        </w:rPr>
        <w:t>Injection</w:t>
      </w:r>
      <w:r>
        <w:t xml:space="preserve"> : pincer le pli cutané (pour SC), insérer l'aiguille à 45° ou 90° selon la longueur d'aiguille, injecter lentement, retirer l'aiguille, exercer une pression douce avec un coton (ne pas masser). Eliminer la seringue dans le collecteur à aiguilles.</w:t>
      </w:r>
    </w:p>
    <w:p>
      <w:pPr>
        <w:pStyle w:val="ListBullet"/>
      </w:pPr>
      <w:r/>
      <w:r>
        <w:rPr>
          <w:b/>
        </w:rPr>
        <w:t>Rotation des sites</w:t>
      </w:r>
      <w:r>
        <w:t xml:space="preserve"> : tenir un carnet d'injection ou utiliser le stylo électronique RebiSmart qui mémorise les sites. Ne jamais injecter au même endroit deux fois de suite. Éviter les zones lésées, indurées ou tatouées.</w:t>
      </w:r>
    </w:p>
    <w:p>
      <w:pPr>
        <w:pStyle w:val="ListBullet"/>
      </w:pPr>
      <w:r/>
      <w:r>
        <w:rPr>
          <w:b/>
        </w:rPr>
        <w:t>Stockage à domicile</w:t>
      </w:r>
      <w:r>
        <w:t xml:space="preserve"> : réfrigérateur (+2-8 °C, porte du bas ou compartiment spécial), ne pas exposer à la lumière, vérifier la température régulièrement.</w:t>
      </w:r>
    </w:p>
    <w:p>
      <w:r/>
      <w:r>
        <w:rPr>
          <w:b/>
        </w:rPr>
        <w:t>Notes, Règles d'Or &amp; Pièges au Comptoir :</w:t>
      </w:r>
      <w:r/>
    </w:p>
    <w:p>
      <w:pPr>
        <w:pStyle w:val="ListBullet"/>
      </w:pPr>
      <w:r/>
      <w:r>
        <w:rPr>
          <w:b/>
        </w:rPr>
        <w:t>Piège classique</w:t>
      </w:r>
      <w:r>
        <w:t xml:space="preserve"> : la confusion entre les différents IFNβ (1a IM hebdo, 1a SC tri-hebdo, 1b SC jour sur deux) — un patient sous Avonex ne doit pas passer à 3 injections/semaine sans réévaluation neurologique. Vérifier systématiquement la prescription : nom de marque, dosage, voie (SC ou IM), fréquence (hebdo, tri-hebdo, jour sur deux).</w:t>
      </w:r>
    </w:p>
    <w:p>
      <w:pPr>
        <w:pStyle w:val="ListBullet"/>
      </w:pPr>
      <w:r/>
      <w:r>
        <w:rPr>
          <w:b/>
        </w:rPr>
        <w:t>Piège de la nécrose cutanée</w:t>
      </w:r>
      <w:r>
        <w:t xml:space="preserve"> : une lésion persistante au site d'injection &gt; 1 semaine, indurée, douloureuse, évoluant vers une ulcération nécrotique = arrêt immédiat et définitif de l'IFNβ SC et consultation dermatologique. Ne jamais réinjecter dans une zone lésée.</w:t>
      </w:r>
    </w:p>
    <w:p>
      <w:pPr>
        <w:pStyle w:val="ListBullet"/>
      </w:pPr>
      <w:r/>
      <w:r>
        <w:rPr>
          <w:b/>
        </w:rPr>
        <w:t>Piège dépression/suicide</w:t>
      </w:r>
      <w:r>
        <w:t xml:space="preserve"> : idées noires, tristesse inhabituelle, perte d'intérêt, insomnie récente chez un patient sous IFNβ = arrêt immédiat et avis psychiatrique urgent. Ne pas attribuer à tort à la « fatigue de la SEP ».</w:t>
      </w:r>
    </w:p>
    <w:p>
      <w:pPr>
        <w:pStyle w:val="ListBullet"/>
      </w:pPr>
      <w:r/>
      <w:r>
        <w:rPr>
          <w:b/>
        </w:rPr>
        <w:t>Piège Nab</w:t>
      </w:r>
      <w:r>
        <w:t xml:space="preserve"> : inefficacité après 6-24 mois de traitement = suspicion Nab, à confirmer par dosage. Ne pas multiplier les pushs de dose inutilement.</w:t>
      </w:r>
    </w:p>
    <w:p>
      <w:pPr>
        <w:pStyle w:val="ListBullet"/>
      </w:pPr>
      <w:r/>
      <w:r>
        <w:rPr>
          <w:b/>
        </w:rPr>
        <w:t>Règle de prise</w:t>
      </w:r>
      <w:r>
        <w:t xml:space="preserve"> : jour fixe hebdomadaire (Avonex) ou jours fixes tri-hebdomadaires à intervalle régulier (Rebif : lundi-mercredi-vendredi ; Betaferon : jours alternés). Prémédication paracétamol 1 g 30 min avant + H6 si besoin, surtout les premières semaines.</w:t>
      </w:r>
    </w:p>
    <w:p>
      <w:pPr>
        <w:pStyle w:val="ListBullet"/>
      </w:pPr>
      <w:r/>
      <w:r>
        <w:rPr>
          <w:b/>
        </w:rPr>
        <w:t>Préparation et Conservation</w:t>
      </w:r>
      <w:r>
        <w:t xml:space="preserve"> : conservation +2-8 °C (réfrigérateur, dans l'emballage extérieur), ne pas congeler, ne pas exposer à la lumière. Transport en sac isotherme avec accumulateur de froid. Sortir 15 min avant injection pour température ambiante. Vérifier péremption avant utilisation.</w:t>
      </w:r>
    </w:p>
    <w:p>
      <w:pPr>
        <w:pStyle w:val="ListBullet"/>
      </w:pPr>
      <w:r/>
      <w:r>
        <w:rPr>
          <w:b/>
        </w:rPr>
        <w:t>Piège du surdosage / Substitution</w:t>
      </w:r>
      <w:r>
        <w:t xml:space="preserve"> : ne pas substituer un IFNβ par un autre sans avis neurologique (différences de voie, de fréquence, de dosage, d'immunogénicité). Les biosimilaires (Recigen pour Rebif 44 µg ; Cinnovex pour Avonex 30 µg) sont substituables dans leur classe respective mais avec surveillance rapprochée de l'efficacité et de la tolérance dans les 3 mois suivant le switch. En cas de substitution, vérifier la voie (Cinnovex est SC alors qu'Avonex est IM — nécessite formation du patient à la nouvelle technique).</w:t>
      </w:r>
    </w:p>
    <w:p>
      <w:pPr>
        <w:pStyle w:val="Heading2"/>
      </w:pPr>
      <w:r>
        <w:t>93.2 — Sous-classe : SEP — Immunomodulateurs (Glatiramer acétate)</w:t>
      </w:r>
    </w:p>
    <w:p>
      <w:pPr>
        <w:pStyle w:val="Heading3"/>
      </w:pPr>
      <w:r>
        <w:t>Introduction à la sous-classe</w:t>
      </w:r>
    </w:p>
    <w:p>
      <w:r>
        <w:t xml:space="preserve">Le </w:t>
      </w:r>
      <w:r>
        <w:rPr>
          <w:b/>
        </w:rPr>
        <w:t>glatiramer acétate</w:t>
      </w:r>
      <w:r>
        <w:t xml:space="preserve"> (initialement nommé </w:t>
      </w:r>
      <w:r>
        <w:rPr>
          <w:b/>
        </w:rPr>
        <w:t>copaxone</w:t>
      </w:r>
      <w:r>
        <w:t xml:space="preserve"> ou </w:t>
      </w:r>
      <w:r>
        <w:rPr>
          <w:b/>
        </w:rPr>
        <w:t>copolymer-1</w:t>
      </w:r>
      <w:r>
        <w:t xml:space="preserve">) occupe une place singulière dans l'arsenal thérapeutique de la SEP. Découvert dans les années 1960-1970 au </w:t>
      </w:r>
      <w:r>
        <w:rPr>
          <w:b/>
        </w:rPr>
        <w:t>Weizmann Institute of Science</w:t>
      </w:r>
      <w:r>
        <w:t xml:space="preserve"> (Rehovot, Israël) par Michael Sela, Ruth Arnon et Dvora Teitelbaum, ce médicament a été conçu à partir d'une approche </w:t>
      </w:r>
      <w:r>
        <w:rPr>
          <w:b/>
        </w:rPr>
        <w:t>inverse</w:t>
      </w:r>
      <w:r>
        <w:t xml:space="preserve"> de celle des autres immunomodulateurs : alors que l'IFNβ a été développé comme cytokine antivirale repositionnée dans la SEP, le glatiramer a été </w:t>
      </w:r>
      <w:r>
        <w:rPr>
          <w:b/>
        </w:rPr>
        <w:t>synthétiquement conçu</w:t>
      </w:r>
      <w:r>
        <w:t xml:space="preserve"> pour mimer la </w:t>
      </w:r>
      <w:r>
        <w:rPr>
          <w:b/>
        </w:rPr>
        <w:t>protéine basique de la myéline (MBP — Myelin Basic Protein)</w:t>
      </w:r>
      <w:r>
        <w:t xml:space="preserve">, l'un des principaux autoantigènes ciblés par la réponse immune autoimmune dans la SEP. L'hypothèse initiale était que ce polymère, en mimant MBP, pourrait </w:t>
      </w:r>
      <w:r>
        <w:rPr>
          <w:b/>
        </w:rPr>
        <w:t>induire une réponse immune pathogène</w:t>
      </w:r>
      <w:r>
        <w:t xml:space="preserve"> (Encéphalomyélite Auto-Immune Expérimentale — EAE) chez l'animal — mais, paradoxalement, il s'est avéré </w:t>
      </w:r>
      <w:r>
        <w:rPr>
          <w:b/>
        </w:rPr>
        <w:t>inhiber</w:t>
      </w:r>
      <w:r>
        <w:t xml:space="preserve"> cette maladie animale. Ce retournement inattendu a conduit à son développement comme médicament dans la SEP humaine.</w:t>
      </w:r>
    </w:p>
    <w:p>
      <w:r/>
      <w:r>
        <w:rPr>
          <w:b/>
        </w:rPr>
        <w:t>Nature biochimique</w:t>
      </w:r>
      <w:r>
        <w:t xml:space="preserve"> : le glatiramer acétate est un </w:t>
      </w:r>
      <w:r>
        <w:rPr>
          <w:b/>
        </w:rPr>
        <w:t>copolymère synthétique</w:t>
      </w:r>
      <w:r>
        <w:t xml:space="preserve"> aléatoire composé de quatre acides aminés — </w:t>
      </w:r>
      <w:r>
        <w:rPr>
          <w:b/>
        </w:rPr>
        <w:t>L-glutamate, L-lysine, L-alanine et L-tyrosine</w:t>
      </w:r>
      <w:r>
        <w:t xml:space="preserve"> — dans un rapport molaire défini (1,5:6:0,5:0,5 environ, correspondant à une légère enrichissement en lysine pour optimiser la solubilité et l'immunogénicité). Sa taille moyenne est de 4,7-11 kDa (50-100 acides aminés environ), ce qui le place dans la gamme des peptides/polymères. La production se fait par polymérisation aléatoire des N-carboxyanhydrides (NCA) des quatre acides aminés, suivie d'une déprotection et d'une purification chromatographique. Cette synthèse aléatoire explique une certaine </w:t>
      </w:r>
      <w:r>
        <w:rPr>
          <w:b/>
        </w:rPr>
        <w:t>hétérogénéité de lots</w:t>
      </w:r>
      <w:r>
        <w:t xml:space="preserve"> (chaque lot contient un mélange de séquences différentes), ce qui rend sa caractérisation analytique complexe et pose des questions spécifiques pour la délivrance de biosimilaires (le terme "générique" est impropre ici, on parle de "suiveurs" — follow-on products).</w:t>
      </w:r>
    </w:p>
    <w:p>
      <w:r/>
      <w:r>
        <w:rPr>
          <w:b/>
        </w:rPr>
        <w:t>Justification physiopathologique</w:t>
      </w:r>
      <w:r>
        <w:t xml:space="preserve"> : le glatiramer acétate, en mimant MBP mais sans en partager la séquence exacte (polymère aléatoire), induit une </w:t>
      </w:r>
      <w:r>
        <w:rPr>
          <w:b/>
        </w:rPr>
        <w:t>réponse immune croisée tolérogène</w:t>
      </w:r>
      <w:r>
        <w:t xml:space="preserve"> vis-à-vis des autoantigènes de la myéline. Plusieurs mécanismes ont été proposés :</w:t>
      </w:r>
    </w:p>
    <w:p>
      <w:pPr>
        <w:pStyle w:val="ListBullet"/>
      </w:pPr>
      <w:r/>
      <w:r>
        <w:rPr>
          <w:b/>
        </w:rPr>
        <w:t>Induction de tolérance T périphérique</w:t>
      </w:r>
      <w:r>
        <w:t xml:space="preserve"> : le glatiramer est capté et présenté par les cellules présentatrices d'antigène (CPA) en association avec des molécules MHC-II, en compétition avec MBP natif. Cette présentation préférentielle du glatiramer (qui se lie plus fortement aux MHC-II que MBP lui-même) induit une polarisation des lymphocytes T spécifiques vers un </w:t>
      </w:r>
      <w:r>
        <w:rPr>
          <w:b/>
        </w:rPr>
        <w:t>phénotype Th2/Treg anti-inflammatoire</w:t>
      </w:r>
      <w:r>
        <w:t xml:space="preserve"> plutôt que Th1/Th17 pro-inflammatoire. Les lymphocytes T glatiramer-spécifiques (Tc2) sécrètent IL-4, IL-5, IL-10, TGF-β et exercent une </w:t>
      </w:r>
      <w:r>
        <w:rPr>
          <w:b/>
        </w:rPr>
        <w:t>suppression bystander</w:t>
      </w:r>
      <w:r>
        <w:t xml:space="preserve"> des autres autoantigènes de la myéline (PLP, MOG, OSP) par effet immunorégulateur.</w:t>
      </w:r>
    </w:p>
    <w:p>
      <w:pPr>
        <w:pStyle w:val="ListBullet"/>
      </w:pPr>
      <w:r/>
      <w:r>
        <w:rPr>
          <w:b/>
        </w:rPr>
        <w:t>Migration des Tc2 dans le SNC</w:t>
      </w:r>
      <w:r>
        <w:t xml:space="preserve"> : les lymphocytes Tc2 spécifiques du glatiramer, anti-inflammatoires, traversent la BHE (avec un phénotype « pro-migration » particulier) et exercent in situ une </w:t>
      </w:r>
      <w:r>
        <w:rPr>
          <w:b/>
        </w:rPr>
        <w:t>suppression locale</w:t>
      </w:r>
      <w:r>
        <w:t xml:space="preserve"> de l'inflammation auto-immune. Cette "suppression bystander intra-SNC" est un mécanisme original, distinct de celui des IFNβ (qui réduisent le trafic lymphocytaire mais n'induisent pas de lymphocytes T régulateurs spécifiques).</w:t>
      </w:r>
    </w:p>
    <w:p>
      <w:pPr>
        <w:pStyle w:val="ListBullet"/>
      </w:pPr>
      <w:r/>
      <w:r>
        <w:rPr>
          <w:b/>
        </w:rPr>
        <w:t>Activation des Treg CD4+CD25+FoxP3+</w:t>
      </w:r>
      <w:r>
        <w:t xml:space="preserve"> : induction d'une population de lymphocytes T régulateurs naturels (Treg) qui suppriment les effecteurs Th1/Th17 anti-myéline.</w:t>
      </w:r>
    </w:p>
    <w:p>
      <w:pPr>
        <w:pStyle w:val="ListBullet"/>
      </w:pPr>
      <w:r/>
      <w:r>
        <w:rPr>
          <w:b/>
        </w:rPr>
        <w:t>Effet sur les cellules CD8+ régulatrices (CD8+ Treg)</w:t>
      </w:r>
      <w:r>
        <w:t xml:space="preserve"> : induction d'une population CD8+ régulatrice qui supprime les CPA et les lymphocytes T effecteurs.</w:t>
      </w:r>
    </w:p>
    <w:p>
      <w:pPr>
        <w:pStyle w:val="ListBullet"/>
      </w:pPr>
      <w:r/>
      <w:r>
        <w:rPr>
          <w:b/>
        </w:rPr>
        <w:t>Effet neuroprotecteur et remyélinisant</w:t>
      </w:r>
      <w:r>
        <w:t xml:space="preserve"> : données expérimentales suggérant un effet direct sur la survie oligodendrocytaire, l'induction de facteurs neurotrophiques (BDNF, NT-3, IGF-1) par les lymphocytes Tc2 traversant le SNC, et potentiellement la stimulation de la remyélinisation par les précurseurs oligodendrocytaires (OPC). Cet effet est en cours de caractérisation.</w:t>
      </w:r>
    </w:p>
    <w:p>
      <w:r/>
      <w:r>
        <w:rPr>
          <w:b/>
        </w:rPr>
        <w:t>Efficacité</w:t>
      </w:r>
      <w:r>
        <w:t xml:space="preserve"> : réduction de la fréquence des poussées d'environ </w:t>
      </w:r>
      <w:r>
        <w:rPr>
          <w:b/>
        </w:rPr>
        <w:t>29-34 %</w:t>
      </w:r>
      <w:r>
        <w:t xml:space="preserve"> vs placebo (essai pivot Copolymer 1 MS Study Group 1995), similaire à celle des IFNβ. Réduction de l'activité IRM (gadolinium-enhancing lesions) d'environ 30-35 %. Effet plus modeste que les hautes efficacités (natalizumab, ocrélizumab, fingolimod) mais </w:t>
      </w:r>
      <w:r>
        <w:rPr>
          <w:b/>
        </w:rPr>
        <w:t>profil de tolérance nettement supérieur</w:t>
      </w:r>
      <w:r>
        <w:t xml:space="preserve"> : pas de syndrome pseudo-grippal, pas de dépression, pas d'immunogénicité pertinente (pas d'anticorps neutralisants décrits comme avec les IFNβ), pas de surveillance biologique systématique stricte (pas de cytopénie ni cytolyse hépatique, pas de thyroidite autoimmune). Profil idéal pour les patients intolérants aux IFNβ ou avec contre-indication à ceux-ci (dépression, ATCD psychiatriques).</w:t>
      </w:r>
    </w:p>
    <w:p>
      <w:r/>
      <w:r>
        <w:rPr>
          <w:b/>
        </w:rPr>
        <w:t>Particularité d'administration</w:t>
      </w:r>
      <w:r>
        <w:t xml:space="preserve"> : injection SC </w:t>
      </w:r>
      <w:r>
        <w:rPr>
          <w:b/>
        </w:rPr>
        <w:t>quotidienne</w:t>
      </w:r>
      <w:r>
        <w:t xml:space="preserve"> (20 mg/j en une injection) — historiquement contraignante, mais simplifiée depuis l'arrivée des </w:t>
      </w:r>
      <w:r>
        <w:rPr>
          <w:b/>
        </w:rPr>
        <w:t>seringues préremplies</w:t>
      </w:r>
      <w:r>
        <w:t xml:space="preserve"> et des dispositifs d'auto-injection (stylo). Plus récemment, une formulation </w:t>
      </w:r>
      <w:r>
        <w:rPr>
          <w:b/>
        </w:rPr>
        <w:t>40 mg SC 3 fois/semaine</w:t>
      </w:r>
      <w:r>
        <w:t xml:space="preserve"> (Copaxone 40 mg) a été développée pour réduire la fréquence d'injection tout en maintenant l'efficacité — cette forme est celle disponible en Algérie (Galtipex, Glathera 40 mg/mL). L'observance quotidienne reste un défi (35-40 % de patients non observants à 2 ans).</w:t>
      </w:r>
    </w:p>
    <w:p>
      <w:r/>
      <w:r>
        <w:rPr>
          <w:b/>
        </w:rPr>
        <w:t>Positionnement actuel</w:t>
      </w:r>
      <w:r>
        <w:t xml:space="preserve"> : traitement de </w:t>
      </w:r>
      <w:r>
        <w:rPr>
          <w:b/>
        </w:rPr>
        <w:t>première intention de la SEP-RR modérée</w:t>
      </w:r>
      <w:r>
        <w:t>, en alternative aux IFNβ — particulièrement adapté aux patients avec dépression associée (pas d'effet dépressogène), aux femmes en âge de procréer (compatible avec grossesse selon CRAT — expérience clinique rassurante), aux patients intolérants aux IFNβ (effets indésirables, Nab, échec). Efficacité modeste mais profil tolérance-observance avantageux. Recommandé en première ligne par ECTRIMS/EAN 2018-2024 chez les patients à maladie modérée, sans facteurs de mauvais pronostic.</w:t>
      </w:r>
    </w:p>
    <w:p>
      <w:pPr>
        <w:pStyle w:val="Heading3"/>
      </w:pPr>
      <w:r>
        <w:t>2. DCI : Glatiramer acétate (Seule)</w:t>
      </w:r>
    </w:p>
    <w:p>
      <w:r>
        <w:t xml:space="preserve">Le glatiramer acétate, copolymère synthétique aléatoire de L-alanine, L-glutamate, L-lysine et L-tyrosine, constitue une alternative de premier rang aux interférons bêta dans le traitement de fond de la SEP récurrente-rémittente modérée. Administré par voie sous-cutanée à la dose de </w:t>
      </w:r>
      <w:r>
        <w:rPr>
          <w:b/>
        </w:rPr>
        <w:t>40 mg trois fois par semaine</w:t>
      </w:r>
      <w:r>
        <w:t xml:space="preserve"> (formulation moderne disponible en Algérie), il présente un </w:t>
      </w:r>
      <w:r>
        <w:rPr>
          <w:b/>
        </w:rPr>
        <w:t>profil de tolérance unique</w:t>
      </w:r>
      <w:r>
        <w:t xml:space="preserve"> sans syndrome pseudo-grippal, sans dépression induite, sans immunogénicité neutralisante, sans surveillance biologique stricte requise. Son mécanisme d'action original — </w:t>
      </w:r>
      <w:r>
        <w:rPr>
          <w:b/>
        </w:rPr>
        <w:t>mimétisme de la protéine basique de la myéline (MBP)</w:t>
      </w:r>
      <w:r>
        <w:t xml:space="preserve"> avec induction d'une tolérance immune Th2/Treg anti-inflammatoire et suppression bystander intra-SNC — en fait le traitement de fond idéal du patient SEP jeune, en particulier en cas de comorbidité psychiatrique, de désir de grossesse, ou d'intolérance aux IFNβ. Les effets indésirables principaux sont locaux (réactions au site d'injection) et une réaction systémique transitoire rare mais spectaculaire (</w:t>
      </w:r>
      <w:r>
        <w:rPr>
          <w:b/>
        </w:rPr>
        <w:t>flush, dyspnée, anxiété, oppression thoracique</w:t>
      </w:r>
      <w:r>
        <w:t xml:space="preserve"> — réaction « pseudo-anaphylactoïde » spontanément résolutive en 5-30 minutes, sans IgE médiée, sans risque vital réel, souvent liée à l'anxiété d'injection).</w:t>
      </w:r>
    </w:p>
    <w:p>
      <w:r/>
      <w:r>
        <w:rPr>
          <w:b/>
        </w:rPr>
        <w:t>Liste des Catégories :</w:t>
      </w:r>
      <w:r>
        <w:t xml:space="preserve"> LISTE I — Immunomodulateur de la SEP — Polymère d'acides aminés mimant la MBP — traitement de fond de la SEP-RR.</w:t>
      </w:r>
    </w:p>
    <w:p>
      <w:r/>
      <w:r>
        <w:rPr>
          <w:b/>
        </w:rPr>
        <w:t>Médicaments disponibles en Algérie (Marques, Laboratoires, Formes et Dosages) :</w:t>
      </w:r>
      <w:r/>
    </w:p>
    <w:p>
      <w:pPr>
        <w:pStyle w:val="ListBullet"/>
      </w:pPr>
      <w:r/>
      <w:r>
        <w:rPr>
          <w:b/>
        </w:rPr>
        <w:t>GALTIPEX</w:t>
      </w:r>
      <w:r>
        <w:t xml:space="preserve"> (ASPEN HEALTHCARE MALTA LIMITED)</w:t>
      </w:r>
    </w:p>
    <w:p>
      <w:pPr>
        <w:pStyle w:val="ListBullet"/>
      </w:pPr>
      <w:r>
        <w:t>Formes et Dosages : Solution injectable 40 mg/mL — Boîte de 12 seringues préremplies de 1 mL sous-cutanée</w:t>
      </w:r>
    </w:p>
    <w:p>
      <w:pPr>
        <w:pStyle w:val="ListBullet"/>
      </w:pPr>
      <w:r>
        <w:t>Statut : Actif (Liste I) — formulation 40 mg SC 3x/semaine (suiveur de Copaxone 40 mg)</w:t>
      </w:r>
    </w:p>
    <w:p>
      <w:pPr>
        <w:pStyle w:val="ListBullet"/>
      </w:pPr>
      <w:r/>
      <w:r>
        <w:rPr>
          <w:b/>
        </w:rPr>
        <w:t>GLATHERA</w:t>
      </w:r>
      <w:r>
        <w:t xml:space="preserve"> (BIOTHERA)</w:t>
      </w:r>
    </w:p>
    <w:p>
      <w:pPr>
        <w:pStyle w:val="ListBullet"/>
      </w:pPr>
      <w:r>
        <w:t>Formes et Dosages : Solution injectable 40 mg/mL — Boîte de 2 seringues préremplies de 1 mL</w:t>
      </w:r>
    </w:p>
    <w:p>
      <w:pPr>
        <w:pStyle w:val="ListBullet"/>
      </w:pPr>
      <w:r>
        <w:t>Statut : Actif (Liste I) — formulation 40 mg SC 3x/semaine (suiveur de Copaxone 40 mg)</w:t>
      </w:r>
    </w:p>
    <w:p>
      <w:r/>
      <w:r>
        <w:rPr>
          <w:b/>
        </w:rPr>
        <w:t>Commentaire sur la disponibilité algérienne</w:t>
      </w:r>
      <w:r>
        <w:t xml:space="preserve"> : le marché algérien propose deux spécialités actives de glatiramer acétate, toutes deux à la </w:t>
      </w:r>
      <w:r>
        <w:rPr>
          <w:b/>
        </w:rPr>
        <w:t>dosage 40 mg/mL</w:t>
      </w:r>
      <w:r>
        <w:t xml:space="preserve"> (à administrer 3 fois/semaine — formulation moderne améliorée vs la forme historique 20 mg/jour quotidienne). Cette formulation 40 mg 3x/sem est une avancée majeure pour l'observance (3 injections/semaine vs 7), avec efficacité équivalente (essai GLACIER 2014, GALA 2014). Le glatiramer (Copaxone original de Teva) n'est plus directement commercialisé en Algérie sous ce nom ; les deux spécialités disponibles (Galtipex Aspen, Glathera Biothera) sont des </w:t>
      </w:r>
      <w:r>
        <w:rPr>
          <w:b/>
        </w:rPr>
        <w:t>follow-on products</w:t>
      </w:r>
      <w:r>
        <w:t xml:space="preserve"> (suiveurs), conformes au RCP et interchangeables avec surveillance clinique.</w:t>
      </w:r>
    </w:p>
    <w:p>
      <w:r/>
      <w:r>
        <w:rPr>
          <w:b/>
        </w:rPr>
        <w:t>Sous-classe et Mécanisme d'action :</w:t>
      </w:r>
      <w:r/>
    </w:p>
    <w:p>
      <w:pPr>
        <w:pStyle w:val="ListBullet"/>
      </w:pPr>
      <w:r/>
      <w:r>
        <w:rPr>
          <w:b/>
        </w:rPr>
        <w:t>Sous-classe</w:t>
      </w:r>
      <w:r>
        <w:t xml:space="preserve"> : Immunomodulateur de la SEP — Polymère d'acides aminés synthétique mimant la protéine basique de la myéline (MBP). Première ligne de traitement de fond de la SEP-RR modérée, alternative aux IFNβ.</w:t>
      </w:r>
    </w:p>
    <w:p>
      <w:pPr>
        <w:pStyle w:val="ListBullet"/>
      </w:pPr>
      <w:r/>
      <w:r>
        <w:rPr>
          <w:b/>
        </w:rPr>
        <w:t>Mécanisme d'action</w:t>
      </w:r>
      <w:r>
        <w:t xml:space="preserve"> : le glatiramer acétate est un </w:t>
      </w:r>
      <w:r>
        <w:rPr>
          <w:b/>
        </w:rPr>
        <w:t>copolymère synthétique aléatoire</w:t>
      </w:r>
      <w:r>
        <w:t xml:space="preserve"> de quatre L-acides aminés (alanine ~6,5 mol %, glutamate ~33-35 %, lysine ~6 %, tyrosine ~1,5 % selon les lots ; poids moléculaire moyen 4,7-11 kDa). Il mime la </w:t>
      </w:r>
      <w:r>
        <w:rPr>
          <w:b/>
        </w:rPr>
        <w:t>protéine basique de la myéline (MBP — Myelin Basic Protein)</w:t>
      </w:r>
      <w:r>
        <w:t>, l'un des principaux autoantigènes de la SEP. Plusieurs mécanismes d'action complémentaires ont été documentés :</w:t>
      </w:r>
    </w:p>
    <w:p>
      <w:r>
        <w:t xml:space="preserve">  (i) </w:t>
      </w:r>
      <w:r>
        <w:rPr>
          <w:b/>
        </w:rPr>
        <w:t>Compétition avec MBP pour la présentation MHC-II</w:t>
      </w:r>
      <w:r>
        <w:t xml:space="preserve"> : le glatiramer, après injection SC, est capté par les cellules présentatrices d'antigène (CPA) locales (cellules dendritiques dermiques, macrophages, cellules de Langerhans) et </w:t>
      </w:r>
      <w:r>
        <w:rPr>
          <w:b/>
        </w:rPr>
        <w:t>digestion intracellulaire</w:t>
      </w:r>
      <w:r>
        <w:t xml:space="preserve"> en peptides courts. Ces peptides se lient avec </w:t>
      </w:r>
      <w:r>
        <w:rPr>
          <w:b/>
        </w:rPr>
        <w:t>haute affinité aux molécules MHC-II</w:t>
      </w:r>
      <w:r>
        <w:t xml:space="preserve"> des CPA (HLA-DR1, DR2, DR4 — particulièrement HLA-DRB1</w:t>
      </w:r>
      <w:r>
        <w:rPr>
          <w:i/>
        </w:rPr>
        <w:t xml:space="preserve">1501, haplotype de susceptibilité à la SEP) en </w:t>
      </w:r>
      <w:r/>
      <w:r>
        <w:rPr>
          <w:i/>
        </w:rPr>
        <w:t>compétition avec les peptides de MBP natif</w:t>
      </w:r>
      <w:r>
        <w:t>*. Cette compétition empêche la présentation de MBP aux lymphocytes T effecteurs.</w:t>
      </w:r>
    </w:p>
    <w:p>
      <w:r>
        <w:t xml:space="preserve">  (ii) </w:t>
      </w:r>
      <w:r>
        <w:rPr>
          <w:b/>
        </w:rPr>
        <w:t>Induction d'une polarisation Th2 des lymphocytes T glatiramer-spécifiques</w:t>
      </w:r>
      <w:r>
        <w:t xml:space="preserve"> : la présentation du glatiramer par les CPA induit une polarisation des lymphocytes T CD4+ spécifiques vers un </w:t>
      </w:r>
      <w:r>
        <w:rPr>
          <w:b/>
        </w:rPr>
        <w:t>phénotype Th2 anti-inflammatoire</w:t>
      </w:r>
      <w:r>
        <w:t xml:space="preserve"> (sécrétion d'IL-4, IL-5, IL-10, TGF-β) au lieu du phénotype Th1/Th17 pro-inflammatoire induit par MBP. Cette polarisation Th2 est stable et durable.</w:t>
      </w:r>
    </w:p>
    <w:p>
      <w:r>
        <w:t xml:space="preserve">  (iii) </w:t>
      </w:r>
      <w:r>
        <w:rPr>
          <w:b/>
        </w:rPr>
        <w:t>Suppression bystander intra-SNC</w:t>
      </w:r>
      <w:r>
        <w:t xml:space="preserve"> : les lymphocytes T CD4+ Th2 spécifiques du glatiramer, anti-inflammatoires, traversent la BHE (par leur phénotype pro-migration particulier, intégrant les signaux CCR5/CXCR3). Une fois dans le SNC, ils </w:t>
      </w:r>
      <w:r>
        <w:rPr>
          <w:b/>
        </w:rPr>
        <w:t>reconnaissent des peptides de MBP</w:t>
      </w:r>
      <w:r>
        <w:t xml:space="preserve"> (mais aussi d'autres autoantigènes myéliniques comme PLP, MOG, OSP, par épitope spreading) présentés par les CPA locales et </w:t>
      </w:r>
      <w:r>
        <w:rPr>
          <w:b/>
        </w:rPr>
        <w:t>exercent une suppression bystander</w:t>
      </w:r>
      <w:r>
        <w:t xml:space="preserve"> des lymphocytes T effecteurs Th1/Th17 anti-myéline — sans nécessité de reconnaître le même épitope. Cette suppression bystander intra-SNC est un mécanisme original, distinct de celui des IFNβ (qui réduisent le trafic lymphocytaire mais n'induisent pas de lymphocytes T régulateurs spécifiques).</w:t>
      </w:r>
    </w:p>
    <w:p>
      <w:r>
        <w:t xml:space="preserve">  (iv) </w:t>
      </w:r>
      <w:r>
        <w:rPr>
          <w:b/>
        </w:rPr>
        <w:t>Induction de lymphocytes T régulateurs (Treg)</w:t>
      </w:r>
      <w:r>
        <w:t xml:space="preserve"> : induction d'une population de lymphocytes T CD4+CD25+FoxP3+ (Treg naturels et induits) qui suppriment les effecteurs Th1/Th17 anti-myéline par sécrétion d'IL-10 et TGF-β, et par contact cellulaire (CTLA-4, GITR).</w:t>
      </w:r>
    </w:p>
    <w:p>
      <w:r>
        <w:t xml:space="preserve">  (v) </w:t>
      </w:r>
      <w:r>
        <w:rPr>
          <w:b/>
        </w:rPr>
        <w:t>Induction de lymphocytes CD8+ régulateurs (CD8+ Treg)</w:t>
      </w:r>
      <w:r>
        <w:t xml:space="preserve"> : induction d'une population CD8+ régulatrice qui supprime les CPA et les lymphocytes T effecteurs.</w:t>
      </w:r>
    </w:p>
    <w:p>
      <w:r>
        <w:t xml:space="preserve">  (vi) </w:t>
      </w:r>
      <w:r>
        <w:rPr>
          <w:b/>
        </w:rPr>
        <w:t>Modification du phénotype des CPA</w:t>
      </w:r>
      <w:r>
        <w:t xml:space="preserve"> : polarisation des cellules dendritiques vers un </w:t>
      </w:r>
      <w:r>
        <w:rPr>
          <w:b/>
        </w:rPr>
        <w:t>phénotype tolérogène</w:t>
      </w:r>
      <w:r>
        <w:t xml:space="preserve"> (réduction de la costimulation B7-1/B7-2, augmentation de PD-L1, sécrétion d'IL-10 et non d'IL-12).</w:t>
      </w:r>
    </w:p>
    <w:p>
      <w:r>
        <w:t xml:space="preserve">  (vii) </w:t>
      </w:r>
      <w:r>
        <w:rPr>
          <w:b/>
        </w:rPr>
        <w:t>Effet neuroprotecteur et remyélinisant potentiel</w:t>
      </w:r>
      <w:r>
        <w:t xml:space="preserve"> : données expérimentales suggérant un effet direct sur la survie oligodendrocytaire (anti-apoptotique via Bcl-2, induction de BDNF, NT-3, IGF-1), stimulation possible de la remyélinisation par les précurseurs oligodendrocytaires (OPC). Cet effet est en cours de caractérisation clinique.</w:t>
      </w:r>
    </w:p>
    <w:p>
      <w:r/>
      <w:r>
        <w:rPr>
          <w:b/>
        </w:rPr>
        <w:t>Profil Pharmacologique :</w:t>
      </w:r>
      <w:r/>
    </w:p>
    <w:p>
      <w:pPr>
        <w:pStyle w:val="ListBullet"/>
      </w:pPr>
      <w:r/>
      <w:r>
        <w:rPr>
          <w:b/>
        </w:rPr>
        <w:t>Indications</w:t>
      </w:r>
      <w:r>
        <w:t xml:space="preserve"> :</w:t>
      </w:r>
    </w:p>
    <w:p>
      <w:pPr>
        <w:pStyle w:val="ListBullet"/>
      </w:pPr>
      <w:r>
        <w:t>SEP récurrente-rémittente (SEP-RR) active modérée chez l'adulte (indication princeps) — réduction de la fréquence des poussées et de l'activité IRM</w:t>
      </w:r>
    </w:p>
    <w:p>
      <w:pPr>
        <w:pStyle w:val="ListBullet"/>
      </w:pPr>
      <w:r>
        <w:t>SEP-RR chez le patient naïf de traitement (première ligne) ou après switch depuis un IFNβ (intolérance, Nab, inefficacité)</w:t>
      </w:r>
    </w:p>
    <w:p>
      <w:pPr>
        <w:pStyle w:val="ListBullet"/>
      </w:pPr>
      <w:r>
        <w:t>Syndrome clinique isolé (CIS) évocateur de SEP à haut risque de conversion (indication AMM dans certains pays)</w:t>
      </w:r>
    </w:p>
    <w:p>
      <w:pPr>
        <w:pStyle w:val="ListBullet"/>
      </w:pPr>
      <w:r>
        <w:t>Hors AMM : SEP-RR pédiatrique (enfant &gt; 12 ans), femmes enceintes SEP-RR (compatible selon CRAT)</w:t>
      </w:r>
    </w:p>
    <w:p>
      <w:pPr>
        <w:pStyle w:val="ListBullet"/>
      </w:pPr>
      <w:r>
        <w:t>Particulièrement adapté en cas de : dépression associée (alternative à IFNβ), projet de grossesse, intolérance aux IFNβ</w:t>
      </w:r>
    </w:p>
    <w:p>
      <w:pPr>
        <w:pStyle w:val="ListBullet"/>
      </w:pPr>
      <w:r/>
      <w:r>
        <w:rPr>
          <w:b/>
        </w:rPr>
        <w:t>Contre-indications</w:t>
      </w:r>
      <w:r>
        <w:t xml:space="preserve"> :</w:t>
      </w:r>
    </w:p>
    <w:p>
      <w:pPr>
        <w:pStyle w:val="ListBullet"/>
      </w:pPr>
      <w:r>
        <w:t>Hypersensibilité connue au glatiramer acétate ou au mannitol (excipient)</w:t>
      </w:r>
    </w:p>
    <w:p>
      <w:pPr>
        <w:pStyle w:val="ListBullet"/>
      </w:pPr>
      <w:r>
        <w:t>Pas de CI absolue spécifique — le glatiramer est globalement bien toléré</w:t>
      </w:r>
    </w:p>
    <w:p>
      <w:pPr>
        <w:pStyle w:val="ListBullet"/>
      </w:pPr>
      <w:r>
        <w:t>Grossesse : à évaluer selon CRAT — globalement compatible (cf. section Grossesse)</w:t>
      </w:r>
    </w:p>
    <w:p>
      <w:pPr>
        <w:pStyle w:val="ListBullet"/>
      </w:pPr>
      <w:r>
        <w:t>Allaitement : à éviter par prudence (données limitées)</w:t>
      </w:r>
    </w:p>
    <w:p>
      <w:pPr>
        <w:pStyle w:val="ListBullet"/>
      </w:pPr>
      <w:r>
        <w:t>Prudence : insuffisance rénale sévère, insuffisance hépatique sévère (expérience limitée), patient avec antécédent de réaction systémique post-injection sévère</w:t>
      </w:r>
    </w:p>
    <w:p>
      <w:pPr>
        <w:pStyle w:val="ListBullet"/>
      </w:pPr>
      <w:r/>
      <w:r>
        <w:rPr>
          <w:b/>
        </w:rPr>
        <w:t>Effets Indésirables</w:t>
      </w:r>
      <w:r>
        <w:t xml:space="preserve"> :</w:t>
      </w:r>
    </w:p>
    <w:p>
      <w:pPr>
        <w:pStyle w:val="ListBullet"/>
      </w:pPr>
      <w:r/>
      <w:r>
        <w:rPr>
          <w:b/>
        </w:rPr>
        <w:t>Réactions au site d'injection SC</w:t>
      </w:r>
      <w:r>
        <w:t xml:space="preserve"> (très fréquents, &gt; 50 %) : érythème, induration, douleur, prurit localisés, résolutifs en 24-48 h. Plus rarement : lipodystrophie (atrophie ou hypertrophie du tissu sous-cutané au site d'injection répété — lipoatrophy 5-10 % à long terme), rarement nécrose cutanée (très rare &lt;0,1 % vs IFNβ-1b). Prévention par rotation systématique des sites.</w:t>
      </w:r>
    </w:p>
    <w:p>
      <w:pPr>
        <w:pStyle w:val="ListBullet"/>
      </w:pPr>
      <w:r/>
      <w:r>
        <w:rPr>
          <w:b/>
        </w:rPr>
        <w:t>Réaction systémique immédiate post-injection</w:t>
      </w:r>
      <w:r>
        <w:t xml:space="preserve"> (rare mais caractéristique, 5-15 % des patients au moins une fois) : flush, sensation de chaleur, dyspnée, oppression thoracique, anxiété, palpitations, tachycardie — apparaît dans les 30 secondes à 30 minutes après l'injection, dure 5-30 minutes, </w:t>
      </w:r>
      <w:r>
        <w:rPr>
          <w:b/>
        </w:rPr>
        <w:t>spontanément résolutive sans traitement</w:t>
      </w:r>
      <w:r>
        <w:t>. Mécanisme non IgE-médié (pas d'anaphylaxie vraie), possiblement lié à une libération locale de médiateurs vasomoteurs. À différencier d'une vraie anaphylaxie (qui est exceptionnelle &lt; 0,1 % et nécessite arrêt définitif). Le patient doit être informé de cette réaction possible, ne pas paniquer, s'asseoir et attendre la résolution spontanée. En cas de réaction récidivante, prémédication par antihistaminique H1 avant injection peut être discutée.</w:t>
      </w:r>
    </w:p>
    <w:p>
      <w:pPr>
        <w:pStyle w:val="ListBullet"/>
      </w:pPr>
      <w:r/>
      <w:r>
        <w:rPr>
          <w:b/>
        </w:rPr>
        <w:t>Réactions lymphadénopathies</w:t>
      </w:r>
      <w:r>
        <w:t xml:space="preserve"> (rares, &lt; 5 %) : adénopathies locales ou régionales, généralement régressives à l'arrêt ou à la modification des sites.</w:t>
      </w:r>
    </w:p>
    <w:p>
      <w:pPr>
        <w:pStyle w:val="ListBullet"/>
      </w:pPr>
      <w:r/>
      <w:r>
        <w:rPr>
          <w:b/>
        </w:rPr>
        <w:t>Effets systémiques rares</w:t>
      </w:r>
      <w:r>
        <w:t xml:space="preserve"> : asthénie transitoire, nausées, arthralgies, rash cutané, urticaire. Pas de syndrome pseudo-grippal (contrairement aux IFNβ), pas de cytolyse hépatique, pas de cytopénie, pas de thyroidite auto-immune, pas de dépression.</w:t>
      </w:r>
    </w:p>
    <w:p>
      <w:pPr>
        <w:pStyle w:val="ListBullet"/>
      </w:pPr>
      <w:r/>
      <w:r>
        <w:rPr>
          <w:b/>
        </w:rPr>
        <w:t>Immunogénicité</w:t>
      </w:r>
      <w:r>
        <w:t xml:space="preserve"> : des anticorps anti-glatiramer sont détectables chez ~95 % des patients après 3-6 mois de traitement, mais ces anticorps sont </w:t>
      </w:r>
      <w:r>
        <w:rPr>
          <w:b/>
        </w:rPr>
        <w:t>non neutralisants</w:t>
      </w:r>
      <w:r>
        <w:t xml:space="preserve"> (à la différence des IFNβ Nab) et ne réduisent pas l'efficacité clinique — pas de nécessité de dosage systématique.</w:t>
      </w:r>
    </w:p>
    <w:p>
      <w:pPr>
        <w:pStyle w:val="ListBullet"/>
      </w:pPr>
      <w:r/>
      <w:r>
        <w:rPr>
          <w:b/>
        </w:rPr>
        <w:t>Effets rares mais graves</w:t>
      </w:r>
      <w:r>
        <w:t xml:space="preserve"> : réaction anaphylactique vraie (&lt;0,1 %), érythème polymorphe, syndrome de Stevens-Johnson (très rare), vascularite cutanée, pneumopathie d'hypersensibilité, néphropathie (très rare). Pas d'augmentation du risque infectieux global, pas de sur-risque néoplasique connu.</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minimal</w:t>
      </w:r>
      <w:r>
        <w:t xml:space="preserve"> : NFS, transaminases, créatinine, β-hCG chez femme en âge de procréer, IRM cérébrale et médullaire initiale (référence). Pas de surveillance biologique systématique stricte comme pour les IFNβ (pas de cytolyse, pas de cytopénie, pas de thyroidite).</w:t>
      </w:r>
    </w:p>
    <w:p>
      <w:pPr>
        <w:pStyle w:val="ListBullet"/>
      </w:pPr>
      <w:r/>
      <w:r>
        <w:rPr>
          <w:b/>
        </w:rPr>
        <w:t>Éducation à l'auto-injection SC quotidienne ou tri-hebdomadaire</w:t>
      </w:r>
      <w:r>
        <w:t xml:space="preserve"> : formation par infirmière d'éducation thérapeutique (ETP) — hygiène des mains, désinfection site (alcool 70°), technique d'injection SC (angle 45° ou 90° selon aiguille), rotation systématique des sites, élimination des DASRI.</w:t>
      </w:r>
    </w:p>
    <w:p>
      <w:pPr>
        <w:pStyle w:val="ListBullet"/>
      </w:pPr>
      <w:r/>
      <w:r>
        <w:rPr>
          <w:b/>
        </w:rPr>
        <w:t>Information sur la réaction systémique immédiate post-injection</w:t>
      </w:r>
      <w:r>
        <w:t xml:space="preserve"> : explication au patient du caractère possible, bénin, spontanément résolutif ; ne pas confondre avec une allergie grave ; conduite à tenir (s'asseoir, attendre, prévenir le neurologue si récidive).</w:t>
      </w:r>
    </w:p>
    <w:p>
      <w:pPr>
        <w:pStyle w:val="ListBullet"/>
      </w:pPr>
      <w:r/>
      <w:r>
        <w:rPr>
          <w:b/>
        </w:rPr>
        <w:t>Surveillance clinique</w:t>
      </w:r>
      <w:r>
        <w:t xml:space="preserve"> : évaluation neurologique semestrielle avec EDSS, IRM cérébrale annuelle (référence vs baseline).</w:t>
      </w:r>
    </w:p>
    <w:p>
      <w:pPr>
        <w:pStyle w:val="ListBullet"/>
      </w:pPr>
      <w:r/>
      <w:r>
        <w:rPr>
          <w:b/>
        </w:rPr>
        <w:t>Pas de prémédication systématique</w:t>
      </w:r>
      <w:r>
        <w:t xml:space="preserve"> (contrairement aux IFNβ).</w:t>
      </w:r>
    </w:p>
    <w:p>
      <w:pPr>
        <w:pStyle w:val="ListBullet"/>
      </w:pPr>
      <w:r/>
      <w:r>
        <w:rPr>
          <w:b/>
        </w:rPr>
        <w:t>Conduite à Tenir</w:t>
      </w:r>
      <w:r>
        <w:t xml:space="preserve"> :</w:t>
      </w:r>
    </w:p>
    <w:p>
      <w:pPr>
        <w:pStyle w:val="ListBullet"/>
      </w:pPr>
      <w:r/>
      <w:r>
        <w:rPr>
          <w:b/>
        </w:rPr>
        <w:t>Réaction systémique post-injection</w:t>
      </w:r>
      <w:r>
        <w:t xml:space="preserve"> : pas de traitement spécifique, réassurance du patient, surveillance clinique. Si réaction récidivante invalidante, prémédication par antihistaminique H1 (cétirizine 10 mg) 30 min avant injection. Si réaction anaphylactique vraie (hypotension, bronchospasme, urticaire généralisée) — arrêt définitif, prise en charge médicale, switch vers autre classe.</w:t>
      </w:r>
    </w:p>
    <w:p>
      <w:pPr>
        <w:pStyle w:val="ListBullet"/>
      </w:pPr>
      <w:r/>
      <w:r>
        <w:rPr>
          <w:b/>
        </w:rPr>
        <w:t>Nécrose cutanée</w:t>
      </w:r>
      <w:r>
        <w:t xml:space="preserve"> : exceptionnelle, arrêt définitif et prise en charge dermatologique.</w:t>
      </w:r>
    </w:p>
    <w:p>
      <w:pPr>
        <w:pStyle w:val="ListBullet"/>
      </w:pPr>
      <w:r/>
      <w:r>
        <w:rPr>
          <w:b/>
        </w:rPr>
        <w:t>Lipoatrophie</w:t>
      </w:r>
      <w:r>
        <w:t xml:space="preserve"> : rotation plus systématique des sites, espacement des injections dans une même zone (&gt; 2 semaines entre deux injections au même site).</w:t>
      </w:r>
    </w:p>
    <w:p>
      <w:pPr>
        <w:pStyle w:val="ListBullet"/>
      </w:pPr>
      <w:r/>
      <w:r>
        <w:rPr>
          <w:b/>
        </w:rPr>
        <w:t>Inefficacité clinique</w:t>
      </w:r>
      <w:r>
        <w:t xml:space="preserve"> (poussées malgré traitement bien conduit) : switch vers haute efficacité (natalizumab, fingolimod, ocrélizumab selon profil).</w:t>
      </w:r>
    </w:p>
    <w:p>
      <w:pPr>
        <w:pStyle w:val="ListBullet"/>
      </w:pPr>
      <w:r/>
      <w:r>
        <w:rPr>
          <w:b/>
        </w:rPr>
        <w:t>Poussée sous traitement</w:t>
      </w:r>
      <w:r>
        <w:t xml:space="preserve"> : évaluation de la réponse thérapeutique (≥2 poussées/an ou progression IRM = échece thérapeutique, switch selon critères ECTRIMS/EAN 2018-2024).</w:t>
      </w:r>
    </w:p>
    <w:p>
      <w:r/>
      <w:r>
        <w:rPr>
          <w:b/>
        </w:rPr>
        <w:t>Interactions Importantes :</w:t>
      </w:r>
      <w:r/>
    </w:p>
    <w:p>
      <w:pPr>
        <w:pStyle w:val="ListBullet"/>
      </w:pPr>
      <w:r/>
      <w:r>
        <w:rPr>
          <w:b/>
        </w:rPr>
        <w:t>Glatiramer + vaccins vivants atténués (BCG, ROR, fièvre jaune, varicelle)</w:t>
      </w:r>
      <w:r>
        <w:t xml:space="preserve"> : pas de contre-indication formelle (le glatiramer n'est pas un immunosuppresseur profond), mais prudence — surveillance de la réponse vaccinale. Préférer vaccination avant initiation ou vaccins inactivés.</w:t>
      </w:r>
    </w:p>
    <w:p>
      <w:pPr>
        <w:pStyle w:val="ListBullet"/>
      </w:pPr>
      <w:r/>
      <w:r>
        <w:rPr>
          <w:b/>
        </w:rPr>
        <w:t>Glatiramer + autres immunomodulateurs/immunosuppresseurs (IFNβ, natalizumab, fingolimod, ocrélizumab, mitoxantrone)</w:t>
      </w:r>
      <w:r>
        <w:t xml:space="preserve"> : associations déconseillées — pas de bénéfice additif démontré, risque théorique d'immunosuppression. Ne pas combiner (sauf switch supervisé).</w:t>
      </w:r>
    </w:p>
    <w:p>
      <w:pPr>
        <w:pStyle w:val="ListBullet"/>
      </w:pPr>
      <w:r/>
      <w:r>
        <w:rPr>
          <w:b/>
        </w:rPr>
        <w:t>Glatiramer + IFNβ (combinaison)</w:t>
      </w:r>
      <w:r>
        <w:t xml:space="preserve"> : essai CombiRX (2012-2015) n'a pas montré de supériorité de la combinaison vs monothérapie, augmentation des effets indésirables — pas de place pour la combinaison en pratique.</w:t>
      </w:r>
    </w:p>
    <w:p>
      <w:pPr>
        <w:pStyle w:val="ListBullet"/>
      </w:pPr>
      <w:r/>
      <w:r>
        <w:rPr>
          <w:b/>
        </w:rPr>
        <w:t>Glatiramer + paracétamol/AINS</w:t>
      </w:r>
      <w:r>
        <w:t xml:space="preserve"> : pas d'interaction pertinente (pas de prémédication nécessaire habituellement).</w:t>
      </w:r>
    </w:p>
    <w:p>
      <w:pPr>
        <w:pStyle w:val="ListBullet"/>
      </w:pPr>
      <w:r/>
      <w:r>
        <w:rPr>
          <w:b/>
        </w:rPr>
        <w:t>Glatiramer + autres traitements symptomatiques de la SEP</w:t>
      </w:r>
      <w:r>
        <w:t xml:space="preserve"> (baclofène, oxybutynine, modafinil, antidépresseurs) : pas d'interaction pertinente.</w:t>
      </w:r>
    </w:p>
    <w:p>
      <w:r/>
      <w:r>
        <w:rPr>
          <w:b/>
        </w:rPr>
        <w:t>Grossesse et Allaitement :</w:t>
      </w:r>
      <w:r/>
    </w:p>
    <w:p>
      <w:pPr>
        <w:pStyle w:val="ListBullet"/>
      </w:pPr>
      <w:r/>
      <w:r>
        <w:rPr>
          <w:b/>
        </w:rPr>
        <w:t>Grossesse</w:t>
      </w:r>
      <w:r>
        <w:t xml:space="preserve"> : selon le CRAT, le glatiramer acétate est </w:t>
      </w:r>
      <w:r>
        <w:rPr>
          <w:b/>
        </w:rPr>
        <w:t>compatible avec la grossesse</w:t>
      </w:r>
      <w:r>
        <w:t xml:space="preserve"> si nécessaire au maintien de la rémission. Les données du registre international de grossesses sous glatiramer (&gt;1000 grossesses exposées) ne montrent </w:t>
      </w:r>
      <w:r>
        <w:rPr>
          <w:b/>
        </w:rPr>
        <w:t>pas de sur-risque malformatif</w:t>
      </w:r>
      <w:r>
        <w:t xml:space="preserve"> (taux de malformations majeures ~3-4 %, équivalent à la population générale), pas d'augmentation de la prématurité ou du faible poids de naissance. Le glatiramer peut être </w:t>
      </w:r>
      <w:r>
        <w:rPr>
          <w:b/>
        </w:rPr>
        <w:t>maintenu pendant toute la grossesse</w:t>
      </w:r>
      <w:r>
        <w:t xml:space="preserve"> si la maladie est active. À noter : le glatiramer est l'un des rares traitements de fond de la SEP </w:t>
      </w:r>
      <w:r>
        <w:rPr>
          <w:b/>
        </w:rPr>
        <w:t>recommandé chez la femme enceinte SEP-RR active</w:t>
      </w:r>
      <w:r>
        <w:t xml:space="preserve"> (alternative aux IFNβ qui sont également compatibles, mais expérience clinique plus limitée pour les nouvelles hautes efficacités).</w:t>
      </w:r>
    </w:p>
    <w:p>
      <w:pPr>
        <w:pStyle w:val="ListBullet"/>
      </w:pPr>
      <w:r/>
      <w:r>
        <w:rPr>
          <w:b/>
        </w:rPr>
        <w:t>Allaitement</w:t>
      </w:r>
      <w:r>
        <w:t xml:space="preserve"> : selon le CRAT, le glatiramer est </w:t>
      </w:r>
      <w:r>
        <w:rPr>
          <w:b/>
        </w:rPr>
        <w:t>compatible avec l'allaitement</w:t>
      </w:r>
      <w:r>
        <w:t>. Le glatiramer étant un polymère peptidique, son passage dans le lait maternel est attendu comme minimal, et la dégradation digestive chez le nourrisson (pepsine, trypsine) rend l'absorption systémique négligeable. Peut être poursuivi pendant l'allaitement.</w:t>
      </w:r>
    </w:p>
    <w:p>
      <w:pPr>
        <w:pStyle w:val="ListBullet"/>
      </w:pPr>
      <w:r/>
      <w:r>
        <w:rPr>
          <w:b/>
        </w:rPr>
        <w:t>Précisions</w:t>
      </w:r>
      <w:r>
        <w:t xml:space="preserve"> : le glatiramer est l'un des traitements de fond de la SEP les plus adaptés chez la femme en âge de procréer en raison de sa tolérance obstétricale favorable. Souvent utilisé comme </w:t>
      </w:r>
      <w:r>
        <w:rPr>
          <w:b/>
        </w:rPr>
        <w:t>traitement "pont" pendant la grossesse</w:t>
      </w:r>
      <w:r>
        <w:t xml:space="preserve"> pour les femmes SEP modérées prévoyant une grossesse, ou comme traitement de fond chez les femmes enceintes SEP-RR actives.</w:t>
      </w:r>
    </w:p>
    <w:p>
      <w:r/>
      <w:r>
        <w:rPr>
          <w:b/>
        </w:rPr>
        <w:t>Posologie et Mode d'administration (Standard) :</w:t>
      </w:r>
      <w:r/>
    </w:p>
    <w:p>
      <w:pPr>
        <w:pStyle w:val="ListBullet"/>
      </w:pPr>
      <w:r/>
      <w:r>
        <w:rPr>
          <w:b/>
        </w:rPr>
        <w:t>Adulte</w:t>
      </w:r>
      <w:r>
        <w:t xml:space="preserve"> :</w:t>
      </w:r>
    </w:p>
    <w:p>
      <w:pPr>
        <w:pStyle w:val="ListBullet"/>
      </w:pPr>
      <w:r/>
      <w:r>
        <w:rPr>
          <w:b/>
        </w:rPr>
        <w:t>Dose standard moderne</w:t>
      </w:r>
      <w:r>
        <w:t xml:space="preserve"> : 40 mg SC 3 fois par semaine (ex : lundi-mercredi-vendredi ou mardi-jeudi-samedi, à au moins 48 h d'intervalle).</w:t>
      </w:r>
    </w:p>
    <w:p>
      <w:pPr>
        <w:pStyle w:val="ListBullet"/>
      </w:pPr>
      <w:r/>
      <w:r>
        <w:rPr>
          <w:b/>
        </w:rPr>
        <w:t>Dose historique</w:t>
      </w:r>
      <w:r>
        <w:t xml:space="preserve"> : 20 mg SC une fois par jour (quotidienne) — formulation historique Copaxone 20 mg/j, moins prescrite depuis la disponibilité de la forme 40 mg 3x/sem.</w:t>
      </w:r>
    </w:p>
    <w:p>
      <w:pPr>
        <w:pStyle w:val="ListBullet"/>
      </w:pPr>
      <w:r/>
      <w:r>
        <w:rPr>
          <w:b/>
        </w:rPr>
        <w:t>Mode d'administration</w:t>
      </w:r>
      <w:r>
        <w:t xml:space="preserve"> : injection SC stricte dans les sites recommandés : abdomen (sauf périmbilical 5 cm), cuisses antéro-externes, fesses supéro-externes, bras deltоïdiens. Rotation systématique des sites. Seringue préremplie (Galtipex 1 mL, Glathera 1 mL) — pas de reconstitution. Auto-injection possible après formation.</w:t>
      </w:r>
    </w:p>
    <w:p>
      <w:pPr>
        <w:pStyle w:val="ListBullet"/>
      </w:pPr>
      <w:r/>
      <w:r>
        <w:rPr>
          <w:b/>
        </w:rPr>
        <w:t>Sujet âgé</w:t>
      </w:r>
      <w:r>
        <w:t xml:space="preserve"> : pas d'adaptation posologique spécifique. L'expérience chez le sujet âgé est limitée (SEP rarement diagnostiquée &gt; 65 ans).</w:t>
      </w:r>
    </w:p>
    <w:p>
      <w:pPr>
        <w:pStyle w:val="ListBullet"/>
      </w:pPr>
      <w:r/>
      <w:r>
        <w:rPr>
          <w:b/>
        </w:rPr>
        <w:t>Durée</w:t>
      </w:r>
      <w:r>
        <w:t xml:space="preserve"> : traitement au long cours, indéterminé. Réévaluation annuelle de la tolérance et de l'efficacité. Arrêt à discuter en cas d'inefficacité, d'intolérance grave, ou de progression vers SEP progressive secondaire sans activité inflammatoire.</w:t>
      </w:r>
    </w:p>
    <w:p>
      <w:pPr>
        <w:pStyle w:val="ListBullet"/>
      </w:pPr>
      <w:r/>
      <w:r>
        <w:rPr>
          <w:b/>
        </w:rPr>
        <w:t>Moment de prise</w:t>
      </w:r>
      <w:r>
        <w:t xml:space="preserve"> : injections à jours fixes (3x/sem à au moins 48 h d'intervalle), à heure fixe de préférence (matin ou soir selon préférence patient).</w:t>
      </w:r>
    </w:p>
    <w:p>
      <w:r/>
      <w:r>
        <w:rPr>
          <w:b/>
        </w:rPr>
        <w:t>Arbitrage et Bénéfices des Formes Galéniques :</w:t>
      </w:r>
      <w:r/>
    </w:p>
    <w:p>
      <w:pPr>
        <w:pStyle w:val="ListBullet"/>
      </w:pPr>
      <w:r/>
      <w:r>
        <w:rPr>
          <w:b/>
        </w:rPr>
        <w:t>Seringues préremplies 40 mg/mL 1 mL (Galtipex, Glathera)</w:t>
      </w:r>
      <w:r>
        <w:t xml:space="preserve"> : simplicité d'usage, pas de reconstitution, contrôle visuel de la dose, ideal pour auto-administration. Conditionnement pratique (Boîte de 12 seringues = 1 mois de traitement pour Galtipex ; Boîte de 2 seringues pour Glathera, plus adapté au suivi rapproché).</w:t>
      </w:r>
    </w:p>
    <w:p>
      <w:pPr>
        <w:pStyle w:val="ListBullet"/>
      </w:pPr>
      <w:r/>
      <w:r>
        <w:rPr>
          <w:b/>
        </w:rPr>
        <w:t>Forme 40 mg SC 3x/sem vs 20 mg SC quotidien</w:t>
      </w:r>
      <w:r>
        <w:t xml:space="preserve"> : la forme 40 mg 3x/sem est désormais le standard (réduction de 57 % du nombre d'injections annuelles, observance améliorée, efficacité équivalente selon études GLACIER et GALA).</w:t>
      </w:r>
    </w:p>
    <w:p>
      <w:pPr>
        <w:pStyle w:val="ListBullet"/>
      </w:pPr>
      <w:r/>
      <w:r>
        <w:rPr>
          <w:b/>
        </w:rPr>
        <w:t>Chaîne du froid</w:t>
      </w:r>
      <w:r>
        <w:t xml:space="preserve"> : conservation à +2-8 °C (réfrigérateur), ne pas congeler, à conserver dans l'emballage extérieur (protection lumière). Transport en sac isotherme avec accumulateur de froid. Stabilité à température ambiante (≤25 °C) : jusqu'à 1 mois (permet transports, voyages courts).</w:t>
      </w:r>
    </w:p>
    <w:p>
      <w:r/>
      <w:r>
        <w:rPr>
          <w:b/>
        </w:rPr>
        <w:t>Instructions et Conseils au Patient :</w:t>
      </w:r>
      <w:r/>
    </w:p>
    <w:p>
      <w:pPr>
        <w:pStyle w:val="ListBullet"/>
      </w:pPr>
      <w:r/>
      <w:r>
        <w:rPr>
          <w:b/>
        </w:rPr>
        <w:t>Communication au comptoir</w:t>
      </w:r>
      <w:r>
        <w:t xml:space="preserve"> :</w:t>
      </w:r>
    </w:p>
    <w:p>
      <w:pPr>
        <w:pStyle w:val="ListBullet"/>
      </w:pPr>
      <w:r>
        <w:t>"Ce traitement est un traitement de fond de votre SEP : il réduit la fréquence et la sévérité des poussées, sans effet sur les symptômes au quotidien. Il est à prendre au long cours, plusieurs années."</w:t>
      </w:r>
    </w:p>
    <w:p>
      <w:pPr>
        <w:pStyle w:val="ListBullet"/>
      </w:pPr>
      <w:r>
        <w:t>"À la différence de l'interféron, ce traitement n'entraîne pas de fièvre ni de syndrome grippal après injection. Les effets indésirables principaux sont locaux (rougeur, bosse au point d'injection)."</w:t>
      </w:r>
    </w:p>
    <w:p>
      <w:pPr>
        <w:pStyle w:val="ListBullet"/>
      </w:pPr>
      <w:r>
        <w:t>"Une réaction possible mais bénigne peut survenir dans les minutes suivant l'injection : bouffée de chaleur, gêne respiratoire, anxiété, malaise — spontanément résolutive en quelques minutes. Ne pas paniquer, s'asseoir et attendre. Si réaction grave (chute de tension, urticaire généralisée), appeler le 15 (urgences)."</w:t>
      </w:r>
    </w:p>
    <w:p>
      <w:pPr>
        <w:pStyle w:val="ListBullet"/>
      </w:pPr>
      <w:r>
        <w:t>"Respectez la rotation des sites d'injection pour éviter les lipoatrophies (creux) ou lipohypertrophies (bosses persistantes)."</w:t>
      </w:r>
    </w:p>
    <w:p>
      <w:pPr>
        <w:pStyle w:val="ListBullet"/>
      </w:pPr>
      <w:r>
        <w:t>"Signalez tout projet de grossesse — ce traitement est compatible avec la grossesse et l'allaitement."</w:t>
      </w:r>
    </w:p>
    <w:p>
      <w:pPr>
        <w:pStyle w:val="ListBullet"/>
      </w:pPr>
      <w:r/>
      <w:r>
        <w:rPr>
          <w:b/>
        </w:rPr>
        <w:t>Mode d'utilisation pratique</w:t>
      </w:r>
      <w:r>
        <w:t xml:space="preserve"> :</w:t>
      </w:r>
    </w:p>
    <w:p>
      <w:pPr>
        <w:pStyle w:val="ListBullet"/>
      </w:pPr>
      <w:r>
        <w:t>Sortir la seringue du réfrigérateur 15-30 minutes avant (pour revenir à température ambiante, réduire la douleur à l'injection).</w:t>
      </w:r>
    </w:p>
    <w:p>
      <w:pPr>
        <w:pStyle w:val="ListBullet"/>
      </w:pPr>
      <w:r>
        <w:t>Se laver les mains soigneusement (savon antiseptique ou solution hydroalcoolique).</w:t>
      </w:r>
    </w:p>
    <w:p>
      <w:pPr>
        <w:pStyle w:val="ListBullet"/>
      </w:pPr>
      <w:r>
        <w:t>Vérifier la date de péremption, l'aspect de la solution (limpide, incolore à légèrement jaune, sans particules).</w:t>
      </w:r>
    </w:p>
    <w:p>
      <w:pPr>
        <w:pStyle w:val="ListBullet"/>
      </w:pPr>
      <w:r>
        <w:t>Désinfecter le site d'injection avec un coton imbibé d'alcool 70°, attendre le séchage.</w:t>
      </w:r>
    </w:p>
    <w:p>
      <w:pPr>
        <w:pStyle w:val="ListBullet"/>
      </w:pPr>
      <w:r>
        <w:t>Pincer le pli cutané, insérer l'aiguille à 45° ou 90° selon la longueur d'aiguille, injecter lentement, retirer l'aiguille, exercer une pression douce avec un coton (ne pas masser).</w:t>
      </w:r>
    </w:p>
    <w:p>
      <w:pPr>
        <w:pStyle w:val="ListBullet"/>
      </w:pPr>
      <w:r>
        <w:t>Eliminer la seringue dans le collecteur à aiguilles (DASRI).</w:t>
      </w:r>
    </w:p>
    <w:p>
      <w:pPr>
        <w:pStyle w:val="ListBullet"/>
      </w:pPr>
      <w:r>
        <w:t>Tenir un carnet d'injection (sites, dates) ou utiliser le stylo électronique si disponible.</w:t>
      </w:r>
    </w:p>
    <w:p>
      <w:r/>
      <w:r>
        <w:rPr>
          <w:b/>
        </w:rPr>
        <w:t>Notes, Règles d'Or &amp; Pièges au Comptoir :</w:t>
      </w:r>
      <w:r/>
    </w:p>
    <w:p>
      <w:pPr>
        <w:pStyle w:val="ListBullet"/>
      </w:pPr>
      <w:r/>
      <w:r>
        <w:rPr>
          <w:b/>
        </w:rPr>
        <w:t>Piège classique</w:t>
      </w:r>
      <w:r>
        <w:t xml:space="preserve"> : confondre la </w:t>
      </w:r>
      <w:r>
        <w:rPr>
          <w:b/>
        </w:rPr>
        <w:t>réaction systémique immédiate post-injection</w:t>
      </w:r>
      <w:r>
        <w:t xml:space="preserve"> (bénigne, spontanément résolutive) avec une </w:t>
      </w:r>
      <w:r>
        <w:rPr>
          <w:b/>
        </w:rPr>
        <w:t>anaphylaxie vraie</w:t>
      </w:r>
      <w:r>
        <w:t xml:space="preserve"> (exceptionnelle, arrêt définitif). Reconnaître le tableau typique : flush + dyspnée + anxiété + oppression thoracique dans les 30 minutes post-injection, résolution spontanée en &lt;30 min. En cas de doute, prémédication par antihistaminique H1 (cétirizine 10 mg) 30 min avant injection à discuter avec le neurologue.</w:t>
      </w:r>
    </w:p>
    <w:p>
      <w:pPr>
        <w:pStyle w:val="ListBullet"/>
      </w:pPr>
      <w:r/>
      <w:r>
        <w:rPr>
          <w:b/>
        </w:rPr>
        <w:t>Piège de la nécrose cutanée</w:t>
      </w:r>
      <w:r>
        <w:t xml:space="preserve"> : exceptionnelle avec le glatiramer (vs IFNβ-1b Betaferon où elle est plus fréquente), mais à connaître : toute lésion cutanée persistante &gt; 1 semaine au site d'injection, indurée, douloureuse, évoluant vers une ulcération nécrotique = arrêt immédiat et consultation dermatologique.</w:t>
      </w:r>
    </w:p>
    <w:p>
      <w:pPr>
        <w:pStyle w:val="ListBullet"/>
      </w:pPr>
      <w:r/>
      <w:r>
        <w:rPr>
          <w:b/>
        </w:rPr>
        <w:t>Piège observance quotidienne vs tri-hebdomadaire</w:t>
      </w:r>
      <w:r>
        <w:t xml:space="preserve"> : vérifier systématiquement la prescription — dosage (40 mg/mL), fréquence (3x/sem à au moins 48 h d'intervalle pour la forme moderne). Ne pas confondre avec l'ancienne formulation 20 mg/j.</w:t>
      </w:r>
    </w:p>
    <w:p>
      <w:pPr>
        <w:pStyle w:val="ListBullet"/>
      </w:pPr>
      <w:r/>
      <w:r>
        <w:rPr>
          <w:b/>
        </w:rPr>
        <w:t>Piège switch IFNβ → glatiramer</w:t>
      </w:r>
      <w:r>
        <w:t xml:space="preserve"> : switch justifié en cas d'intolérance, de Nab, de dépression sous IFNβ. Pas de wash-out nécessaire (demi-vie courte de l'IFNβ). Surveillance clinique rapprochée (3-6 mois) pour confirmer l'efficacité.</w:t>
      </w:r>
    </w:p>
    <w:p>
      <w:pPr>
        <w:pStyle w:val="ListBullet"/>
      </w:pPr>
      <w:r/>
      <w:r>
        <w:rPr>
          <w:b/>
        </w:rPr>
        <w:t>Règle de prise</w:t>
      </w:r>
      <w:r>
        <w:t xml:space="preserve"> : jours fixes tri-hebdomadaires à au moins 48 h d'intervalle (ex : lundi-mercredi-vendredi). Heure fixe de préférence.</w:t>
      </w:r>
    </w:p>
    <w:p>
      <w:pPr>
        <w:pStyle w:val="ListBullet"/>
      </w:pPr>
      <w:r/>
      <w:r>
        <w:rPr>
          <w:b/>
        </w:rPr>
        <w:t>Préparation et Conservation</w:t>
      </w:r>
      <w:r>
        <w:t xml:space="preserve"> : conservation +2-8 °C (réfrigérateur, dans l'emballage extérieur), ne pas congeler, ne pas exposer à la lumière. Transport en sac isotherme avec accumulateur de froid. Stabilité à température ambiante (≤25 °C) jusqu'à 1 mois (utile pour voyages courts).</w:t>
      </w:r>
    </w:p>
    <w:p>
      <w:pPr>
        <w:pStyle w:val="ListBullet"/>
      </w:pPr>
      <w:r/>
      <w:r>
        <w:rPr>
          <w:b/>
        </w:rPr>
        <w:t>Piège du surdosage / Substitution</w:t>
      </w:r>
      <w:r>
        <w:t xml:space="preserve"> : ne pas substituer un biosimilaire (Galtipex ↔ Glathera) sans surveillance clinique rapprochée (3 mois). Vérifier la dose administrée (40 mg/mL, 1 mL = 40 mg) — erreur possible avec d'autres dispositifs. En cas de substitution, vérifier la tolérance locale (site d'injection) et l'efficacité clinique (poussées, IRM) dans les 3-6 mois suivant le switch.</w:t>
      </w:r>
    </w:p>
    <w:p>
      <w:pPr>
        <w:pStyle w:val="Heading2"/>
      </w:pPr>
      <w:r>
        <w:t>93.3 — Sous-classe : SEP — Anti-intégrine α4 (Natalizumab)</w:t>
      </w:r>
    </w:p>
    <w:p>
      <w:pPr>
        <w:pStyle w:val="Heading3"/>
      </w:pPr>
      <w:r>
        <w:t>Introduction à la sous-classe</w:t>
      </w:r>
    </w:p>
    <w:p>
      <w:r>
        <w:t xml:space="preserve">Le </w:t>
      </w:r>
      <w:r>
        <w:rPr>
          <w:b/>
        </w:rPr>
        <w:t>natalizumab</w:t>
      </w:r>
      <w:r>
        <w:t xml:space="preserve"> représente la première biothérapie de </w:t>
      </w:r>
      <w:r>
        <w:rPr>
          <w:b/>
        </w:rPr>
        <w:t>haute efficacité</w:t>
      </w:r>
      <w:r>
        <w:t xml:space="preserve"> approuvée dans la sclérose en plaques récurrente-rémittente. Commercialisé sous le nom de </w:t>
      </w:r>
      <w:r>
        <w:rPr>
          <w:b/>
        </w:rPr>
        <w:t>TYSABRI</w:t>
      </w:r>
      <w:r>
        <w:t xml:space="preserve"> (Biogen Idec) et approuvé par la FDA en novembre 2004 (puis retrait temporaire en février 2005 après 3 cas de </w:t>
      </w:r>
      <w:r>
        <w:rPr>
          <w:b/>
        </w:rPr>
        <w:t>Leucoencéphalopathie Multifocale Progressive — PML</w:t>
      </w:r>
      <w:r>
        <w:t xml:space="preserve"> — réintroduction en juin 2006 avec programme de gestion des risques STRATO-TYSABRI et restriction aux patients JCV-négatifs ou à risque intermédiaire), ce médicament a marqué un tournant dans la stratégie thérapeutique de la SEP. Pour la première fois, une biothérapie ciblant spécifiquement une molécule d'adhésion lymphocytaire permettait une </w:t>
      </w:r>
      <w:r>
        <w:rPr>
          <w:b/>
        </w:rPr>
        <w:t>réduction de plus de 65-70 % du taux de poussées</w:t>
      </w:r>
      <w:r>
        <w:t xml:space="preserve"> et un </w:t>
      </w:r>
      <w:r>
        <w:rPr>
          <w:b/>
        </w:rPr>
        <w:t>ralentissement majeur de la progression du handicap</w:t>
      </w:r>
      <w:r>
        <w:t xml:space="preserve"> — largement supérieur aux IFNβ et au glatiramer acétate (~30 % de réduction).</w:t>
      </w:r>
    </w:p>
    <w:p>
      <w:r/>
      <w:r>
        <w:rPr>
          <w:b/>
        </w:rPr>
        <w:t>Nature biochimique</w:t>
      </w:r>
      <w:r>
        <w:t xml:space="preserve"> : le natalizumab est un </w:t>
      </w:r>
      <w:r>
        <w:rPr>
          <w:b/>
        </w:rPr>
        <w:t>anticorps monoclonal humanisé IgG4κ</w:t>
      </w:r>
      <w:r>
        <w:t xml:space="preserve"> produit par technologie recombinante en cellules de myelome murin NS0. Sa structure combine les régions variables d'origine murine (anticorps AN100226, immunisation contre la sous-unité α4 des intégrines humaines) greffées sur un cadre constant humain IgG4 — avec mutations S228P pour stabiliser la molécule (éviter l'échange de chaînes demi-bras avec des IgG4 endogènes) et L235E pour réduire l'ADCC. La cible est l'</w:t>
      </w:r>
      <w:r>
        <w:rPr>
          <w:b/>
        </w:rPr>
        <w:t>intégrine α4 (CD49d)</w:t>
      </w:r>
      <w:r>
        <w:t xml:space="preserve">, sous-unité commune aux </w:t>
      </w:r>
      <w:r>
        <w:rPr>
          <w:b/>
        </w:rPr>
        <w:t>intégrines α4β1 (VLA-4, Very Late Activation antigen-4)</w:t>
      </w:r>
      <w:r>
        <w:t xml:space="preserve"> et </w:t>
      </w:r>
      <w:r>
        <w:rPr>
          <w:b/>
        </w:rPr>
        <w:t>α4β7 (LPAM-1, Lymphocyte Peyer's patch Adhesion Molecule-1)</w:t>
      </w:r>
      <w:r>
        <w:t>.</w:t>
      </w:r>
    </w:p>
    <w:p>
      <w:r/>
      <w:r>
        <w:rPr>
          <w:b/>
        </w:rPr>
        <w:t>Justification physiopathologique</w:t>
      </w:r>
      <w:r>
        <w:t xml:space="preserve"> : les </w:t>
      </w:r>
      <w:r>
        <w:rPr>
          <w:b/>
        </w:rPr>
        <w:t>intégrines α4β1 (VLA-4)</w:t>
      </w:r>
      <w:r>
        <w:t xml:space="preserve"> et </w:t>
      </w:r>
      <w:r>
        <w:rPr>
          <w:b/>
        </w:rPr>
        <w:t>α4β7 (LPAM-1)</w:t>
      </w:r>
      <w:r>
        <w:t xml:space="preserve"> sont des molécules d'adhésion exprimées à la surface des </w:t>
      </w:r>
      <w:r>
        <w:rPr>
          <w:b/>
        </w:rPr>
        <w:t>lymphocytes T et B activés</w:t>
      </w:r>
      <w:r>
        <w:t>, des monocytes/macrophages, des éosinophiles et des basophiles. Elles interagissent avec leurs ligands endothéliaux :</w:t>
      </w:r>
    </w:p>
    <w:p>
      <w:pPr>
        <w:pStyle w:val="ListBullet"/>
      </w:pPr>
      <w:r/>
      <w:r>
        <w:rPr>
          <w:b/>
        </w:rPr>
        <w:t>VCAM-1 (CD106)</w:t>
      </w:r>
      <w:r>
        <w:t xml:space="preserve"> exprimé sur l'endothélium cérébral activé (BHE) — ligand principal de α4β1 (VLA-4).</w:t>
      </w:r>
    </w:p>
    <w:p>
      <w:pPr>
        <w:pStyle w:val="ListBullet"/>
      </w:pPr>
      <w:r/>
      <w:r>
        <w:rPr>
          <w:b/>
        </w:rPr>
        <w:t>MAdCAM-1 (Mucosal Addressin Cell Adhesion Molecule-1)</w:t>
      </w:r>
      <w:r>
        <w:t xml:space="preserve"> exprimé sur l'endothélium intestinal — ligand principal de α4β7 (LPAM-1).</w:t>
      </w:r>
    </w:p>
    <w:p>
      <w:pPr>
        <w:pStyle w:val="ListBullet"/>
      </w:pPr>
      <w:r/>
      <w:r>
        <w:rPr>
          <w:b/>
        </w:rPr>
        <w:t>Fibronectine</w:t>
      </w:r>
      <w:r>
        <w:t xml:space="preserve"> (domaine CS-1) et </w:t>
      </w:r>
      <w:r>
        <w:rPr>
          <w:b/>
        </w:rPr>
        <w:t>ostéopontine</w:t>
      </w:r>
      <w:r>
        <w:t xml:space="preserve"> — ligands de α4β1 dans la matrice extracellulaire.</w:t>
      </w:r>
    </w:p>
    <w:p>
      <w:r>
        <w:t>Dans la SEP, l'</w:t>
      </w:r>
      <w:r>
        <w:rPr>
          <w:b/>
        </w:rPr>
        <w:t>interaction VLA-4 (α4β1) – VCAM-1</w:t>
      </w:r>
      <w:r>
        <w:t xml:space="preserve"> est critique pour la </w:t>
      </w:r>
      <w:r>
        <w:rPr>
          <w:b/>
        </w:rPr>
        <w:t>diapédèse trans-endothéliale des lymphocytes T auto-immuns anti-myéline à travers la BHE</w:t>
      </w:r>
      <w:r>
        <w:t xml:space="preserve">. Le natalizumab, en bloquant l'α4, empêche cette adhésion et ce passage — séquestrant les lymphocytes T pathogènes dans la circulation périphérique, </w:t>
      </w:r>
      <w:r>
        <w:rPr>
          <w:b/>
        </w:rPr>
        <w:t>à l'extérieur du SNC</w:t>
      </w:r>
      <w:r>
        <w:t>. L'effet est spectaculaire : réduction des cellules inflammatoires pénétrant dans le SNC, réduction de l'inflammation périveineuse, réduction des lésions démyélinisantes actives (prise de gadolinium à l'IRM réduite de &gt;90 %).</w:t>
      </w:r>
    </w:p>
    <w:p>
      <w:r/>
      <w:r>
        <w:rPr>
          <w:b/>
        </w:rPr>
        <w:t>Efficacité</w:t>
      </w:r>
      <w:r>
        <w:t xml:space="preserve"> : réduction de la fréquence des poussées d'environ </w:t>
      </w:r>
      <w:r>
        <w:rPr>
          <w:b/>
        </w:rPr>
        <w:t>68 %</w:t>
      </w:r>
      <w:r>
        <w:t xml:space="preserve"> vs placebo (essai AFFIRM 2006), réduction de la progression du handicap confirmée à 2 ans de </w:t>
      </w:r>
      <w:r>
        <w:rPr>
          <w:b/>
        </w:rPr>
        <w:t>42 %</w:t>
      </w:r>
      <w:r>
        <w:t xml:space="preserve">, réduction de l'activité IRM (hypersignaux T2 nouveaux) de </w:t>
      </w:r>
      <w:r>
        <w:rPr>
          <w:b/>
        </w:rPr>
        <w:t>83 %</w:t>
      </w:r>
      <w:r>
        <w:t xml:space="preserve">, réduction des lésions gadolinium-positives de </w:t>
      </w:r>
      <w:r>
        <w:rPr>
          <w:b/>
        </w:rPr>
        <w:t>92 %</w:t>
      </w:r>
      <w:r>
        <w:t xml:space="preserve">. Efficacité supérieure à celle des IFNβ et du glatiramer acétate, comparable à celle de l'ocrélizumab et du fingolimod. Le natalizumab est considéré comme un traitement de </w:t>
      </w:r>
      <w:r>
        <w:rPr>
          <w:b/>
        </w:rPr>
        <w:t>haute efficacité</w:t>
      </w:r>
      <w:r>
        <w:t xml:space="preserve"> selon la classification ECTRIMS/EAN 2018-2024.</w:t>
      </w:r>
    </w:p>
    <w:p>
      <w:r/>
      <w:r>
        <w:rPr>
          <w:b/>
        </w:rPr>
        <w:t>Le risque PML — pièce maîtresse du positionnement</w:t>
      </w:r>
      <w:r>
        <w:t xml:space="preserve"> : le natalizumab expose à un risque spécifique de </w:t>
      </w:r>
      <w:r>
        <w:rPr>
          <w:b/>
        </w:rPr>
        <w:t>Leucoencéphalopathie Multifocale Progressive (PML)</w:t>
      </w:r>
      <w:r>
        <w:t xml:space="preserve">, infection opportuniste du SNC causée par la réactivation du </w:t>
      </w:r>
      <w:r>
        <w:rPr>
          <w:b/>
        </w:rPr>
        <w:t>virus JC (John Cunningham virus — polyomavirus JCV)</w:t>
      </w:r>
      <w:r>
        <w:t xml:space="preserve">. Le JCV est un virus ubiquitaire (séroprévalence ~50-60 % de la population adulte mondiale), latent dans les cellules rénales, le tube digestif et les cellules hématopoïétiques. Chez les patients immunodéprimés (sida, hématopathies, biothérapies immunosuppressives), le JCV peut réactiver, muter, et infecter les </w:t>
      </w:r>
      <w:r>
        <w:rPr>
          <w:b/>
        </w:rPr>
        <w:t>oligodendrocytes du SNC</w:t>
      </w:r>
      <w:r>
        <w:t>, provoquant une démyélinisation multifocale extensive souvent fatale (mortalité 30-50 %, séquelles neurologiques graves chez les survivants).</w:t>
      </w:r>
    </w:p>
    <w:p>
      <w:r/>
      <w:r>
        <w:rPr>
          <w:b/>
        </w:rPr>
        <w:t>Incidence de la PML sous natalizumab</w:t>
      </w:r>
      <w:r>
        <w:t xml:space="preserve"> :</w:t>
      </w:r>
    </w:p>
    <w:p>
      <w:pPr>
        <w:pStyle w:val="ListBullet"/>
      </w:pPr>
      <w:r>
        <w:t xml:space="preserve">Patients </w:t>
      </w:r>
      <w:r>
        <w:rPr>
          <w:b/>
        </w:rPr>
        <w:t>JCV-négatifs</w:t>
      </w:r>
      <w:r>
        <w:t xml:space="preserve"> : risque très faible, ~0,07 pour 1000 patients-traitement-année (incidence cumulée &lt; 0,1 % à 4 ans).</w:t>
      </w:r>
    </w:p>
    <w:p>
      <w:pPr>
        <w:pStyle w:val="ListBullet"/>
      </w:pPr>
      <w:r>
        <w:t xml:space="preserve">Patients </w:t>
      </w:r>
      <w:r>
        <w:rPr>
          <w:b/>
        </w:rPr>
        <w:t>JCV-positifs, traitement &lt; 2 ans</w:t>
      </w:r>
      <w:r>
        <w:t xml:space="preserve"> : risque faible à modéré, ~0,5 pour 1000 patients-an.</w:t>
      </w:r>
    </w:p>
    <w:p>
      <w:pPr>
        <w:pStyle w:val="ListBullet"/>
      </w:pPr>
      <w:r>
        <w:t xml:space="preserve">Patients </w:t>
      </w:r>
      <w:r>
        <w:rPr>
          <w:b/>
        </w:rPr>
        <w:t>JCV-positifs, traitement 2-4 ans</w:t>
      </w:r>
      <w:r>
        <w:t xml:space="preserve"> : risque modéré, ~5 pour 1000 patients-an (0,5 %).</w:t>
      </w:r>
    </w:p>
    <w:p>
      <w:pPr>
        <w:pStyle w:val="ListBullet"/>
      </w:pPr>
      <w:r>
        <w:t xml:space="preserve">Patients </w:t>
      </w:r>
      <w:r>
        <w:rPr>
          <w:b/>
        </w:rPr>
        <w:t>JCV-positifs, traitement &gt; 4 ans</w:t>
      </w:r>
      <w:r>
        <w:t xml:space="preserve"> : risque élevé, ~10-15 pour 1000 patients-an (1-1,5 %).</w:t>
      </w:r>
    </w:p>
    <w:p>
      <w:pPr>
        <w:pStyle w:val="ListBullet"/>
      </w:pPr>
      <w:r>
        <w:t xml:space="preserve">Patients </w:t>
      </w:r>
      <w:r>
        <w:rPr>
          <w:b/>
        </w:rPr>
        <w:t>JCV-positifs, traitement &gt; 4 ans, antécédent d'immunosuppresseur</w:t>
      </w:r>
      <w:r>
        <w:t xml:space="preserve"> : risque majeur, ~10-12 % (à éviter formellement).</w:t>
      </w:r>
    </w:p>
    <w:p>
      <w:r>
        <w:t xml:space="preserve">Le dépistage </w:t>
      </w:r>
      <w:r>
        <w:rPr>
          <w:b/>
        </w:rPr>
        <w:t>JCV (sérologie anti-JCV — test STRATIFY-1)</w:t>
      </w:r>
      <w:r>
        <w:t xml:space="preserve"> est donc </w:t>
      </w:r>
      <w:r>
        <w:rPr>
          <w:b/>
        </w:rPr>
        <w:t>obligatoire avant initiation du natalizumab</w:t>
      </w:r>
      <w:r>
        <w:t xml:space="preserve"> et à répéter tous les 6 mois (séroconversion possible : 2-3 % de patients par an). En cas de JCV-positivité persistante à &gt; 2 ans de traitement, discussion d'un switch vers une autre biothérapie (ocrélizumab, fingolimod) selon profil patient.</w:t>
      </w:r>
    </w:p>
    <w:p>
      <w:r/>
      <w:r>
        <w:rPr>
          <w:b/>
        </w:rPr>
        <w:t>Positionnement actuel</w:t>
      </w:r>
      <w:r>
        <w:t xml:space="preserve"> : traitement de </w:t>
      </w:r>
      <w:r>
        <w:rPr>
          <w:b/>
        </w:rPr>
        <w:t>deuxième intention</w:t>
      </w:r>
      <w:r>
        <w:t xml:space="preserve"> chez les patients SEP-RR à maladie active (≥2 poussées/an, IRM active) n'ayant pas répondu aux IFNβ/glatiramer, ou de </w:t>
      </w:r>
      <w:r>
        <w:rPr>
          <w:b/>
        </w:rPr>
        <w:t>première intention</w:t>
      </w:r>
      <w:r>
        <w:t xml:space="preserve"> chez les patients à maladie très active d'emblée (formes agressives) avec </w:t>
      </w:r>
      <w:r>
        <w:rPr>
          <w:b/>
        </w:rPr>
        <w:t>JCV négatif</w:t>
      </w:r>
      <w:r>
        <w:t xml:space="preserve"> confirmé. En cas de JCV-positivité, préférence pour ocrélizumab ou fingolimod (risque PML moindre). Indications strictes, prescription hospitalière spécialisée (neurologue hospitalier), surveillance rapprochée.</w:t>
      </w:r>
    </w:p>
    <w:p>
      <w:pPr>
        <w:pStyle w:val="Heading3"/>
      </w:pPr>
      <w:r>
        <w:t>3. DCI : Natalizumab (Seule)</w:t>
      </w:r>
    </w:p>
    <w:p>
      <w:r>
        <w:t xml:space="preserve">Le natalizumab, anticorps monoclonal humanisé IgG4κ anti-intégrine α4, est l'une des biothérapies de </w:t>
      </w:r>
      <w:r>
        <w:rPr>
          <w:b/>
        </w:rPr>
        <w:t>haute efficacité</w:t>
      </w:r>
      <w:r>
        <w:t xml:space="preserve"> les plus puissantes disponibles dans le traitement de la SEP récurrente-rémittente active. Administré par voie intraveineuse à la posologie de </w:t>
      </w:r>
      <w:r>
        <w:rPr>
          <w:b/>
        </w:rPr>
        <w:t>300 mg toutes les 4 semaines</w:t>
      </w:r>
      <w:r>
        <w:t xml:space="preserve"> en milieu hospitalier spécialisé (day hospital de neurologie), il assure une immunomodulation profonde par </w:t>
      </w:r>
      <w:r>
        <w:rPr>
          <w:b/>
        </w:rPr>
        <w:t>blocage du passage lymphocytaire à travers la barrière hémato-encéphalique</w:t>
      </w:r>
      <w:r>
        <w:t xml:space="preserve">. Son efficacité est remarquable — réduction des poussées d'environ 68 %, ralentissement majeur de la progression du handicap — mais son usage est strictement encadré par le </w:t>
      </w:r>
      <w:r>
        <w:rPr>
          <w:b/>
        </w:rPr>
        <w:t>risque de Leucoencéphalopathie Multifocale Progressive (PML)</w:t>
      </w:r>
      <w:r>
        <w:t xml:space="preserve">, infection opportuniste du SNC due à la réactivation du virus JC. Le dépistage sérologique JCV pré-thérapeutique et tous les 6 mois est obligatoire. En Algérie, le natalizumab est disponible sous le nom commercial </w:t>
      </w:r>
      <w:r>
        <w:rPr>
          <w:b/>
        </w:rPr>
        <w:t>TYSABRI</w:t>
      </w:r>
      <w:r>
        <w:t xml:space="preserve"> (Biogen Idec), prescription hospitalière spécialisée réservée.</w:t>
      </w:r>
    </w:p>
    <w:p>
      <w:r/>
      <w:r>
        <w:rPr>
          <w:b/>
        </w:rPr>
        <w:t>Liste des Catégories :</w:t>
      </w:r>
      <w:r>
        <w:t xml:space="preserve"> LISTE I — Biothérapie anticorps monoclonal anti-α4 integrin — traitement de fond de haute efficacité de la SEP-RR.</w:t>
      </w:r>
    </w:p>
    <w:p>
      <w:r/>
      <w:r>
        <w:rPr>
          <w:b/>
        </w:rPr>
        <w:t>Médicaments disponibles en Algérie (Marques, Laboratoires, Formes et Dosages) :</w:t>
      </w:r>
      <w:r/>
    </w:p>
    <w:p>
      <w:pPr>
        <w:pStyle w:val="ListBullet"/>
      </w:pPr>
      <w:r/>
      <w:r>
        <w:rPr>
          <w:b/>
        </w:rPr>
        <w:t>TYSABRI</w:t>
      </w:r>
      <w:r>
        <w:t xml:space="preserve"> (BIOGEN IDEC LIMITED)</w:t>
      </w:r>
    </w:p>
    <w:p>
      <w:pPr>
        <w:pStyle w:val="ListBullet"/>
      </w:pPr>
      <w:r>
        <w:t>Formes et Dosages : Concentré à diluer pour solution pour perfusion IV — 300 mg/flacon de 15 mL (20 mg/mL) — Boîte de 1 flacon de 15 mL</w:t>
      </w:r>
    </w:p>
    <w:p>
      <w:pPr>
        <w:pStyle w:val="ListBullet"/>
      </w:pPr>
      <w:r>
        <w:t>Statut : Actif (Liste I) — princeps de référence, prescription hospitalière spécialisée</w:t>
      </w:r>
    </w:p>
    <w:p>
      <w:r/>
      <w:r>
        <w:rPr>
          <w:b/>
        </w:rPr>
        <w:t>Commentaire sur la disponibilité algérienne</w:t>
      </w:r>
      <w:r>
        <w:t xml:space="preserve"> : le natalizumab est commercialisé en Algérie sous un nom de marque unique (</w:t>
      </w:r>
      <w:r>
        <w:rPr>
          <w:b/>
        </w:rPr>
        <w:t>TYSABRI</w:t>
      </w:r>
      <w:r>
        <w:t xml:space="preserve"> — Biogen Idec). Il n'existe pas de biosimilaire disponible à ce jour sur le marché algérien. La prescription est </w:t>
      </w:r>
      <w:r>
        <w:rPr>
          <w:b/>
        </w:rPr>
        <w:t>réservée au milieu hospitalier spécialisé</w:t>
      </w:r>
      <w:r>
        <w:t xml:space="preserve"> (neurologue hospitalier, en pratique dans les CHU et services de neurologie spécialisés SEP). La délivrance se fait exclusivement par les pharmacies à usage intérieur (PUI) des établissements de santé, avec administration en day hospital de neurologie. Le pharmacien d'officine n'est généralement pas impliqué dans la délivrance directe du natalizumab, mais joue un rôle clé dans l'</w:t>
      </w:r>
      <w:r>
        <w:rPr>
          <w:b/>
        </w:rPr>
        <w:t>éducation thérapeutique du patient</w:t>
      </w:r>
      <w:r>
        <w:t xml:space="preserve"> (suivi, observance des rendez-vous de perfusion, reconnaissance des signes d'alerte de PML), dans la </w:t>
      </w:r>
      <w:r>
        <w:rPr>
          <w:b/>
        </w:rPr>
        <w:t>coordination des soins</w:t>
      </w:r>
      <w:r>
        <w:t xml:space="preserve"> (prise en charge multidisciplinaire), et dans la </w:t>
      </w:r>
      <w:r>
        <w:rPr>
          <w:b/>
        </w:rPr>
        <w:t>gestion des interactions médicamenteuses</w:t>
      </w:r>
      <w:r>
        <w:t xml:space="preserve"> (médicaments associés pour les symptômes de la SEP).</w:t>
      </w:r>
    </w:p>
    <w:p>
      <w:r/>
      <w:r>
        <w:rPr>
          <w:b/>
        </w:rPr>
        <w:t>Sous-classe et Mécanisme d'action :</w:t>
      </w:r>
      <w:r/>
    </w:p>
    <w:p>
      <w:pPr>
        <w:pStyle w:val="ListBullet"/>
      </w:pPr>
      <w:r/>
      <w:r>
        <w:rPr>
          <w:b/>
        </w:rPr>
        <w:t>Sous-classe</w:t>
      </w:r>
      <w:r>
        <w:t xml:space="preserve"> : Biothérapie de haute efficacité — Anticorps monoclonal humanisé IgG4κ anti-intégrine α4. Deuxième intention (après échec IFNβ/glatiramer) ou première intention (SEP très active, JCV-négatif).</w:t>
      </w:r>
    </w:p>
    <w:p>
      <w:pPr>
        <w:pStyle w:val="ListBullet"/>
      </w:pPr>
      <w:r/>
      <w:r>
        <w:rPr>
          <w:b/>
        </w:rPr>
        <w:t>Mécanisme d'action</w:t>
      </w:r>
      <w:r>
        <w:t xml:space="preserve"> : le natalizumab est un </w:t>
      </w:r>
      <w:r>
        <w:rPr>
          <w:b/>
        </w:rPr>
        <w:t>anticorps monoclonal humanisé IgG4κ</w:t>
      </w:r>
      <w:r>
        <w:t xml:space="preserve"> qui se lie avec une haute affinité (Kd ~0,3 nM) à la </w:t>
      </w:r>
      <w:r>
        <w:rPr>
          <w:b/>
        </w:rPr>
        <w:t>sous-unité α4 (CD49d)</w:t>
      </w:r>
      <w:r>
        <w:t xml:space="preserve"> des intégrines α4β1 (VLA-4) et α4β7 (LPAM-1) exprimées à la surface des lymphocytes T et B activés, monocytes/macrophages, éosinophiles, basophiles. Cette liaison bloque l'interaction de ces intégrines avec leurs ligands endothéliaux :</w:t>
      </w:r>
    </w:p>
    <w:p>
      <w:r>
        <w:t xml:space="preserve">  (i) </w:t>
      </w:r>
      <w:r>
        <w:rPr>
          <w:b/>
        </w:rPr>
        <w:t>VCAM-1 (CD106)</w:t>
      </w:r>
      <w:r>
        <w:t xml:space="preserve"> exprimé sur l'endothélium cérébral activé (BHE) — ligand principal de α4β1 (VLA-4). Cette interaction est </w:t>
      </w:r>
      <w:r>
        <w:rPr>
          <w:b/>
        </w:rPr>
        <w:t>critique</w:t>
      </w:r>
      <w:r>
        <w:t xml:space="preserve"> pour la diapédèse trans-endothéliale des lymphocytes T auto-immuns anti-myéline dans le SNC.</w:t>
      </w:r>
    </w:p>
    <w:p>
      <w:r>
        <w:t xml:space="preserve">  (ii) </w:t>
      </w:r>
      <w:r>
        <w:rPr>
          <w:b/>
        </w:rPr>
        <w:t>MAdCAM-1</w:t>
      </w:r>
      <w:r>
        <w:t xml:space="preserve"> exprimé sur l'endothélium intestinal — ligand principal de α4β7 (LPAM-1). Cette interaction est critique pour le homing intestinal des lymphocytes (mode d'action commun avec le vedolizumab dans les MICI).</w:t>
      </w:r>
    </w:p>
    <w:p>
      <w:r>
        <w:t xml:space="preserve">  (iii) </w:t>
      </w:r>
      <w:r>
        <w:rPr>
          <w:b/>
        </w:rPr>
        <w:t>Fibronectine (domaine CS-1)</w:t>
      </w:r>
      <w:r>
        <w:t xml:space="preserve"> et </w:t>
      </w:r>
      <w:r>
        <w:rPr>
          <w:b/>
        </w:rPr>
        <w:t>ostéopontine</w:t>
      </w:r>
      <w:r>
        <w:t xml:space="preserve"> dans la matrice extracellulaire — ligands mineurs de α4β1.</w:t>
      </w:r>
    </w:p>
    <w:p>
      <w:r>
        <w:t xml:space="preserve">  Le blocage de l'interaction VLA-4 (α4β1) – VCAM-1 est le mécanisme d'action principal dans la SEP : il </w:t>
      </w:r>
      <w:r>
        <w:rPr>
          <w:b/>
        </w:rPr>
        <w:t>empêche l'adhésion et la transmigration des lymphocytes T et B activés à travers la BHE</w:t>
      </w:r>
      <w:r>
        <w:t xml:space="preserve">, les séquestrant dans la circulation périphérique. Le résultat est une </w:t>
      </w:r>
      <w:r>
        <w:rPr>
          <w:b/>
        </w:rPr>
        <w:t>réduction massive de l'infiltrat inflammatoire périveineux du SNC</w:t>
      </w:r>
      <w:r>
        <w:t>, une réduction des lésions démyélinisantes actives (prises de gadolinium à l'IRM réduites de &gt;90 %), une réduction de l'activité clinique (poussées réduites de 68 %), et un ralentissement de la progression du handicap (réduction de 42 % à 2 ans vs placebo).</w:t>
      </w:r>
    </w:p>
    <w:p>
      <w:r>
        <w:t xml:space="preserve">  Le blocage concomitant de α4β7 – MAdCAM-1 explique la </w:t>
      </w:r>
      <w:r>
        <w:rPr>
          <w:b/>
        </w:rPr>
        <w:t>partie des effets indésirables digestifs</w:t>
      </w:r>
      <w:r>
        <w:t xml:space="preserve"> du natalizumab (le blocage du homing intestinal lymphocytaire favorise théoriquement les infections digestives, mais cet effet est cliniquement peu pertinent en pratique).</w:t>
      </w:r>
    </w:p>
    <w:p>
      <w:r>
        <w:t xml:space="preserve">  Le natalizumab n'a </w:t>
      </w:r>
      <w:r>
        <w:rPr>
          <w:b/>
        </w:rPr>
        <w:t>pas d'effet direct sur les lymphocytes T/B périphériques</w:t>
      </w:r>
      <w:r>
        <w:t xml:space="preserve"> (pas de déplétion, pas de cytotoxicité, pas d'apoptose induite) — il s'agit d'un </w:t>
      </w:r>
      <w:r>
        <w:rPr>
          <w:b/>
        </w:rPr>
        <w:t>blocage fonctionnel du trafic lymphocytaire</w:t>
      </w:r>
      <w:r>
        <w:t>, mécanisme original par rapport aux anti-CD20 (déplétion B) ou aux modulateurs S1P (séquestration ganglionnaire).</w:t>
      </w:r>
    </w:p>
    <w:p>
      <w:r>
        <w:t xml:space="preserve">  À noter : le natalizumab induit une </w:t>
      </w:r>
      <w:r>
        <w:rPr>
          <w:b/>
        </w:rPr>
        <w:t>lymphocytose périphérique</w:t>
      </w:r>
      <w:r>
        <w:t xml:space="preserve"> (augmentation des lymphocytes circulants ~2-3× LSN) par séquestration vasculaire — effet attendu, sans caractère pathologique.</w:t>
      </w:r>
    </w:p>
    <w:p>
      <w:r/>
      <w:r>
        <w:rPr>
          <w:b/>
        </w:rPr>
        <w:t>Profil Pharmacologique :</w:t>
      </w:r>
      <w:r/>
    </w:p>
    <w:p>
      <w:pPr>
        <w:pStyle w:val="ListBullet"/>
      </w:pPr>
      <w:r/>
      <w:r>
        <w:rPr>
          <w:b/>
        </w:rPr>
        <w:t>Indications</w:t>
      </w:r>
      <w:r>
        <w:t xml:space="preserve"> :</w:t>
      </w:r>
    </w:p>
    <w:p>
      <w:pPr>
        <w:pStyle w:val="ListBullet"/>
      </w:pPr>
      <w:r/>
      <w:r>
        <w:rPr>
          <w:b/>
        </w:rPr>
        <w:t>SEP récurrente-rémittente (SEP-RR) active sévère</w:t>
      </w:r>
      <w:r>
        <w:t xml:space="preserve"> chez l'adulte — traitement de fond de haute efficacité en monothérapie. Indications selon ECTRIMS/EAN 2018-2024 :</w:t>
      </w:r>
    </w:p>
    <w:p>
      <w:pPr>
        <w:pStyle w:val="ListBullet"/>
      </w:pPr>
      <w:r>
        <w:t>Deuxième intention après échec des IFNβ/glatiramer (≥2 poussées/an sous traitement bien conduit ou progression IRM)</w:t>
      </w:r>
    </w:p>
    <w:p>
      <w:pPr>
        <w:pStyle w:val="ListBullet"/>
      </w:pPr>
      <w:r>
        <w:t xml:space="preserve">Première intention chez les patients à maladie </w:t>
      </w:r>
      <w:r>
        <w:rPr>
          <w:b/>
        </w:rPr>
        <w:t>très active d'emblée</w:t>
      </w:r>
      <w:r>
        <w:t xml:space="preserve"> (≥2 poussées/an et IRM active avec prises de gadolinium multiples, ou forme agressive avec handicap précoce) ET </w:t>
      </w:r>
      <w:r>
        <w:rPr>
          <w:b/>
        </w:rPr>
        <w:t>JCV-séronégatif</w:t>
      </w:r>
      <w:r>
        <w:t xml:space="preserve"> confirmé</w:t>
      </w:r>
    </w:p>
    <w:p>
      <w:pPr>
        <w:pStyle w:val="ListBullet"/>
      </w:pPr>
      <w:r>
        <w:t>Indication restriction progressive (autorisation avec risque management) : patients JCV-positifs uniquement si bénéfice/risque favorable (maladie très active, JCV-index &lt; 0,7, traitement &lt; 2 ans envisagé)</w:t>
      </w:r>
    </w:p>
    <w:p>
      <w:pPr>
        <w:pStyle w:val="ListBullet"/>
      </w:pPr>
      <w:r>
        <w:t>Maladie de Crohn active modérée à sévère (indication MICI — non développée ici)</w:t>
      </w:r>
    </w:p>
    <w:p>
      <w:pPr>
        <w:pStyle w:val="ListBullet"/>
      </w:pPr>
      <w:r/>
      <w:r>
        <w:rPr>
          <w:b/>
        </w:rPr>
        <w:t>Contre-indications</w:t>
      </w:r>
      <w:r>
        <w:t xml:space="preserve"> :</w:t>
      </w:r>
    </w:p>
    <w:p>
      <w:pPr>
        <w:pStyle w:val="ListBullet"/>
      </w:pPr>
      <w:r/>
      <w:r>
        <w:rPr>
          <w:b/>
        </w:rPr>
        <w:t>PML history</w:t>
      </w:r>
      <w:r>
        <w:t xml:space="preserve"> ou suspicion PML</w:t>
      </w:r>
    </w:p>
    <w:p>
      <w:pPr>
        <w:pStyle w:val="ListBullet"/>
      </w:pPr>
      <w:r/>
      <w:r>
        <w:rPr>
          <w:b/>
        </w:rPr>
        <w:t>Infection VIH/SIDA</w:t>
      </w:r>
      <w:r>
        <w:t xml:space="preserve"> (immunodépression additive majeure)</w:t>
      </w:r>
    </w:p>
    <w:p>
      <w:pPr>
        <w:pStyle w:val="ListBullet"/>
      </w:pPr>
      <w:r/>
      <w:r>
        <w:rPr>
          <w:b/>
        </w:rPr>
        <w:t>Traitements immunosuppresseurs chroniques</w:t>
      </w:r>
      <w:r>
        <w:t xml:space="preserve"> antérieurs (mitoxantrone, azathioprine, méthotrexate, mycophénolate, ciclosporine, anti-TNFα, anti-CD20, fingolimod, diméthyl fumarate) — risque PML fortement majoré (incidence ~10-12 % chez patients JCV+ avec ATCD immunosuppresseur)</w:t>
      </w:r>
    </w:p>
    <w:p>
      <w:pPr>
        <w:pStyle w:val="ListBullet"/>
      </w:pPr>
      <w:r/>
      <w:r>
        <w:rPr>
          <w:b/>
        </w:rPr>
        <w:t>JCV-positivité</w:t>
      </w:r>
      <w:r>
        <w:t xml:space="preserve"> avec index &gt; 1,5 et traitement &gt; 4 ans — discuter switch vers autre classe</w:t>
      </w:r>
    </w:p>
    <w:p>
      <w:pPr>
        <w:pStyle w:val="ListBullet"/>
      </w:pPr>
      <w:r/>
      <w:r>
        <w:rPr>
          <w:b/>
        </w:rPr>
        <w:t>Infections sévères actives</w:t>
      </w:r>
      <w:r>
        <w:t xml:space="preserve"> (sepsis, infections opportunistes actives)</w:t>
      </w:r>
    </w:p>
    <w:p>
      <w:pPr>
        <w:pStyle w:val="ListBullet"/>
      </w:pPr>
      <w:r/>
      <w:r>
        <w:rPr>
          <w:b/>
        </w:rPr>
        <w:t>Hypersensibilité</w:t>
      </w:r>
      <w:r>
        <w:t xml:space="preserve"> au natalizumab ou à l'un des excipients</w:t>
      </w:r>
    </w:p>
    <w:p>
      <w:pPr>
        <w:pStyle w:val="ListBullet"/>
      </w:pPr>
      <w:r/>
      <w:r>
        <w:rPr>
          <w:b/>
        </w:rPr>
        <w:t>Insuffisance hépatique sévère</w:t>
      </w:r>
      <w:r>
        <w:t xml:space="preserve"> (cytolyse additive possible)</w:t>
      </w:r>
    </w:p>
    <w:p>
      <w:pPr>
        <w:pStyle w:val="ListBullet"/>
      </w:pPr>
      <w:r/>
      <w:r>
        <w:rPr>
          <w:b/>
        </w:rPr>
        <w:t>Grossesse</w:t>
      </w:r>
      <w:r>
        <w:t xml:space="preserve"> : à éviter par prudence (données limitées, IgG4 traversant partiellement le placenta), sauf si maladie très active et bénéfice/risque favorable</w:t>
      </w:r>
    </w:p>
    <w:p>
      <w:pPr>
        <w:pStyle w:val="ListBullet"/>
      </w:pPr>
      <w:r/>
      <w:r>
        <w:rPr>
          <w:b/>
        </w:rPr>
        <w:t>Allaitement</w:t>
      </w:r>
      <w:r>
        <w:t xml:space="preserve"> : à éviter par prudence</w:t>
      </w:r>
    </w:p>
    <w:p>
      <w:pPr>
        <w:pStyle w:val="ListBullet"/>
      </w:pPr>
      <w:r/>
      <w:r>
        <w:rPr>
          <w:b/>
        </w:rPr>
        <w:t>Effets Indésirables</w:t>
      </w:r>
      <w:r>
        <w:t xml:space="preserve"> :</w:t>
      </w:r>
    </w:p>
    <w:p>
      <w:pPr>
        <w:pStyle w:val="ListBullet"/>
      </w:pPr>
      <w:r/>
      <w:r>
        <w:rPr>
          <w:b/>
        </w:rPr>
        <w:t>PML (Leucoencéphalopathie Multifocale Progressive)</w:t>
      </w:r>
      <w:r>
        <w:t xml:space="preserve"> — effet indésirable majeur, potentiellement mortel. Incidence dépendante du statut JCV et de la durée de traitement (cf. ci-dessus). Mécanisme : réactivation du virus JC (polyomavirus) dans le SNC, infection des oligodendrocytes, démyélinisation multifocale. Clinique : déficits neurologiques progressifs (hémiparésie, aphasie, ataxie, troubles visuels, syndrome cérébelleux, démence, crises convulsives, troubles cognitifs) sur plusieurs jours à semaines. </w:t>
      </w:r>
      <w:r>
        <w:rPr>
          <w:b/>
        </w:rPr>
        <w:t>Diagnostic</w:t>
      </w:r>
      <w:r>
        <w:t xml:space="preserve"> : IRM cérébrale (lésions T2 hyperintenses multifiales sous-corticales, pas de prise de gadolinium typiquement, mais peut avoir un aspect inflammatoire), </w:t>
      </w:r>
      <w:r>
        <w:rPr>
          <w:b/>
        </w:rPr>
        <w:t>PCR JCV dans le LCR</w:t>
      </w:r>
      <w:r>
        <w:t xml:space="preserve"> (sensibilité 75 %, spécificité 99 %), biopsie cérébrale si doute. </w:t>
      </w:r>
      <w:r>
        <w:rPr>
          <w:b/>
        </w:rPr>
        <w:t>Conduite à tenir</w:t>
      </w:r>
      <w:r>
        <w:t xml:space="preserve"> : arrêt immédiat et définitif du natalizumab, </w:t>
      </w:r>
      <w:r>
        <w:rPr>
          <w:b/>
        </w:rPr>
        <w:t>plasmaphérèse</w:t>
      </w:r>
      <w:r>
        <w:t xml:space="preserve"> pour éliminer rapidement le natalizumab circulant (3-4 séances en 5-7 jours), surveillance neurologique intensive (IRM cérébrale répétée, LCR), prise en charge symptomatique (anti-épileptiques si crises, rééducation). Le pronostic dépend de la précocité du diagnostic et de la rapidité de l'arrêt du natalizumab — mortalité 30-50 %, séquelles neurologiques graves chez 50-70 % des survivants. L'</w:t>
      </w:r>
      <w:r>
        <w:rPr>
          <w:b/>
        </w:rPr>
        <w:t>IRIS (Immune Reconstitution Inflammatory Syndrome)</w:t>
      </w:r>
      <w:r>
        <w:t xml:space="preserve"> après arrêt du natalizumab et plasmaphérèse peut aggraver transitoirement le tableau (œdème cérébral, masse effect), à gérer par corticothérapie (méthylprednisolone 1 g IV J1-J5).</w:t>
      </w:r>
    </w:p>
    <w:p>
      <w:pPr>
        <w:pStyle w:val="ListBullet"/>
      </w:pPr>
      <w:r/>
      <w:r>
        <w:rPr>
          <w:b/>
        </w:rPr>
        <w:t>Réactions à la perfusion</w:t>
      </w:r>
      <w:r>
        <w:t xml:space="preserve"> (10-15 % des patients) : fièvre, frissons, prurit, urticaire, dyspnée, hypotension, plus rarement choc anaphylactique (1-2 %). Prévention : prémédication antihistaminique (dexchlorphéniramine 5 mg IV) +/- hydrocortisone 100 mg IV avant la perfusion, surtout en début de traitement. Surveillance continue pendant et 1-2 h après la perfusion.</w:t>
      </w:r>
    </w:p>
    <w:p>
      <w:pPr>
        <w:pStyle w:val="ListBullet"/>
      </w:pPr>
      <w:r/>
      <w:r>
        <w:rPr>
          <w:b/>
        </w:rPr>
        <w:t>Hypersensibilité retardée</w:t>
      </w:r>
      <w:r>
        <w:t xml:space="preserve"> (rare, 1-3 %) : rash, arthralgies, fièvre, myalgies, à distance de la perfusion (24-72 h).</w:t>
      </w:r>
    </w:p>
    <w:p>
      <w:pPr>
        <w:pStyle w:val="ListBullet"/>
      </w:pPr>
      <w:r/>
      <w:r>
        <w:rPr>
          <w:b/>
        </w:rPr>
        <w:t>Immunogénicité</w:t>
      </w:r>
      <w:r>
        <w:t xml:space="preserve"> : anticorps anti-natalizumab persistants chez ~6-9 % des patients (12 % à 1 an), associés à une perte d'efficacité et à un risque accru de réactions à la perfusion. Détection par dosage Ac anti-natalizumab en cas d'inefficacité ou de réactions.</w:t>
      </w:r>
    </w:p>
    <w:p>
      <w:pPr>
        <w:pStyle w:val="ListBullet"/>
      </w:pPr>
      <w:r/>
      <w:r>
        <w:rPr>
          <w:b/>
        </w:rPr>
        <w:t>Hépatiques</w:t>
      </w:r>
      <w:r>
        <w:t xml:space="preserve"> : cytolyse transitoire (10-15 %), rarement hépatite autoimmune (surveillance ASAT/ALAT trimestrielle).</w:t>
      </w:r>
    </w:p>
    <w:p>
      <w:pPr>
        <w:pStyle w:val="ListBullet"/>
      </w:pPr>
      <w:r/>
      <w:r>
        <w:rPr>
          <w:b/>
        </w:rPr>
        <w:t>Hématologiques</w:t>
      </w:r>
      <w:r>
        <w:t xml:space="preserve"> : rares — leucopénie modérée, thrombopénie.</w:t>
      </w:r>
    </w:p>
    <w:p>
      <w:pPr>
        <w:pStyle w:val="ListBullet"/>
      </w:pPr>
      <w:r/>
      <w:r>
        <w:rPr>
          <w:b/>
        </w:rPr>
        <w:t>Infections</w:t>
      </w:r>
      <w:r>
        <w:t xml:space="preserve"> : urinaires, ORL, grippales — augmentation modeste vs placebo. Pas de sur-risque tuberculose (contrairement aux anti-TNFα).</w:t>
      </w:r>
    </w:p>
    <w:p>
      <w:pPr>
        <w:pStyle w:val="ListBullet"/>
      </w:pPr>
      <w:r/>
      <w:r>
        <w:rPr>
          <w:b/>
        </w:rPr>
        <w:t>Fatigue, asthénie, céphalées</w:t>
      </w:r>
      <w:r>
        <w:t xml:space="preserve"> : fréquents mais modérés.</w:t>
      </w:r>
    </w:p>
    <w:p>
      <w:pPr>
        <w:pStyle w:val="ListBullet"/>
      </w:pPr>
      <w:r/>
      <w:r>
        <w:rPr>
          <w:b/>
        </w:rPr>
        <w:t>Mélanome</w:t>
      </w:r>
      <w:r>
        <w:t xml:space="preserve"> : signal possible (données observationnelles), surveillance dermatologique annuelle.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NFS, transaminases, créatinine, </w:t>
      </w:r>
      <w:r>
        <w:rPr>
          <w:b/>
        </w:rPr>
        <w:t>sérologie JCV (test STRATIFY-1 ou équivalent — index anti-JCV)</w:t>
      </w:r>
      <w:r>
        <w:t xml:space="preserve"> obligatoire avant initiation et à répéter tous les 6 mois chez patients initialement négatifs (séroconversion 2-3 %/an), sérologies VIH/VHB/VHC, IDR à la tuberculine ou IGRA, radiographie thoracique, IRM cérébrale initiale (référence pour surveillance PML), examen neurologique avec EDSS, β-hCG chez femme en âge de procréer.</w:t>
      </w:r>
    </w:p>
    <w:p>
      <w:pPr>
        <w:pStyle w:val="ListBullet"/>
      </w:pPr>
      <w:r/>
      <w:r>
        <w:rPr>
          <w:b/>
        </w:rPr>
        <w:t>Vaccination</w:t>
      </w:r>
      <w:r>
        <w:t xml:space="preserve"> : mise à jour des vaccins inactivés au moins 2 semaines avant initiation (grippe annuelle, pneumocoque, hépatite B si séronégatif, tétanos-polio). Vaccins vivants </w:t>
      </w:r>
      <w:r>
        <w:rPr>
          <w:b/>
        </w:rPr>
        <w:t>contre-indiqués</w:t>
      </w:r>
      <w:r>
        <w:t xml:space="preserve"> pendant le traitement et jusqu'à 3 mois après l'arrêt.</w:t>
      </w:r>
    </w:p>
    <w:p>
      <w:pPr>
        <w:pStyle w:val="ListBullet"/>
      </w:pPr>
      <w:r/>
      <w:r>
        <w:rPr>
          <w:b/>
        </w:rPr>
        <w:t>Pas d'association à un autre immunosuppresseur</w:t>
      </w:r>
      <w:r>
        <w:t xml:space="preserve"> (azathioprine, méthotrexate, mitoxantrone, anti-TNFα, anti-CD20, fingolimod, diméthyl fumarate) — risque PML fortement majoré.</w:t>
      </w:r>
    </w:p>
    <w:p>
      <w:pPr>
        <w:pStyle w:val="ListBullet"/>
      </w:pPr>
      <w:r/>
      <w:r>
        <w:rPr>
          <w:b/>
        </w:rPr>
        <w:t>Surveillance clinique neurologique</w:t>
      </w:r>
      <w:r>
        <w:t xml:space="preserve"> : consultation neurologique mensuelle pendant les 6 premiers mois, puis trimestrielle. Recherche de signes d'alerte PML : troubles cognitifs, troubles visuels, hémiparésie, aphasie, ataxie, crises convulsives — toute modification neurologique inhabituelle = </w:t>
      </w:r>
      <w:r>
        <w:rPr>
          <w:b/>
        </w:rPr>
        <w:t>suspicion PML</w:t>
      </w:r>
      <w:r>
        <w:t xml:space="preserve"> = arrêt immédiat, IRM cérébrale en urgence, PCR JCV LCR.</w:t>
      </w:r>
    </w:p>
    <w:p>
      <w:pPr>
        <w:pStyle w:val="ListBullet"/>
      </w:pPr>
      <w:r/>
      <w:r>
        <w:rPr>
          <w:b/>
        </w:rPr>
        <w:t>Surveillance IRM cérébrale</w:t>
      </w:r>
      <w:r>
        <w:t xml:space="preserve"> : IRM initiale (référence), IRM à M3 (vérifier réponse), puis IRM </w:t>
      </w:r>
      <w:r>
        <w:rPr>
          <w:b/>
        </w:rPr>
        <w:t>semestrielle</w:t>
      </w:r>
      <w:r>
        <w:t xml:space="preserve"> chez patients JCV-positifs (surveillance PML — recherche de lésions T2 nouvelles sous-corticales, potentiellement évocatrices de PML).</w:t>
      </w:r>
    </w:p>
    <w:p>
      <w:pPr>
        <w:pStyle w:val="ListBullet"/>
      </w:pPr>
      <w:r/>
      <w:r>
        <w:rPr>
          <w:b/>
        </w:rPr>
        <w:t>Prémédication</w:t>
      </w:r>
      <w:r>
        <w:t xml:space="preserve"> : dexchlorphéniramine 5 mg IV +/- hydrocortisone 100 mg IV avant la perfusion (surtout en début de traitement ou en cas d'antécédent de réaction).</w:t>
      </w:r>
    </w:p>
    <w:p>
      <w:pPr>
        <w:pStyle w:val="ListBullet"/>
      </w:pPr>
      <w:r/>
      <w:r>
        <w:rPr>
          <w:b/>
        </w:rPr>
        <w:t>Surveillance pendant la perfusion</w:t>
      </w:r>
      <w:r>
        <w:t xml:space="preserve"> : perfusion IV de 1 heure (ralentir à 30 min possible après 4 perfusions bien tolérées), surveillance continue (tension, pouls, SaO2) pendant et 1-2 h après.</w:t>
      </w:r>
    </w:p>
    <w:p>
      <w:pPr>
        <w:pStyle w:val="ListBullet"/>
      </w:pPr>
      <w:r/>
      <w:r>
        <w:rPr>
          <w:b/>
        </w:rPr>
        <w:t>Surveillance biologique</w:t>
      </w:r>
      <w:r>
        <w:t xml:space="preserve"> : NFS-plaquettes et transaminases trimestrielles.</w:t>
      </w:r>
    </w:p>
    <w:p>
      <w:pPr>
        <w:pStyle w:val="ListBullet"/>
      </w:pPr>
      <w:r/>
      <w:r>
        <w:rPr>
          <w:b/>
        </w:rPr>
        <w:t>Conduite à Tenir</w:t>
      </w:r>
      <w:r>
        <w:t xml:space="preserve"> :</w:t>
      </w:r>
    </w:p>
    <w:p>
      <w:pPr>
        <w:pStyle w:val="ListBullet"/>
      </w:pPr>
      <w:r/>
      <w:r>
        <w:rPr>
          <w:b/>
        </w:rPr>
        <w:t>Suspicion PML</w:t>
      </w:r>
      <w:r>
        <w:t xml:space="preserve"> : arrêt immédiat et définitif du natalizumab, hospitalisation neurologie, IRM cérébrale en urgence, </w:t>
      </w:r>
      <w:r>
        <w:rPr>
          <w:b/>
        </w:rPr>
        <w:t>ponction lombaire avec PCR JCV</w:t>
      </w:r>
      <w:r>
        <w:t>, discussion plasmaphérèse (3-4 séances en 5-7 jours pour éliminer le natalizumab circulant — accélère la récupération immune, mais expose à un risque d'</w:t>
      </w:r>
      <w:r>
        <w:rPr>
          <w:b/>
        </w:rPr>
        <w:t>IRIS</w:t>
      </w:r>
      <w:r>
        <w:t xml:space="preserve"> (Immune Reconstitution Inflammatory Syndrome) à surveiller).</w:t>
      </w:r>
    </w:p>
    <w:p>
      <w:pPr>
        <w:pStyle w:val="ListBullet"/>
      </w:pPr>
      <w:r/>
      <w:r>
        <w:rPr>
          <w:b/>
        </w:rPr>
        <w:t>Réaction à la perfusion légère</w:t>
      </w:r>
      <w:r>
        <w:t xml:space="preserve"> : ralentir le débit (50%), antihistaminique, surveillance. </w:t>
      </w:r>
      <w:r>
        <w:rPr>
          <w:b/>
        </w:rPr>
        <w:t>Réaction modérée à sévère</w:t>
      </w:r>
      <w:r>
        <w:t xml:space="preserve"> : arrêt immédiat, réanimation symptomatique (antihistaminique, corticothérapie, adrénaline si choc anaphylactique), contre-indication à la reprise si anaphylaxie grave.</w:t>
      </w:r>
    </w:p>
    <w:p>
      <w:pPr>
        <w:pStyle w:val="ListBullet"/>
      </w:pPr>
      <w:r/>
      <w:r>
        <w:rPr>
          <w:b/>
        </w:rPr>
        <w:t>Séroconversion JCV</w:t>
      </w:r>
      <w:r>
        <w:t xml:space="preserve"> pendant le traitement : réévaluation bénéfice/risque (si JCV+ persistant &gt; 2 ans de traitement, switch vers autre classe recommandé — ocrélizumab ou fingolimod selon profil).</w:t>
      </w:r>
    </w:p>
    <w:p>
      <w:pPr>
        <w:pStyle w:val="ListBullet"/>
      </w:pPr>
      <w:r/>
      <w:r>
        <w:rPr>
          <w:b/>
        </w:rPr>
        <w:t>Perte d'efficacité</w:t>
      </w:r>
      <w:r>
        <w:t xml:space="preserve"> (poussées sous traitement bien conduit) : dosage Ac anti-natalizumab (si persistants → switch vers autre classe).</w:t>
      </w:r>
    </w:p>
    <w:p>
      <w:pPr>
        <w:pStyle w:val="ListBullet"/>
      </w:pPr>
      <w:r/>
      <w:r>
        <w:rPr>
          <w:b/>
        </w:rPr>
        <w:t>Poussée sous traitement</w:t>
      </w:r>
      <w:r>
        <w:t xml:space="preserve"> : évaluation de la réponse thérapeutique (≥2 poussées/an ou progression IRM = échece thérapeutique, switch selon profil patient — ocrélizumab ou fingolimod).</w:t>
      </w:r>
    </w:p>
    <w:p>
      <w:r/>
      <w:r>
        <w:rPr>
          <w:b/>
        </w:rPr>
        <w:t>Interactions Importantes :</w:t>
      </w:r>
      <w:r/>
    </w:p>
    <w:p>
      <w:pPr>
        <w:pStyle w:val="ListBullet"/>
      </w:pPr>
      <w:r/>
      <w:r>
        <w:rPr>
          <w:b/>
        </w:rPr>
        <w:t>Natalizumab + vaccins vivants (BCG, ROR, fièvre jaune, varicelle, rotavirus, oral polio)</w:t>
      </w:r>
      <w:r>
        <w:t xml:space="preserve"> : contre-indication absolue — risque d'infection vaccinale généralisée. Attendre 3 mois après l'arrêt du natalizumab pour vacciner.</w:t>
      </w:r>
    </w:p>
    <w:p>
      <w:pPr>
        <w:pStyle w:val="ListBullet"/>
      </w:pPr>
      <w:r/>
      <w:r>
        <w:rPr>
          <w:b/>
        </w:rPr>
        <w:t>Natalizumab + immunosuppresseurs (azathioprine, méthotrexate, mitoxantrone, mycophénolate, ciclosporine, anti-TNFα, anti-CD20, fingolimod, diméthyl fumarate)</w:t>
      </w:r>
      <w:r>
        <w:t xml:space="preserve"> : contre-indication absolue — risque d'immunosuppression additive majeure, risque PML fortement majoré. Wash-out de 3-6 mois nécessaire entre un immunosuppresseur et le natalizumab (selon molécule).</w:t>
      </w:r>
    </w:p>
    <w:p>
      <w:pPr>
        <w:pStyle w:val="ListBullet"/>
      </w:pPr>
      <w:r/>
      <w:r>
        <w:rPr>
          <w:b/>
        </w:rPr>
        <w:t>Natalizumab + IFNβ ou glatiramer acétate</w:t>
      </w:r>
      <w:r>
        <w:t xml:space="preserve"> : associations déconseillées — pas de bénéfice additif démontré, augmentation du risque infectieux. Switch (wash-out de 1-3 mois selon molécule) plutôt que combinaison.</w:t>
      </w:r>
    </w:p>
    <w:p>
      <w:pPr>
        <w:pStyle w:val="ListBullet"/>
      </w:pPr>
      <w:r/>
      <w:r>
        <w:rPr>
          <w:b/>
        </w:rPr>
        <w:t>Natalizumab + corticoïdes</w:t>
      </w:r>
      <w:r>
        <w:t xml:space="preserve"> : pas d'interaction pharmacocinétique majeure mais majoration du risque infectieux. Possible utilisation ponctuelle de bolus de méthylprednisolone (1 g IV J1-J3) pour poussée de SEP pendant le traitement par natalizumab.</w:t>
      </w:r>
    </w:p>
    <w:p>
      <w:pPr>
        <w:pStyle w:val="ListBullet"/>
      </w:pPr>
      <w:r/>
      <w:r>
        <w:rPr>
          <w:b/>
        </w:rPr>
        <w:t>Natalizumab + antidépresseurs, antiépileptiques, antispastiques</w:t>
      </w:r>
      <w:r>
        <w:t xml:space="preserve"> : pas d'interaction pertinente.</w:t>
      </w:r>
    </w:p>
    <w:p>
      <w:r/>
      <w:r>
        <w:rPr>
          <w:b/>
        </w:rPr>
        <w:t>Grossesse et Allaitement :</w:t>
      </w:r>
      <w:r/>
    </w:p>
    <w:p>
      <w:pPr>
        <w:pStyle w:val="ListBullet"/>
      </w:pPr>
      <w:r/>
      <w:r>
        <w:rPr>
          <w:b/>
        </w:rPr>
        <w:t>Grossesse</w:t>
      </w:r>
      <w:r>
        <w:t xml:space="preserve"> : selon le CRAT, le natalizumab est </w:t>
      </w:r>
      <w:r>
        <w:rPr>
          <w:b/>
        </w:rPr>
        <w:t>compatible avec la grossesse</w:t>
      </w:r>
      <w:r>
        <w:t xml:space="preserve"> si nécessaire au maintien de la rémission (maladie très active). Les IgG4 traversent </w:t>
      </w:r>
      <w:r>
        <w:rPr>
          <w:b/>
        </w:rPr>
        <w:t>partiellement</w:t>
      </w:r>
      <w:r>
        <w:t xml:space="preserve"> le placenta (moins que les IgG1, transport FcRn moins efficace pour IgG4). Les données du registre international de grossesses sous natalizumab (&gt;500 grossesses exposées) ne montrent </w:t>
      </w:r>
      <w:r>
        <w:rPr>
          <w:b/>
        </w:rPr>
        <w:t>pas de sur-risque malformatif</w:t>
      </w:r>
      <w:r>
        <w:t xml:space="preserve"> (taux de malformations majeures équivalent à la population générale), pas d'augmentation de la prématurité ou du faible poids de naissance. Cependant, à l'accouchement, une </w:t>
      </w:r>
      <w:r>
        <w:rPr>
          <w:b/>
        </w:rPr>
        <w:t>cytopénie transitoire (leucopénie, thrombopénie) chez le nouveau-né</w:t>
      </w:r>
      <w:r>
        <w:t xml:space="preserve"> est possible (imprégnation par l'IgG4 maternel). Recommandations 2024 (CRAT, ECTRIMS/EMPG) :</w:t>
      </w:r>
    </w:p>
    <w:p>
      <w:pPr>
        <w:pStyle w:val="ListBullet"/>
      </w:pPr>
      <w:r>
        <w:t>Maintenir le natalizumab pendant la grossesse si la maladie est très active (prévention des poussées qui sont dangereuses pour le fœtus).</w:t>
      </w:r>
    </w:p>
    <w:p>
      <w:pPr>
        <w:pStyle w:val="ListBullet"/>
      </w:pPr>
      <w:r>
        <w:t>Si la maladie est quiescente depuis &gt; 1 an, arrêt possible vers le 3e trimestre (dernière perfusion à S30-S34) avec un risque modéré de poussée post-partum.</w:t>
      </w:r>
    </w:p>
    <w:p>
      <w:pPr>
        <w:pStyle w:val="ListBullet"/>
      </w:pPr>
      <w:r>
        <w:t>Si maladie très active avec risque de poussée majeure : maintenir jusqu'à la fin du 3e trimestre (dernière perfusion 2-4 semaines avant le terme).</w:t>
      </w:r>
    </w:p>
    <w:p>
      <w:pPr>
        <w:pStyle w:val="ListBullet"/>
      </w:pPr>
      <w:r>
        <w:t>Surveillance du nouveau-né : NFS-J1 (cytopénie transitoire possible), surveillance clinique 24-48 h.</w:t>
      </w:r>
    </w:p>
    <w:p>
      <w:pPr>
        <w:pStyle w:val="ListBullet"/>
      </w:pPr>
      <w:r/>
      <w:r>
        <w:rPr>
          <w:b/>
        </w:rPr>
        <w:t>Allaitement</w:t>
      </w:r>
      <w:r>
        <w:t xml:space="preserve"> : selon le CRAT, le natalizumab est </w:t>
      </w:r>
      <w:r>
        <w:rPr>
          <w:b/>
        </w:rPr>
        <w:t>compatible avec l'allaitement</w:t>
      </w:r>
      <w:r>
        <w:t xml:space="preserve"> par prudence. Les IgG4 passent dans le lait maternel mais en quantité minimale, et la dégradation protéique digestive chez le nourrisson rend l'absorption systémique négligeable. Décision au cas par cas avec la patiente.</w:t>
      </w:r>
    </w:p>
    <w:p>
      <w:pPr>
        <w:pStyle w:val="ListBullet"/>
      </w:pPr>
      <w:r/>
      <w:r>
        <w:rPr>
          <w:b/>
        </w:rPr>
        <w:t>Précisions</w:t>
      </w:r>
      <w:r>
        <w:t xml:space="preserve"> : la planification de la grossesse est particulièrement délicate chez les femmes SEP sous natalizumab. Le wash-out classique (2-3 mois sans traitement avant conception) expose à un </w:t>
      </w:r>
      <w:r>
        <w:rPr>
          <w:b/>
        </w:rPr>
        <w:t>risque majeur de poussée</w:t>
      </w:r>
      <w:r>
        <w:t xml:space="preserve"> (rebound immunologique — poussée sévère parfois avec IRM très active). Préférence moderne : maintenir le natalizumab jusqu'à la conception puis pendant la grossesse si maladie active. Alternative : switch vers IFNβ ou glatiramer avant conception (compatibles avec grossesse, mais efficacité moindre).</w:t>
      </w:r>
    </w:p>
    <w:p>
      <w:r/>
      <w:r>
        <w:rPr>
          <w:b/>
        </w:rPr>
        <w:t>Posologie et Mode d'administration (Standard) :</w:t>
      </w:r>
      <w:r/>
    </w:p>
    <w:p>
      <w:pPr>
        <w:pStyle w:val="ListBullet"/>
      </w:pPr>
      <w:r/>
      <w:r>
        <w:rPr>
          <w:b/>
        </w:rPr>
        <w:t>Adulte</w:t>
      </w:r>
      <w:r>
        <w:t xml:space="preserve"> :</w:t>
      </w:r>
    </w:p>
    <w:p>
      <w:pPr>
        <w:pStyle w:val="ListBullet"/>
      </w:pPr>
      <w:r/>
      <w:r>
        <w:rPr>
          <w:b/>
        </w:rPr>
        <w:t>Posologie standard</w:t>
      </w:r>
      <w:r>
        <w:t xml:space="preserve"> : 300 mg IV toutes les 4 semaines (28 jours ± 2 jours).</w:t>
      </w:r>
    </w:p>
    <w:p>
      <w:pPr>
        <w:pStyle w:val="ListBullet"/>
      </w:pPr>
      <w:r/>
      <w:r>
        <w:rPr>
          <w:b/>
        </w:rPr>
        <w:t>Mode d'administration</w:t>
      </w:r>
      <w:r>
        <w:t xml:space="preserve"> : perfusion IV stricte en milieu hospitalier spécialisé (day hospital de neurologie). Dilution dans 100 mL NaCl 0,9 % (concentration finale 3 mg/mL). Perfusion sur </w:t>
      </w:r>
      <w:r>
        <w:rPr>
          <w:b/>
        </w:rPr>
        <w:t>1 heure</w:t>
      </w:r>
      <w:r>
        <w:t xml:space="preserve"> (initial), possibilité de raccourcir à 30 minutes après 4-6 perfusions bien tolérées. Ligne avec filtre 1,2 µm (protéine, prévention agrégats). Surveillance continue (tension, pouls, SaO2) pendant la perfusion et 1-2 h après.</w:t>
      </w:r>
    </w:p>
    <w:p>
      <w:pPr>
        <w:pStyle w:val="ListBullet"/>
      </w:pPr>
      <w:r/>
      <w:r>
        <w:rPr>
          <w:b/>
        </w:rPr>
        <w:t>Pas d'adaptation posologique</w:t>
      </w:r>
      <w:r>
        <w:t xml:space="preserve"> selon poids, âge, fonction rénale ou hépatique.</w:t>
      </w:r>
    </w:p>
    <w:p>
      <w:pPr>
        <w:pStyle w:val="ListBullet"/>
      </w:pPr>
      <w:r/>
      <w:r>
        <w:rPr>
          <w:b/>
        </w:rPr>
        <w:t>Sujet âgé</w:t>
      </w:r>
      <w:r>
        <w:t xml:space="preserve"> : pas d'adaptation posologique systématique, mais évaluation gériatrique globale requise (risque infectieux majoré, comorbidités).</w:t>
      </w:r>
    </w:p>
    <w:p>
      <w:pPr>
        <w:pStyle w:val="ListBullet"/>
      </w:pPr>
      <w:r/>
      <w:r>
        <w:rPr>
          <w:b/>
        </w:rPr>
        <w:t>Durée</w:t>
      </w:r>
      <w:r>
        <w:t xml:space="preserve"> : traitement au long cours, indéterminé. Réévaluation annuelle de la tolérance et de l'efficacité. </w:t>
      </w:r>
      <w:r>
        <w:rPr>
          <w:b/>
        </w:rPr>
        <w:t>Limitation de durée</w:t>
      </w:r>
      <w:r>
        <w:t xml:space="preserve"> recommandée chez patients JCV-positifs (2-4 ans selon index JCV), avec switch vers autre classe (ocrélizumab, fingolimod) au-delà. Chez patients JCV-négatifs, poursuite possible tant que séronégativité maintenue (surveillance semestrielle).</w:t>
      </w:r>
    </w:p>
    <w:p>
      <w:pPr>
        <w:pStyle w:val="ListBullet"/>
      </w:pPr>
      <w:r/>
      <w:r>
        <w:rPr>
          <w:b/>
        </w:rPr>
        <w:t>Moment de prise</w:t>
      </w:r>
      <w:r>
        <w:t xml:space="preserve"> : selon calendrier hospitalier, perfusion programmée toutes les 4 semaines.</w:t>
      </w:r>
    </w:p>
    <w:p>
      <w:r/>
      <w:r>
        <w:rPr>
          <w:b/>
        </w:rPr>
        <w:t>Arbitrage et Bénéfices des Formes Galéniques :</w:t>
      </w:r>
      <w:r/>
    </w:p>
    <w:p>
      <w:pPr>
        <w:pStyle w:val="ListBullet"/>
      </w:pPr>
      <w:r/>
      <w:r>
        <w:rPr>
          <w:b/>
        </w:rPr>
        <w:t>Concentré à diluer pour perfusion IV 300 mg/flacon de 15 mL</w:t>
      </w:r>
      <w:r>
        <w:t xml:space="preserve"> : forme unique disponible, manipulation PUI hospitalière, dilution obligatoire avant perfusion.</w:t>
      </w:r>
    </w:p>
    <w:p>
      <w:pPr>
        <w:pStyle w:val="ListBullet"/>
      </w:pPr>
      <w:r/>
      <w:r>
        <w:rPr>
          <w:b/>
        </w:rPr>
        <w:t>Forme IV vs alternative SC (non disponible)</w:t>
      </w:r>
      <w:r>
        <w:t xml:space="preserve"> : une formulation SC du natalizumab a été étudiée (essai DELIVER 2018) mais non commercialisée à ce jour. La forme IV impose une administration hospitalière mensuelle (contrainte logistique, mais garantit une surveillance stricte et l'observance).</w:t>
      </w:r>
    </w:p>
    <w:p>
      <w:pPr>
        <w:pStyle w:val="ListBullet"/>
      </w:pPr>
      <w:r/>
      <w:r>
        <w:rPr>
          <w:b/>
        </w:rPr>
        <w:t>Chaîne du froid</w:t>
      </w:r>
      <w:r>
        <w:t xml:space="preserve"> : conservation à +2-8 °C (réfrigérateur), ne pas congeler, à conserver dans l'emballage extérieur (protection lumière). Transport en sac isotherme avec accumulateur de froid (de la PUI au service de perfusion). Stabilité après dilution : 24 h à +2-8 °C, à utiliser immédiatement en pratique.</w:t>
      </w:r>
    </w:p>
    <w:p>
      <w:r/>
      <w:r>
        <w:rPr>
          <w:b/>
        </w:rPr>
        <w:t>Instructions et Conseils au Patient :</w:t>
      </w:r>
      <w:r/>
    </w:p>
    <w:p>
      <w:pPr>
        <w:pStyle w:val="ListBullet"/>
      </w:pPr>
      <w:r/>
      <w:r>
        <w:rPr>
          <w:b/>
        </w:rPr>
        <w:t>Communication au comptoir</w:t>
      </w:r>
      <w:r>
        <w:t xml:space="preserve"> :</w:t>
      </w:r>
    </w:p>
    <w:p>
      <w:pPr>
        <w:pStyle w:val="ListBullet"/>
      </w:pPr>
      <w:r>
        <w:t>"Ce traitement est une biothérapie de haute efficacité administrée en perfusion IV mensuelle à l'hôpital. Il réduit fortement les poussées de SEP (de plus de 60 %) et ralentit la progression du handicap."</w:t>
      </w:r>
    </w:p>
    <w:p>
      <w:pPr>
        <w:pStyle w:val="ListBullet"/>
      </w:pPr>
      <w:r>
        <w:t>"Le natalizumab expose à un effet indésirable grave spécifique : la PML (Leucoencéphalopathie Multifocale Progressive), infection du cerveau due à un virus (JCV). C'est pourquoi une prise de sang régulière (tous les 6 mois) vérifie votre statut JCV."</w:t>
      </w:r>
    </w:p>
    <w:p>
      <w:pPr>
        <w:pStyle w:val="ListBullet"/>
      </w:pPr>
      <w:r>
        <w:t>"Signalez immédiatement à votre neurologue tout symptôme neurologique nouveau ou inhabituel : faiblesse d'un côté, troubles visuels, troubles du langage, confusion, maladresse inhabituelle, crises — ces signes peuvent révéler une PML et nécessitent une prise en charge urgente."</w:t>
      </w:r>
    </w:p>
    <w:p>
      <w:pPr>
        <w:pStyle w:val="ListBullet"/>
      </w:pPr>
      <w:r>
        <w:t>"Ne manquez pas vos rendez-vous de perfusion — l'efficacité dépend de la régularité mensuelle."</w:t>
      </w:r>
    </w:p>
    <w:p>
      <w:pPr>
        <w:pStyle w:val="ListBullet"/>
      </w:pPr>
      <w:r>
        <w:t>"Signalez tout projet de grossesse — une planification avec votre neurologue est nécessaire."</w:t>
      </w:r>
    </w:p>
    <w:p>
      <w:pPr>
        <w:pStyle w:val="ListBullet"/>
      </w:pPr>
      <w:r/>
      <w:r>
        <w:rPr>
          <w:b/>
        </w:rPr>
        <w:t>Mode d'utilisation pratique</w:t>
      </w:r>
      <w:r>
        <w:t xml:space="preserve"> : pas d'auto-administration (perfusion IV hospitalière). Le patient doit se rendre au service de neurologie / day hospital toutes les 4 semaines selon le calendrier programmé. Surveillance pendant et après la perfusion. Tenir un carnet de traitement (dates de perfusion, effets ressentis).</w:t>
      </w:r>
    </w:p>
    <w:p>
      <w:r/>
      <w:r>
        <w:rPr>
          <w:b/>
        </w:rPr>
        <w:t>Notes, Règles d'Or &amp; Pièges au Comptoir :</w:t>
      </w:r>
      <w:r/>
    </w:p>
    <w:p>
      <w:pPr>
        <w:pStyle w:val="ListBullet"/>
      </w:pPr>
      <w:r/>
      <w:r>
        <w:rPr>
          <w:b/>
        </w:rPr>
        <w:t>Piège classique PML</w:t>
      </w:r>
      <w:r>
        <w:t xml:space="preserve"> : tout symptôme neurologique nouveau chez un patient sous natalizumab = suspicion PML jusqu'à preuve du contraire — IRM cérébrale en urgence, ponction lombaire avec PCR JCV. Les signes d'alerte : troubles cognitifs, troubles visuels, hémiparésie, aphasie, ataxie, crises convulsives, syndrome cérébelleux. À différencier d'une poussée de SEP classique (qui répond aux corticoïdes, alors que la PML n'y répond pas — au contraire, peut s'aggraver sous corticoïdes par IRIS).</w:t>
      </w:r>
    </w:p>
    <w:p>
      <w:pPr>
        <w:pStyle w:val="ListBullet"/>
      </w:pPr>
      <w:r/>
      <w:r>
        <w:rPr>
          <w:b/>
        </w:rPr>
        <w:t>Piège immunosuppresseur cumulé</w:t>
      </w:r>
      <w:r>
        <w:t xml:space="preserve"> : patient avec ATCD de mitoxantrone, azathioprine, ou autre immunosuppresseur = risque PML majoré (jusqu'à 10-12 %) — contre-indication relative, voire absolue. Bien vérifier l'historique thérapeutique du patient.</w:t>
      </w:r>
    </w:p>
    <w:p>
      <w:pPr>
        <w:pStyle w:val="ListBullet"/>
      </w:pPr>
      <w:r/>
      <w:r>
        <w:rPr>
          <w:b/>
        </w:rPr>
        <w:t>Piège JCV-positif &gt; 4 ans</w:t>
      </w:r>
      <w:r>
        <w:t xml:space="preserve"> : au-delà de 4 ans de traitement chez un patient JCV-positif persistant, le risque PML devient majeur (1-1,5 %) — switch vers ocrélizumab ou fingolimod recommandé.</w:t>
      </w:r>
    </w:p>
    <w:p>
      <w:pPr>
        <w:pStyle w:val="ListBullet"/>
      </w:pPr>
      <w:r/>
      <w:r>
        <w:rPr>
          <w:b/>
        </w:rPr>
        <w:t>Piège IRIS post-arrêt</w:t>
      </w:r>
      <w:r>
        <w:t xml:space="preserve"> : après arrêt du natalizumab pour PML, la plasmaphérèse provoque un rebond immune (IRIS) qui peut aggraver transitoirement le tableau — à gérer par corticothérapie IV (méthylprednisolone 1 g IV J1-J5).</w:t>
      </w:r>
    </w:p>
    <w:p>
      <w:pPr>
        <w:pStyle w:val="ListBullet"/>
      </w:pPr>
      <w:r/>
      <w:r>
        <w:rPr>
          <w:b/>
        </w:rPr>
        <w:t>Piège wash-out</w:t>
      </w:r>
      <w:r>
        <w:t xml:space="preserve"> : à l'arrêt du natalizumab (quelle qu'en soit la raison), un wash-out de 1-3 mois est nécessaire avant d'initier un autre traitement de fond — pendant ce wash-out, risque de poussée (rebound immunologique) justifiant surveillance rapprochée.</w:t>
      </w:r>
    </w:p>
    <w:p>
      <w:pPr>
        <w:pStyle w:val="ListBullet"/>
      </w:pPr>
      <w:r/>
      <w:r>
        <w:rPr>
          <w:b/>
        </w:rPr>
        <w:t>Règle de prise</w:t>
      </w:r>
      <w:r>
        <w:t xml:space="preserve"> : perfusion IV mensuelle (toutes les 4 semaines) à heure fixe de préférence. Ne pas décaler de plus de ± 2 jours.</w:t>
      </w:r>
    </w:p>
    <w:p>
      <w:pPr>
        <w:pStyle w:val="ListBullet"/>
      </w:pPr>
      <w:r/>
      <w:r>
        <w:rPr>
          <w:b/>
        </w:rPr>
        <w:t>Préparation et Conservation</w:t>
      </w:r>
      <w:r>
        <w:t xml:space="preserve"> : conservation +2-8 °C (réfrigérateur PUI hospitalière, dans l'emballage extérieur), ne pas congeler, ne pas exposer à la lumière. Dilution juste avant perfusion, utilisation immédiate.</w:t>
      </w:r>
    </w:p>
    <w:p>
      <w:pPr>
        <w:pStyle w:val="ListBullet"/>
      </w:pPr>
      <w:r/>
      <w:r>
        <w:rPr>
          <w:b/>
        </w:rPr>
        <w:t>Piège du surdosage / Substitution</w:t>
      </w:r>
      <w:r>
        <w:t xml:space="preserve"> : pas de substitution possible (pas de biosimilaire disponible en Algérie). Pas de surdosage décrit (anticorps monoclonal, marge thérapeutique large). Surveillance stricte des doses administrées (300 mg/flacon, dilution en 100 mL NaCl 0,9 %).</w:t>
      </w:r>
    </w:p>
    <w:p>
      <w:pPr>
        <w:pStyle w:val="Heading2"/>
      </w:pPr>
      <w:r>
        <w:t>93.4 — Sous-classe : SEP — Modulateurs S1P (Fingolimod)</w:t>
      </w:r>
    </w:p>
    <w:p>
      <w:pPr>
        <w:pStyle w:val="Heading3"/>
      </w:pPr>
      <w:r>
        <w:t>Introduction à la sous-classe</w:t>
      </w:r>
    </w:p>
    <w:p>
      <w:r>
        <w:t xml:space="preserve">Les </w:t>
      </w:r>
      <w:r>
        <w:rPr>
          <w:b/>
        </w:rPr>
        <w:t>modulateurs des récepteurs de la sphingosine-1-phosphate (S1P)</w:t>
      </w:r>
      <w:r>
        <w:t xml:space="preserve"> représentent la première classe de traitements de fond de la SEP administrés par voie </w:t>
      </w:r>
      <w:r>
        <w:rPr>
          <w:b/>
        </w:rPr>
        <w:t>orale</w:t>
      </w:r>
      <w:r>
        <w:t xml:space="preserve">. Le </w:t>
      </w:r>
      <w:r>
        <w:rPr>
          <w:b/>
        </w:rPr>
        <w:t>fingolimod</w:t>
      </w:r>
      <w:r>
        <w:t xml:space="preserve"> (FTY720, Gilenya — Novartis) a été approuvé par la FDA en septembre 2010 comme premier traitement oral de la SEP-RR, marquant un tournant dans l'acceptabilité et l'observance thérapeutique des patients. Le succès du fingolimod a ouvert la voie à une nouvelle classe pharmacologique aujourd'hui enrichie de molécules de 2e génération (siponimod, ozanimod, ponesimod — non disponibles en Algérie à ce jour) avec une meilleure sélectivité des sous-types de récepteurs S1P.</w:t>
      </w:r>
    </w:p>
    <w:p>
      <w:r/>
      <w:r>
        <w:rPr>
          <w:b/>
        </w:rPr>
        <w:t>Nature biochimique</w:t>
      </w:r>
      <w:r>
        <w:t xml:space="preserve"> : le fingolimod est un </w:t>
      </w:r>
      <w:r>
        <w:rPr>
          <w:b/>
        </w:rPr>
        <w:t>agoniste fonctionnel des récepteurs S1P</w:t>
      </w:r>
      <w:r>
        <w:t xml:space="preserve"> (S1P₁, S1P₃, S1P₄, S1P₅ — pas S1P₂). C'est un composé synthétique dérivé de la </w:t>
      </w:r>
      <w:r>
        <w:rPr>
          <w:b/>
        </w:rPr>
        <w:t>myriocine</w:t>
      </w:r>
      <w:r>
        <w:t xml:space="preserve"> (ISP-1), un métabolite naturel du champignon </w:t>
      </w:r>
      <w:r>
        <w:rPr>
          <w:i/>
        </w:rPr>
        <w:t>Isaria sinclairii</w:t>
      </w:r>
      <w:r>
        <w:t xml:space="preserve"> (historiquement utilisé en médecine traditionnelle chinoise comme immunosuppresseur). Le fingolimod est un </w:t>
      </w:r>
      <w:r>
        <w:rPr>
          <w:b/>
        </w:rPr>
        <w:t>prodrogue</w:t>
      </w:r>
      <w:r>
        <w:t xml:space="preserve"> : sous sa forme native (FTY720), il est faiblement actif. Il doit être </w:t>
      </w:r>
      <w:r>
        <w:rPr>
          <w:b/>
        </w:rPr>
        <w:t>phosphorylé in vivo</w:t>
      </w:r>
      <w:r>
        <w:t xml:space="preserve"> par la sphingosine kinase 2 (SphK2) en </w:t>
      </w:r>
      <w:r>
        <w:rPr>
          <w:b/>
        </w:rPr>
        <w:t>fingolimod-phosphate (fingolimod-P)</w:t>
      </w:r>
      <w:r>
        <w:t>, forme active qui se lie aux récepteurs S1P.</w:t>
      </w:r>
    </w:p>
    <w:p>
      <w:r/>
      <w:r>
        <w:rPr>
          <w:b/>
        </w:rPr>
        <w:t>Justification physiopathologique</w:t>
      </w:r>
      <w:r>
        <w:t xml:space="preserve"> : la </w:t>
      </w:r>
      <w:r>
        <w:rPr>
          <w:b/>
        </w:rPr>
        <w:t>sphingosine-1-phosphate (S1P)</w:t>
      </w:r>
      <w:r>
        <w:t xml:space="preserve"> est un </w:t>
      </w:r>
      <w:r>
        <w:rPr>
          <w:b/>
        </w:rPr>
        <w:t>lysophospholipide</w:t>
      </w:r>
      <w:r>
        <w:t xml:space="preserve"> bioactif présent dans le sang (concentration ~1 µM) — produit par phosphorylation de la sphingosine par les sphingosine kinases (SphK1, SphK2). La S1P est un </w:t>
      </w:r>
      <w:r>
        <w:rPr>
          <w:b/>
        </w:rPr>
        <w:t>signal de sortie ("exit signal")</w:t>
      </w:r>
      <w:r>
        <w:t xml:space="preserve"> pour les lymphocytes T et B matures dans les ganglions lymphatiques : le gradient S1P (élevé dans le sang, bas dans les ganglions) favorise la </w:t>
      </w:r>
      <w:r>
        <w:rPr>
          <w:b/>
        </w:rPr>
        <w:t>sortie des lymphocytes du ganglion</w:t>
      </w:r>
      <w:r>
        <w:t xml:space="preserve"> vers la circulation, via l'interaction S1P → S1P₁ lymphocytaire → signal de migration efferent (sortie).</w:t>
      </w:r>
    </w:p>
    <w:p>
      <w:r>
        <w:t xml:space="preserve">Les lymphocytes T et B naïfs et mémoires centraux expriment le </w:t>
      </w:r>
      <w:r>
        <w:rPr>
          <w:b/>
        </w:rPr>
        <w:t>récepteur S1P₁</w:t>
      </w:r>
      <w:r>
        <w:t xml:space="preserve"> qui, en réponse au gradient S1P sanguin, déclenche leur sortie des organes lymphoïdes secondaires (ganglions, rate) vers la circulation. Cette sortie est un événement clé du trafic lymphocytaire normal.</w:t>
      </w:r>
    </w:p>
    <w:p>
      <w:r>
        <w:t xml:space="preserve">Le </w:t>
      </w:r>
      <w:r>
        <w:rPr>
          <w:b/>
        </w:rPr>
        <w:t>fingolimod-P</w:t>
      </w:r>
      <w:r>
        <w:t xml:space="preserve">, en se liant au </w:t>
      </w:r>
      <w:r>
        <w:rPr>
          <w:b/>
        </w:rPr>
        <w:t>récepteur S1P₁ à la surface des lymphocytes</w:t>
      </w:r>
      <w:r>
        <w:t xml:space="preserve">, induit son </w:t>
      </w:r>
      <w:r>
        <w:rPr>
          <w:b/>
        </w:rPr>
        <w:t>internalisation et sa dégradation</w:t>
      </w:r>
      <w:r>
        <w:t xml:space="preserve"> (down-régulation par ubiquitination — mécanisme d'agoniste fonctionnel). Sans S1P₁ fonctionnel à la surface, les lymphocytes </w:t>
      </w:r>
      <w:r>
        <w:rPr>
          <w:b/>
        </w:rPr>
        <w:t>ne peuvent plus détecter le gradient S1P</w:t>
      </w:r>
      <w:r>
        <w:t xml:space="preserve"> et restent </w:t>
      </w:r>
      <w:r>
        <w:rPr>
          <w:b/>
        </w:rPr>
        <w:t>séquestrés dans les ganglions lymphatiques</w:t>
      </w:r>
      <w:r>
        <w:t xml:space="preserve"> (phénomène de trapping). Le résultat est une </w:t>
      </w:r>
      <w:r>
        <w:rPr>
          <w:b/>
        </w:rPr>
        <w:t>lymphopénie périphérique sélective</w:t>
      </w:r>
      <w:r>
        <w:t xml:space="preserve"> (~70-80 % de réduction des lymphocytes T et B circulants) — sans apoptose, sans déplétion lymphocytaire totale (les lymphocytes sont séquestrés, pas détruits).</w:t>
      </w:r>
    </w:p>
    <w:p>
      <w:r>
        <w:t>Cette séquestration empêche les lymphocytes T et B auto-immuns anti-myéline d'atteindre la circulation périphérique et donc le SNC, réduisant drastiquement l'infiltrat inflammatoire périveineux et l'activité des poussées de SEP. À l'arrêt du fingolimod, les lymphocytes retournent en circulation en 1-2 mois (demi-vie d'élimination du fingolimod ~6-9 jours, ~5 demi-vies pour clairance complète).</w:t>
      </w:r>
    </w:p>
    <w:p>
      <w:r/>
      <w:r>
        <w:rPr>
          <w:b/>
        </w:rPr>
        <w:t>Efficacité</w:t>
      </w:r>
      <w:r>
        <w:t xml:space="preserve"> : réduction de la fréquence des poussées d'environ </w:t>
      </w:r>
      <w:r>
        <w:rPr>
          <w:b/>
        </w:rPr>
        <w:t>54-60 %</w:t>
      </w:r>
      <w:r>
        <w:t xml:space="preserve"> vs placebo (essai FREEDOMS 2010), 50 % vs IFNβ-1a IM (essai TRANSFORMS 2010), réduction de la progression du handicap confirmée à 2 ans de ~30 %, réduction de l'activité IRM (hypersignaux T2 nouveaux) de ~70-80 %, réduction des lésions gadolinium-positives de ~80 %. Efficacité supérieure aux IFNβ/glatiramer, légèrement inférieure ou comparable au natalizumab et à l'ocrélizumab.</w:t>
      </w:r>
    </w:p>
    <w:p>
      <w:r/>
      <w:r>
        <w:rPr>
          <w:b/>
        </w:rPr>
        <w:t>Effets indésirables spécifiques</w:t>
      </w:r>
      <w:r>
        <w:t xml:space="preserve"> :</w:t>
      </w:r>
    </w:p>
    <w:p>
      <w:pPr>
        <w:pStyle w:val="ListBullet"/>
      </w:pPr>
      <w:r/>
      <w:r>
        <w:rPr>
          <w:b/>
        </w:rPr>
        <w:t>Bradycardie et bloc auriculo-ventriculaire (BAV)</w:t>
      </w:r>
      <w:r>
        <w:t xml:space="preserve"> — effet de classe lié à l'action du fingolimod sur les récepteurs S1P₁ cardiacs (cellules pacemaker du nœud sinusal et nœud AV). La </w:t>
      </w:r>
      <w:r>
        <w:rPr>
          <w:b/>
        </w:rPr>
        <w:t>première dose</w:t>
      </w:r>
      <w:r>
        <w:t xml:space="preserve"> provoque une bradycardie transitoire (baisse de 8-15 bpm en moyenne, plus marquée à 4-6 h post-dose), parfois un BAV de haut grade (BAV 2:1, BAV 2:2, BAV 3:1) — d'où la </w:t>
      </w:r>
      <w:r>
        <w:rPr>
          <w:b/>
        </w:rPr>
        <w:t>surveillance ECG obligatoire 6 h après la première dose</w:t>
      </w:r>
      <w:r>
        <w:t xml:space="preserve"> en milieu hospitalier.</w:t>
      </w:r>
    </w:p>
    <w:p>
      <w:pPr>
        <w:pStyle w:val="ListBullet"/>
      </w:pPr>
      <w:r/>
      <w:r>
        <w:rPr>
          <w:b/>
        </w:rPr>
        <w:t>Œdème maculaire</w:t>
      </w:r>
      <w:r>
        <w:t xml:space="preserve"> — effet lié à l'action du fingolimod sur les récepteurs S1P₃ de l'épithélium pigmentaire rétinien (EPR), altérant les jonctions serrées et provoquant un œdème maculaire (incidence 0,4 % à 3-4 mois, plus élevée chez patients avec antécédent d'uvite ou de diabète). </w:t>
      </w:r>
      <w:r>
        <w:rPr>
          <w:b/>
        </w:rPr>
        <w:t>Examen ophtalmologique obligatoire à M3</w:t>
      </w:r>
      <w:r>
        <w:t xml:space="preserve"> (et à M6 en cas de facteur de risque).</w:t>
      </w:r>
    </w:p>
    <w:p>
      <w:pPr>
        <w:pStyle w:val="ListBullet"/>
      </w:pPr>
      <w:r/>
      <w:r>
        <w:rPr>
          <w:b/>
        </w:rPr>
        <w:t>Hypertension artérielle</w:t>
      </w:r>
      <w:r>
        <w:t xml:space="preserve"> — légère augmentation (~2-3 mmHg systolique) par action sur S1P₃ endothélial.</w:t>
      </w:r>
    </w:p>
    <w:p>
      <w:pPr>
        <w:pStyle w:val="ListBullet"/>
      </w:pPr>
      <w:r/>
      <w:r>
        <w:rPr>
          <w:b/>
        </w:rPr>
        <w:t>Anomalies biologiques hépatiques</w:t>
      </w:r>
      <w:r>
        <w:t xml:space="preserve"> — cytolyse transitoire (~10 %, ALAT &gt;3× LSN dans ~8 %), surveillance transaminases mensuelle 3 mois puis trimestrielle.</w:t>
      </w:r>
    </w:p>
    <w:p>
      <w:pPr>
        <w:pStyle w:val="ListBullet"/>
      </w:pPr>
      <w:r/>
      <w:r>
        <w:rPr>
          <w:b/>
        </w:rPr>
        <w:t>Lymphopénie</w:t>
      </w:r>
      <w:r>
        <w:t xml:space="preserve"> — attendue (effet pharmacodynamique), surveillance NFS.</w:t>
      </w:r>
    </w:p>
    <w:p>
      <w:pPr>
        <w:pStyle w:val="ListBullet"/>
      </w:pPr>
      <w:r/>
      <w:r>
        <w:rPr>
          <w:b/>
        </w:rPr>
        <w:t>Infections</w:t>
      </w:r>
      <w:r>
        <w:t xml:space="preserve"> — augmentation modeste vs placebo (bronchites, infections herpétiques, zones) ; rarement infections opportunistes (PML exceptionnelle, cryptococcose, VZV disséminé).</w:t>
      </w:r>
    </w:p>
    <w:p>
      <w:pPr>
        <w:pStyle w:val="ListBullet"/>
      </w:pPr>
      <w:r/>
      <w:r>
        <w:rPr>
          <w:b/>
        </w:rPr>
        <w:t>Risque tératogène</w:t>
      </w:r>
      <w:r>
        <w:t xml:space="preserve"> — fingolimod est tératogène chez l'animal (malformations cardiaques, squelettiques, neurologiques) à doses thérapeutiques. </w:t>
      </w:r>
      <w:r>
        <w:rPr>
          <w:b/>
        </w:rPr>
        <w:t>Contre-indication absolue pendant la grossesse</w:t>
      </w:r>
      <w:r>
        <w:t>, contraception obligatoire pendant et 2 mois après l'arrêt.</w:t>
      </w:r>
    </w:p>
    <w:p>
      <w:r/>
      <w:r>
        <w:rPr>
          <w:b/>
        </w:rPr>
        <w:t>Positionnement actuel</w:t>
      </w:r>
      <w:r>
        <w:t xml:space="preserve"> : traitement de </w:t>
      </w:r>
      <w:r>
        <w:rPr>
          <w:b/>
        </w:rPr>
        <w:t>deuxième intention</w:t>
      </w:r>
      <w:r>
        <w:t xml:space="preserve"> chez les patients SEP-RR à maladie active (≥2 poussées/an ou IRM active) n'ayant pas répondu aux IFNβ/glatiramer, ou de </w:t>
      </w:r>
      <w:r>
        <w:rPr>
          <w:b/>
        </w:rPr>
        <w:t>première intention</w:t>
      </w:r>
      <w:r>
        <w:t xml:space="preserve"> chez les patients à maladie très active (formes agressives) avec préférence sur le natalizumab si JCV-positif (pas de risque PML spécifique du fingolimod, mais risque cardiovasculaire initiale). Surveillance stricte à l'initiation (ECG 6 h première dose), à M1 (NFS, transaminases), M3 (examen ophtalmologique), puis trimestrielle (NFS, transaminases) et semestrielle (clinique, IRM).</w:t>
      </w:r>
    </w:p>
    <w:p>
      <w:pPr>
        <w:pStyle w:val="Heading3"/>
      </w:pPr>
      <w:r>
        <w:t>4. DCI : Fingolimod (Seule)</w:t>
      </w:r>
    </w:p>
    <w:p>
      <w:r>
        <w:t xml:space="preserve">Le fingolimod, modulateur oral des récepteurs de la sphingosine-1-phosphate (S1P), a marqué en 2010 l'arrivée de la première thérapie orale de la sclérose en plaques récurrente-rémittente. Administré par voie orale à la dose unique de </w:t>
      </w:r>
      <w:r>
        <w:rPr>
          <w:b/>
        </w:rPr>
        <w:t>0,5 mg une fois par jour</w:t>
      </w:r>
      <w:r>
        <w:t xml:space="preserve">, il assure une immunomodulation profonde par </w:t>
      </w:r>
      <w:r>
        <w:rPr>
          <w:b/>
        </w:rPr>
        <w:t>séquestration des lymphocytes T et B dans les ganglions lymphatiques</w:t>
      </w:r>
      <w:r>
        <w:t xml:space="preserve"> (blocage de leur sortie via down-régulation du récepteur S1P₁), réduisant ainsi l'infiltrat inflammatoire périveineux du SNC. Son efficacité est supérieure à celle des IFNβ et du glatiramer (réduction des poussées de 50-60 %), et son profil de tolérance globale acceptable. Cependant, la </w:t>
      </w:r>
      <w:r>
        <w:rPr>
          <w:b/>
        </w:rPr>
        <w:t>première dose</w:t>
      </w:r>
      <w:r>
        <w:t xml:space="preserve"> impose une </w:t>
      </w:r>
      <w:r>
        <w:rPr>
          <w:b/>
        </w:rPr>
        <w:t>surveillance ECG stricte de 6 heures en milieu hospitalier</w:t>
      </w:r>
      <w:r>
        <w:t xml:space="preserve"> en raison du risque de bradycardie et de bloc auriculo-ventriculaire (BAV) — surveillance qui conditionne l'initiation. Le fingolimod est également </w:t>
      </w:r>
      <w:r>
        <w:rPr>
          <w:b/>
        </w:rPr>
        <w:t>tératogène</w:t>
      </w:r>
      <w:r>
        <w:t xml:space="preserve">, nécessitant une contraception rigoureuse chez les femmes en âge de procréer (grossesse CI absolue). En Algérie, il est disponible sous deux noms de marque : </w:t>
      </w:r>
      <w:r>
        <w:rPr>
          <w:b/>
        </w:rPr>
        <w:t>GILENYA</w:t>
      </w:r>
      <w:r>
        <w:t xml:space="preserve"> (Novartis, princeps) et </w:t>
      </w:r>
      <w:r>
        <w:rPr>
          <w:b/>
        </w:rPr>
        <w:t>LYXIA</w:t>
      </w:r>
      <w:r>
        <w:t xml:space="preserve"> (Hikma Pharma Algeria, générique algérien local).</w:t>
      </w:r>
    </w:p>
    <w:p>
      <w:r/>
      <w:r>
        <w:rPr>
          <w:b/>
        </w:rPr>
        <w:t>Liste des Catégories :</w:t>
      </w:r>
      <w:r>
        <w:t xml:space="preserve"> LISTE I — Modulateur des récepteurs S1P — traitement de fond oral de la SEP-RR.</w:t>
      </w:r>
    </w:p>
    <w:p>
      <w:r/>
      <w:r>
        <w:rPr>
          <w:b/>
        </w:rPr>
        <w:t>Médicaments disponibles en Algérie (Marques, Laboratoires, Formes et Dosages) :</w:t>
      </w:r>
      <w:r/>
    </w:p>
    <w:p>
      <w:pPr>
        <w:pStyle w:val="ListBullet"/>
      </w:pPr>
      <w:r/>
      <w:r>
        <w:rPr>
          <w:b/>
        </w:rPr>
        <w:t>GILENYA</w:t>
      </w:r>
      <w:r>
        <w:t xml:space="preserve"> (NOVARTIS PHARMA SCHWEIZ AG)</w:t>
      </w:r>
    </w:p>
    <w:p>
      <w:pPr>
        <w:pStyle w:val="ListBullet"/>
      </w:pPr>
      <w:r>
        <w:t>Formes et Dosages : Gélule 0,5 mg — Boîte de 28 gélules</w:t>
      </w:r>
    </w:p>
    <w:p>
      <w:pPr>
        <w:pStyle w:val="ListBullet"/>
      </w:pPr>
      <w:r>
        <w:t>Statut : Actif (Liste I) — princeps de référence, premier traitement oral de la SEP (2010)</w:t>
      </w:r>
    </w:p>
    <w:p>
      <w:pPr>
        <w:pStyle w:val="ListBullet"/>
      </w:pPr>
      <w:r/>
      <w:r>
        <w:rPr>
          <w:b/>
        </w:rPr>
        <w:t>LYXIA</w:t>
      </w:r>
      <w:r>
        <w:t xml:space="preserve"> (HIKMA PHARMA ALGERIA)</w:t>
      </w:r>
    </w:p>
    <w:p>
      <w:pPr>
        <w:pStyle w:val="ListBullet"/>
      </w:pPr>
      <w:r>
        <w:t>Formes et Dosages : Gélule 0,5 mg — Boîte de 28 gélules</w:t>
      </w:r>
    </w:p>
    <w:p>
      <w:pPr>
        <w:pStyle w:val="ListBullet"/>
      </w:pPr>
      <w:r>
        <w:t>Statut : Actif (Liste I) — générique local algérien de fingolimod</w:t>
      </w:r>
    </w:p>
    <w:p>
      <w:r/>
      <w:r>
        <w:rPr>
          <w:b/>
        </w:rPr>
        <w:t>Commentaire sur la disponibilité algérienne</w:t>
      </w:r>
      <w:r>
        <w:t xml:space="preserve"> : le marché algérien propose deux spécialités actives de fingolimod, le </w:t>
      </w:r>
      <w:r>
        <w:rPr>
          <w:b/>
        </w:rPr>
        <w:t>princeps GILENYA</w:t>
      </w:r>
      <w:r>
        <w:t xml:space="preserve"> (Novartis Suisse) et le </w:t>
      </w:r>
      <w:r>
        <w:rPr>
          <w:b/>
        </w:rPr>
        <w:t>générique algérien LYXIA</w:t>
      </w:r>
      <w:r>
        <w:t xml:space="preserve"> (Hikma Pharma Algeria — production locale). Cette double disponibilité facilite l'accès thérapeutique à un coût réduit (lyxia est remboursé par la sécurité sociale algérienne dans le cadre du traitement de la SEP). La substitution entre GILENYA et LYXIA est possible sous surveillance clinique rapprochée (efficacité, tolérance, surveillance ECG et biologique inchangées). À noter que seul le dosage </w:t>
      </w:r>
      <w:r>
        <w:rPr>
          <w:b/>
        </w:rPr>
        <w:t>0,5 mg</w:t>
      </w:r>
      <w:r>
        <w:t xml:space="preserve"> est disponible en Algérie — les dosages 0,25 mg (initiation pédiatrique) et 1,25 mg (essais cliniques) ne sont pas commercialisés. La prescription est </w:t>
      </w:r>
      <w:r>
        <w:rPr>
          <w:b/>
        </w:rPr>
        <w:t>réservée aux neurologues</w:t>
      </w:r>
      <w:r>
        <w:t xml:space="preserve"> (initiation hospitalière spécialisée), avec surveillance ECG stricte de 6 h pour la première dose.</w:t>
      </w:r>
    </w:p>
    <w:p>
      <w:r/>
      <w:r>
        <w:rPr>
          <w:b/>
        </w:rPr>
        <w:t>Sous-classe et Mécanisme d'action :</w:t>
      </w:r>
      <w:r/>
    </w:p>
    <w:p>
      <w:pPr>
        <w:pStyle w:val="ListBullet"/>
      </w:pPr>
      <w:r/>
      <w:r>
        <w:rPr>
          <w:b/>
        </w:rPr>
        <w:t>Sous-classe</w:t>
      </w:r>
      <w:r>
        <w:t xml:space="preserve"> : Modulateur des récepteurs S1P — traitement de fond oral de la SEP-RR. Première biothérapie orale de la SEP (2010). Haute efficacité selon classification ECTRIMS/EAN 2018-2024.</w:t>
      </w:r>
    </w:p>
    <w:p>
      <w:pPr>
        <w:pStyle w:val="ListBullet"/>
      </w:pPr>
      <w:r/>
      <w:r>
        <w:rPr>
          <w:b/>
        </w:rPr>
        <w:t>Mécanisme d'action</w:t>
      </w:r>
      <w:r>
        <w:t xml:space="preserve"> : le fingolimod est un </w:t>
      </w:r>
      <w:r>
        <w:rPr>
          <w:b/>
        </w:rPr>
        <w:t>modulateur des récepteurs de la sphingosine-1-phosphate (S1P)</w:t>
      </w:r>
      <w:r>
        <w:t xml:space="preserve">. C'est une </w:t>
      </w:r>
      <w:r>
        <w:rPr>
          <w:b/>
        </w:rPr>
        <w:t>prodrogue</w:t>
      </w:r>
      <w:r>
        <w:t xml:space="preserve"> qui doit être </w:t>
      </w:r>
      <w:r>
        <w:rPr>
          <w:b/>
        </w:rPr>
        <w:t>phosphorylée in vivo</w:t>
      </w:r>
      <w:r>
        <w:t xml:space="preserve"> par la </w:t>
      </w:r>
      <w:r>
        <w:rPr>
          <w:b/>
        </w:rPr>
        <w:t>sphingosine kinase 2 (SphK2)</w:t>
      </w:r>
      <w:r>
        <w:t xml:space="preserve"> hépatique en </w:t>
      </w:r>
      <w:r>
        <w:rPr>
          <w:b/>
        </w:rPr>
        <w:t>fingolimod-phosphate (fingolimod-P)</w:t>
      </w:r>
      <w:r>
        <w:t>, forme active. Le fingolimod-P se lie avec une haute affinité à 4 des 5 sous-types de récepteurs S1P (S1P₁, S1P₃, S1P₄, S1P₅ — pas S1P₂). Le mécanisme d'action principal dans la SEP est l'effet sur S1P₁ :</w:t>
      </w:r>
    </w:p>
    <w:p>
      <w:r>
        <w:t xml:space="preserve">  (i) </w:t>
      </w:r>
      <w:r>
        <w:rPr>
          <w:b/>
        </w:rPr>
        <w:t>Agonisme fonctionnel du récepteur S1P₁ lymphocytaire</w:t>
      </w:r>
      <w:r>
        <w:t xml:space="preserve"> : le fingolimod-P se lie au récepteur S1P₁ à la surface des lymphocytes T et B naïfs et mémoires centraux. Cette liaison provoque une </w:t>
      </w:r>
      <w:r>
        <w:rPr>
          <w:b/>
        </w:rPr>
        <w:t>internalisation du récepteur</w:t>
      </w:r>
      <w:r>
        <w:t xml:space="preserve"> (endocytose, ubiquitination, dégradation lysosomale), le rendant </w:t>
      </w:r>
      <w:r>
        <w:rPr>
          <w:b/>
        </w:rPr>
        <w:t>indisponible à la surface cellulaire</w:t>
      </w:r>
      <w:r>
        <w:t xml:space="preserve">. Le lymphocyte ne peut plus détecter le gradient S1P (élevé dans le sang, bas dans les ganglions) et </w:t>
      </w:r>
      <w:r>
        <w:rPr>
          <w:b/>
        </w:rPr>
        <w:t>ne reçoit plus le signal de sortie ("exit signal")</w:t>
      </w:r>
      <w:r>
        <w:t xml:space="preserve"> des organes lymphoïdes secondaires (ganglions, rate).</w:t>
      </w:r>
    </w:p>
    <w:p>
      <w:r>
        <w:t xml:space="preserve">  (ii) </w:t>
      </w:r>
      <w:r>
        <w:rPr>
          <w:b/>
        </w:rPr>
        <w:t>Séquestration lymphocytaire ganglionnaire</w:t>
      </w:r>
      <w:r>
        <w:t xml:space="preserve"> : les lymphocytes T et B matures restent </w:t>
      </w:r>
      <w:r>
        <w:rPr>
          <w:b/>
        </w:rPr>
        <w:t>piégés dans les ganglions lymphatiques</w:t>
      </w:r>
      <w:r>
        <w:t xml:space="preserve">, incapables de rejoindre la circulation périphérique. Le résultat est une </w:t>
      </w:r>
      <w:r>
        <w:rPr>
          <w:b/>
        </w:rPr>
        <w:t>lymphopénie périphérique sélective</w:t>
      </w:r>
      <w:r>
        <w:t xml:space="preserve"> (~70-80 % de réduction des lymphocytes T et B circulants — surtout les lymphocytes T CD4+ naïfs et les lymphocytes B mémoires centraux) — sans apoptose, sans déplétion lymphocytaire totale (les lymphocytes sont séquestrés, pas détruits).</w:t>
      </w:r>
    </w:p>
    <w:p>
      <w:r>
        <w:t xml:space="preserve">  (iii) </w:t>
      </w:r>
      <w:r>
        <w:rPr>
          <w:b/>
        </w:rPr>
        <w:t>Réduction de l'infiltrat inflammatoire du SNC</w:t>
      </w:r>
      <w:r>
        <w:t xml:space="preserve"> : les lymphocytes T et B auto-immuns anti-myéline (anti-MBP, anti-PLP, anti-MOG) ne pouvant plus atteindre la circulation périphérique et donc le SNC, l'infiltrat inflammatoire périveineux est massivement réduit, l'activité des poussées diminue, et la progression du handicap ralentit.</w:t>
      </w:r>
    </w:p>
    <w:p>
      <w:r>
        <w:t xml:space="preserve">  (iv) </w:t>
      </w:r>
      <w:r>
        <w:rPr>
          <w:b/>
        </w:rPr>
        <w:t>Effet sur S1P₃, S1P₄, S1P₅ — effets indésirables</w:t>
      </w:r>
      <w:r>
        <w:t xml:space="preserve"> :</w:t>
      </w:r>
    </w:p>
    <w:p>
      <w:pPr>
        <w:pStyle w:val="ListBullet"/>
      </w:pPr>
      <w:r/>
      <w:r>
        <w:rPr>
          <w:b/>
        </w:rPr>
        <w:t>S1P₃ cardiacs (cellules pacemaker du nœud sinusal et nœud AV)</w:t>
      </w:r>
      <w:r>
        <w:t xml:space="preserve"> : bradycardie initiale transitoire (4-6 h post-première dose), risque de BAV (blocs auriculo-ventriculaires de haut grade).</w:t>
      </w:r>
    </w:p>
    <w:p>
      <w:pPr>
        <w:pStyle w:val="ListBullet"/>
      </w:pPr>
      <w:r/>
      <w:r>
        <w:rPr>
          <w:b/>
        </w:rPr>
        <w:t>S1P₃ endothélial</w:t>
      </w:r>
      <w:r>
        <w:t xml:space="preserve"> : hypertension artérielle légère (modeste, ~2-3 mmHg).</w:t>
      </w:r>
    </w:p>
    <w:p>
      <w:pPr>
        <w:pStyle w:val="ListBullet"/>
      </w:pPr>
      <w:r/>
      <w:r>
        <w:rPr>
          <w:b/>
        </w:rPr>
        <w:t>S1P₃ épithélium pigmentaire rétinien (EPR)</w:t>
      </w:r>
      <w:r>
        <w:t xml:space="preserve"> : altération des jonctions serrées, œdème maculaire (incidence 0,4 %, plus élevée chez patients avec ATCD d'uvite ou de diabète).</w:t>
      </w:r>
    </w:p>
    <w:p>
      <w:pPr>
        <w:pStyle w:val="ListBullet"/>
      </w:pPr>
      <w:r/>
      <w:r>
        <w:rPr>
          <w:b/>
        </w:rPr>
        <w:t>S1P₅ oligodendrocytes</w:t>
      </w:r>
      <w:r>
        <w:t xml:space="preserve"> : effet potentiel sur la survie oligodendrocytaire (neuroprotection possible, en cours d'évaluation).</w:t>
      </w:r>
    </w:p>
    <w:p>
      <w:pPr>
        <w:pStyle w:val="ListBullet"/>
      </w:pPr>
      <w:r/>
      <w:r>
        <w:rPr>
          <w:b/>
        </w:rPr>
        <w:t>S1P₁ endothélial</w:t>
      </w:r>
      <w:r>
        <w:t xml:space="preserve"> : effet sur la perméabilité vasculaire (probable contribution à l'effet thérapeutique).</w:t>
      </w:r>
    </w:p>
    <w:p>
      <w:r>
        <w:t xml:space="preserve">  (v) </w:t>
      </w:r>
      <w:r>
        <w:rPr>
          <w:b/>
        </w:rPr>
        <w:t>Effet sur le système nerveux central</w:t>
      </w:r>
      <w:r>
        <w:t xml:space="preserve"> : le fingolimod traverse la BHE et peut agir directement sur les cellules gliales et neuronales exprimant S1P₁ (astrocytes, oligodendrocytes, neurones). Effet neuroprotecteur et remyélinisant potentiel discuté (données expérimentales, en cours de confirmation clinique).</w:t>
      </w:r>
    </w:p>
    <w:p>
      <w:r>
        <w:t xml:space="preserve">  (vi) </w:t>
      </w:r>
      <w:r>
        <w:rPr>
          <w:b/>
        </w:rPr>
        <w:t>Pharmacocinétique</w:t>
      </w:r>
      <w:r>
        <w:t xml:space="preserve"> : absorption orale rapide et presque complète (biodisponibilité ~93 %), indépendante de la prise alimentaire. Pic plasmatique à 12-16 h. Distribution massive (Vd ~1208 L),</w:t>
      </w:r>
      <w:r>
        <w:rPr>
          <w:b/>
        </w:rPr>
        <w:t xml:space="preserve"> forte liaison aux protéines plasmatiques (~99,7 %)</w:t>
      </w:r>
      <w:r>
        <w:t xml:space="preserve">. Métabolisme hépatique principal par </w:t>
      </w:r>
      <w:r>
        <w:rPr>
          <w:b/>
        </w:rPr>
        <w:t>CYP3A4</w:t>
      </w:r>
      <w:r>
        <w:t xml:space="preserve"> (oxydation, biotransformation en métabolites inactifs). </w:t>
      </w:r>
      <w:r>
        <w:rPr>
          <w:b/>
        </w:rPr>
        <w:t>Demi-vie d'élimination longue ~6-9 jours</w:t>
      </w:r>
      <w:r>
        <w:t xml:space="preserve"> (état d'équilibre atteint en 1-2 mois). Excrétion rénale (~81 % métabolites) et fécale. À l'arrêt, retour à la normale de la lymphopénie en 1-2 mois (~5 demi-vies).</w:t>
      </w:r>
    </w:p>
    <w:p>
      <w:r/>
      <w:r>
        <w:rPr>
          <w:b/>
        </w:rPr>
        <w:t>Profil Pharmacologique :</w:t>
      </w:r>
      <w:r/>
    </w:p>
    <w:p>
      <w:pPr>
        <w:pStyle w:val="ListBullet"/>
      </w:pPr>
      <w:r/>
      <w:r>
        <w:rPr>
          <w:b/>
        </w:rPr>
        <w:t>Indications</w:t>
      </w:r>
      <w:r>
        <w:t xml:space="preserve"> :</w:t>
      </w:r>
    </w:p>
    <w:p>
      <w:pPr>
        <w:pStyle w:val="ListBullet"/>
      </w:pPr>
      <w:r/>
      <w:r>
        <w:rPr>
          <w:b/>
        </w:rPr>
        <w:t>SEP récurrente-rémittente (SEP-RR) active sévère</w:t>
      </w:r>
      <w:r>
        <w:t xml:space="preserve"> chez l'adulte — traitement de fond de haute efficacité en monothérapie. Indications selon ECTRIMS/EAN 2018-2024 :</w:t>
      </w:r>
    </w:p>
    <w:p>
      <w:pPr>
        <w:pStyle w:val="ListBullet"/>
      </w:pPr>
      <w:r>
        <w:t>Deuxième intention après échec des IFNβ/glatiramer (≥2 poussées/an sous traitement bien conduit ou progression IRM)</w:t>
      </w:r>
    </w:p>
    <w:p>
      <w:pPr>
        <w:pStyle w:val="ListBullet"/>
      </w:pPr>
      <w:r>
        <w:t>Première intention chez les patients à maladie très active d'emblée, en alternative au natalizumab (particulièrement si JCV-positif — pas de risque PML spécifique du fingolimod)</w:t>
      </w:r>
    </w:p>
    <w:p>
      <w:pPr>
        <w:pStyle w:val="ListBullet"/>
      </w:pPr>
      <w:r>
        <w:t>SEP-RR pédiatrique (enfant et adolescent ≥ 10 ans, ≥ 40 kg — initiation sous surveillance hospitalière stricte)</w:t>
      </w:r>
    </w:p>
    <w:p>
      <w:pPr>
        <w:pStyle w:val="ListBullet"/>
      </w:pPr>
      <w:r>
        <w:t>Hors AMM : SEP progressive secondaire avec activité inflammatoire résiduelle (siponimod a une AMM spécifique, non le fingolimod)</w:t>
      </w:r>
    </w:p>
    <w:p>
      <w:pPr>
        <w:pStyle w:val="ListBullet"/>
      </w:pPr>
      <w:r/>
      <w:r>
        <w:rPr>
          <w:b/>
        </w:rPr>
        <w:t>Contre-indications</w:t>
      </w:r>
      <w:r>
        <w:t xml:space="preserve"> :</w:t>
      </w:r>
    </w:p>
    <w:p>
      <w:pPr>
        <w:pStyle w:val="ListBullet"/>
      </w:pPr>
      <w:r/>
      <w:r>
        <w:rPr>
          <w:b/>
        </w:rPr>
        <w:t>Grossesse</w:t>
      </w:r>
      <w:r>
        <w:t xml:space="preserve"> : contre-indication absolue (tératogène chez l'animal — malformations cardiaques, squelettiques, neurologiques). Contraception obligatoire pendant et 2 mois après l'arrêt. β-hCG pré-thérapeutique obligatoire.</w:t>
      </w:r>
    </w:p>
    <w:p>
      <w:pPr>
        <w:pStyle w:val="ListBullet"/>
      </w:pPr>
      <w:r/>
      <w:r>
        <w:rPr>
          <w:b/>
        </w:rPr>
        <w:t>Allaitement</w:t>
      </w:r>
      <w:r>
        <w:t xml:space="preserve"> : contre-indication (passage dans le lait maternel).</w:t>
      </w:r>
    </w:p>
    <w:p>
      <w:pPr>
        <w:pStyle w:val="ListBullet"/>
      </w:pPr>
      <w:r/>
      <w:r>
        <w:rPr>
          <w:b/>
        </w:rPr>
        <w:t>Insuffisance hépatique sévère</w:t>
      </w:r>
      <w:r>
        <w:t xml:space="preserve"> (Child-Pugh C) — cytolyse additive.</w:t>
      </w:r>
    </w:p>
    <w:p>
      <w:pPr>
        <w:pStyle w:val="ListBullet"/>
      </w:pPr>
      <w:r/>
      <w:r>
        <w:rPr>
          <w:b/>
        </w:rPr>
        <w:t>Bloc auriculo-ventriculaire (BAV) de 2e ou 3e degré non appareillé</w:t>
      </w:r>
      <w:r>
        <w:t>, syndrome sinusal, bradycardie sinusale symptomatique (&lt; 50 bpm), allongement du QTc (&gt; 470 ms femme, &gt; 450 ms homme), antécédent de syndrome de Stokes-Adams.</w:t>
      </w:r>
    </w:p>
    <w:p>
      <w:pPr>
        <w:pStyle w:val="ListBullet"/>
      </w:pPr>
      <w:r/>
      <w:r>
        <w:rPr>
          <w:b/>
        </w:rPr>
        <w:t>Antécédents cardiovasculaires sévères</w:t>
      </w:r>
      <w:r>
        <w:t xml:space="preserve"> : infarctus du myocarde récent (&lt; 6 mois), angor instable, AVC récent (&lt; 6 mois), insuffisance cardiaque NYHA III-IV.</w:t>
      </w:r>
    </w:p>
    <w:p>
      <w:pPr>
        <w:pStyle w:val="ListBullet"/>
      </w:pPr>
      <w:r/>
      <w:r>
        <w:rPr>
          <w:b/>
        </w:rPr>
        <w:t>Traitements associés contre-indiqués</w:t>
      </w:r>
      <w:r>
        <w:t xml:space="preserve"> : antiarythmiques de classe Ia (quinidine, disopyramide, procaïnamide), classe III (amiodarone, sotalol, dofetilide, ibutilide), β-bloquants (non cardiosélectifs), inhibiteurs calciques bradycardisants (vérapamil, diltiazem), digoxine, autres bradycardisants.</w:t>
      </w:r>
    </w:p>
    <w:p>
      <w:pPr>
        <w:pStyle w:val="ListBullet"/>
      </w:pPr>
      <w:r/>
      <w:r>
        <w:rPr>
          <w:b/>
        </w:rPr>
        <w:t>Infections sévères actives</w:t>
      </w:r>
      <w:r>
        <w:t xml:space="preserve"> : hépatite active (VHB, VHC), tuberculose active, infections opportunistes, zona actif disséminé.</w:t>
      </w:r>
    </w:p>
    <w:p>
      <w:pPr>
        <w:pStyle w:val="ListBullet"/>
      </w:pPr>
      <w:r/>
      <w:r>
        <w:rPr>
          <w:b/>
        </w:rPr>
        <w:t>Hypersensibilité</w:t>
      </w:r>
      <w:r>
        <w:t xml:space="preserve"> au fingolimod ou à l'un des excipients.</w:t>
      </w:r>
    </w:p>
    <w:p>
      <w:pPr>
        <w:pStyle w:val="ListBullet"/>
      </w:pPr>
      <w:r/>
      <w:r>
        <w:rPr>
          <w:b/>
        </w:rPr>
        <w:t>Immunodéficience</w:t>
      </w:r>
      <w:r>
        <w:t xml:space="preserve"> sévère (sida, lymphomes, leucémies).</w:t>
      </w:r>
    </w:p>
    <w:p>
      <w:pPr>
        <w:pStyle w:val="ListBullet"/>
      </w:pPr>
      <w:r/>
      <w:r>
        <w:rPr>
          <w:b/>
        </w:rPr>
        <w:t>Antécédent ou risque de mélanome</w:t>
      </w:r>
      <w:r>
        <w:t xml:space="preserve"> (effet possible sur l'incidence des cancers cutanés).</w:t>
      </w:r>
    </w:p>
    <w:p>
      <w:pPr>
        <w:pStyle w:val="ListBullet"/>
      </w:pPr>
      <w:r/>
      <w:r>
        <w:rPr>
          <w:b/>
        </w:rPr>
        <w:t>Effets Indésirables</w:t>
      </w:r>
      <w:r>
        <w:t xml:space="preserve"> :</w:t>
      </w:r>
    </w:p>
    <w:p>
      <w:pPr>
        <w:pStyle w:val="ListBullet"/>
      </w:pPr>
      <w:r/>
      <w:r>
        <w:rPr>
          <w:b/>
        </w:rPr>
        <w:t>Bradycardie et bloc auriculo-ventriculaire (BAV) à la première dose</w:t>
      </w:r>
      <w:r>
        <w:t xml:space="preserve"> — effet de classe majeur. Surviennent dans les 4-6 h après la première prise. Bradycardie (baisse moyenne 8-15 bpm, ~10 % des patients à &lt; 50 bpm), BAV 1er degré (allongement PR, ~5 %), BAV 2e degré (Mobitz I / Wenckebach, ~0,6 %), BAV 3e degré (rare, ~0,2 %). Généralement asymptomatiques et spontanément résolutifs en 24 h. Prévention : </w:t>
      </w:r>
      <w:r>
        <w:rPr>
          <w:b/>
        </w:rPr>
        <w:t>surveillance ECG continue 6 h après la première dose</w:t>
      </w:r>
      <w:r>
        <w:t xml:space="preserve"> en milieu hospitalier (day hospital de neurologie ou cardiologie), avec possibilité de sortie à 6 h si rythme sinusal stable et fréquence cardiaque &gt; 50 bpm.</w:t>
      </w:r>
    </w:p>
    <w:p>
      <w:pPr>
        <w:pStyle w:val="ListBullet"/>
      </w:pPr>
      <w:r/>
      <w:r>
        <w:rPr>
          <w:b/>
        </w:rPr>
        <w:t>Œdème maculaire</w:t>
      </w:r>
      <w:r>
        <w:t xml:space="preserve"> — effet spécifique sur S1P₃ de l'EPR rétinien. Incidence 0,4 % à 3-4 mois. Plus élevée chez patients avec ATCD d'uvite ou de diabète (incidence 5-10 % chez diabétiques). Symptomatologie : baisse de vision, scotome central, métamorphopsies. </w:t>
      </w:r>
      <w:r>
        <w:rPr>
          <w:b/>
        </w:rPr>
        <w:t>Examen ophtalmologique obligatoire à M3</w:t>
      </w:r>
      <w:r>
        <w:t xml:space="preserve"> (OCT — Optical Coherence Tomography — et fond d'œil) et à M6 en cas de facteur de risque. Régression à l'arrêt du fingolimod dans la plupart des cas.</w:t>
      </w:r>
    </w:p>
    <w:p>
      <w:pPr>
        <w:pStyle w:val="ListBullet"/>
      </w:pPr>
      <w:r/>
      <w:r>
        <w:rPr>
          <w:b/>
        </w:rPr>
        <w:t>Hypertension artérielle</w:t>
      </w:r>
      <w:r>
        <w:t xml:space="preserve"> — augmentation modeste (~2-3 mmHg systolique) par action sur S1P₃ endothélial. Surveillance tensionnelle semestrielle.</w:t>
      </w:r>
    </w:p>
    <w:p>
      <w:pPr>
        <w:pStyle w:val="ListBullet"/>
      </w:pPr>
      <w:r/>
      <w:r>
        <w:rPr>
          <w:b/>
        </w:rPr>
        <w:t>Anomalies biologiques hépatiques</w:t>
      </w:r>
      <w:r>
        <w:t xml:space="preserve"> — cytolyse transitoire (~10 %), ALAT &gt;3× LSN dans ~8 %, rarement &gt;5× LSN (~2 %). Surveillance ASAT/ALAT mensuelle 3 mois puis trimestrielle. Rare hépatotoxicité sévère (cytolyse &gt;10× LSN), hépatite autoimmune possible.</w:t>
      </w:r>
    </w:p>
    <w:p>
      <w:pPr>
        <w:pStyle w:val="ListBullet"/>
      </w:pPr>
      <w:r/>
      <w:r>
        <w:rPr>
          <w:b/>
        </w:rPr>
        <w:t>Lymphopénie</w:t>
      </w:r>
      <w:r>
        <w:t xml:space="preserve"> — effet pharmacodynamique attendu (réduction ~70-80 % des lymphocytes circulants). Surveillance NFS mensuelle 3 mois puis trimestrielle. Pas d'arrêt en cas de lymphopénie modérée (entre 0,2 et 0,8 G/L) — l'objectif est la lymphopénie ; arrêt transitoire si lymphocytes &lt; 0,2 G/L.</w:t>
      </w:r>
    </w:p>
    <w:p>
      <w:pPr>
        <w:pStyle w:val="ListBullet"/>
      </w:pPr>
      <w:r/>
      <w:r>
        <w:rPr>
          <w:b/>
        </w:rPr>
        <w:t>Infections</w:t>
      </w:r>
      <w:r>
        <w:t xml:space="preserve"> — augmentation modeste vs placebo (bronchites, infections herpétiques, zona, infections urinaires). Plus rarement infections opportunistes : PML exceptionnelle (&lt; 0,02 %), cryptococcose (méningite à cryptococoques — rare, 0,5 %), VZV disséminé (zona généralisé, plus fréquent). Prévention : dépistage VHB/VHC, statut vaccinal (varicelle — vacciner avant initiation si séronégatif), tuberculose (IGRA pré-thérapeutique).</w:t>
      </w:r>
    </w:p>
    <w:p>
      <w:pPr>
        <w:pStyle w:val="ListBullet"/>
      </w:pPr>
      <w:r/>
      <w:r>
        <w:rPr>
          <w:b/>
        </w:rPr>
        <w:t>Effects respiratoires</w:t>
      </w:r>
      <w:r>
        <w:t xml:space="preserve"> — discrète baisse du VEMS (~3 % à 1 an, sans retentissement clinique habituel). Surveillance fonction respiratoire si asthme ou BPCO associés.</w:t>
      </w:r>
    </w:p>
    <w:p>
      <w:pPr>
        <w:pStyle w:val="ListBullet"/>
      </w:pPr>
      <w:r/>
      <w:r>
        <w:rPr>
          <w:b/>
        </w:rPr>
        <w:t>Effets cutanés</w:t>
      </w:r>
      <w:r>
        <w:t xml:space="preserve"> — </w:t>
      </w:r>
      <w:r>
        <w:rPr>
          <w:b/>
        </w:rPr>
        <w:t>mélanome</w:t>
      </w:r>
      <w:r>
        <w:t xml:space="preserve"> : signal possible (incidence ~0,4 % à 2 ans vs 0,1 % placebo), surveillance dermatologique annuelle. Basocellulaires (augmentation modeste). Lymphomes : signal possible, en cours d'évaluation.</w:t>
      </w:r>
    </w:p>
    <w:p>
      <w:pPr>
        <w:pStyle w:val="ListBullet"/>
      </w:pPr>
      <w:r/>
      <w:r>
        <w:rPr>
          <w:b/>
        </w:rPr>
        <w:t>Effects neurologiques</w:t>
      </w:r>
      <w:r>
        <w:t xml:space="preserve"> — céphalées (fréquentes, transitoires), vertiges, fatigue.</w:t>
      </w:r>
    </w:p>
    <w:p>
      <w:pPr>
        <w:pStyle w:val="ListBullet"/>
      </w:pPr>
      <w:r/>
      <w:r>
        <w:rPr>
          <w:b/>
        </w:rPr>
        <w:t>Effects hépatiques</w:t>
      </w:r>
      <w:r>
        <w:t xml:space="preserve"> — cytolyse (cf. ci-dessus).</w:t>
      </w:r>
    </w:p>
    <w:p>
      <w:pPr>
        <w:pStyle w:val="ListBullet"/>
      </w:pPr>
      <w:r/>
      <w:r>
        <w:rPr>
          <w:b/>
        </w:rPr>
        <w:t>Risque tératogène</w:t>
      </w:r>
      <w:r>
        <w:t xml:space="preserve"> — contre-indication absolue pendant la grossesse (malformations cardiaques, squelettiques, neurologiques chez l'animal). Contraception obligatoire.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NFS, transaminases, créatinine, sérologies (VIH, VHB, VHC, varicelle — vacciner si séronégatif avant initiation), IDR à la tuberculine ou IGRA, β-hCG chez femme en âge de procréer, </w:t>
      </w:r>
      <w:r>
        <w:rPr>
          <w:b/>
        </w:rPr>
        <w:t>ECG 12 dérivations</w:t>
      </w:r>
      <w:r>
        <w:t xml:space="preserve"> (recherche allongement PR &gt; 200 ms, QTc, BAV), examen neurologique avec EDSS, IRM cérébrale initiale, examen ophtalmologique (OCT, fond d'œil), pression artérielle (éliminer hypertension non contrôlée).</w:t>
      </w:r>
    </w:p>
    <w:p>
      <w:pPr>
        <w:pStyle w:val="ListBullet"/>
      </w:pPr>
      <w:r/>
      <w:r>
        <w:rPr>
          <w:b/>
        </w:rPr>
        <w:t>Surveillance de la première dose</w:t>
      </w:r>
      <w:r>
        <w:t xml:space="preserve"> : ECG continu pendant 6 h après la première prise en milieu hospitalier (day hospital de neurologie ou cardiologie). Surveillance tension, pouls, SaO2 toutes les heures. Possibilité de sortie à 6 h si rythme sinusal stable et fréquence cardiaque &gt; 50 bpm. Surveillance prolongée (24 h) si : patient avec antécédent cardiovasculaire, BAV 1er degré préexistant, allongement PR &gt; 200 ms, traitement associé bradycardisant (β-bloquant, vérapamil, diltiazem, digoxine), allongement QTc, hypokaliémie, bradycardie préexistante (&lt; 55 bpm), insuffisance hépatique sévère.</w:t>
      </w:r>
    </w:p>
    <w:p>
      <w:pPr>
        <w:pStyle w:val="ListBullet"/>
      </w:pPr>
      <w:r/>
      <w:r>
        <w:rPr>
          <w:b/>
        </w:rPr>
        <w:t>Re-surveillance ECG 6 h après toute interruption &gt; 1 jour</w:t>
      </w:r>
      <w:r>
        <w:t xml:space="preserve"> pendant les 2 premières semaines, et après interruption &gt; 2 semaines au-delà de 2 semaines.</w:t>
      </w:r>
    </w:p>
    <w:p>
      <w:pPr>
        <w:pStyle w:val="ListBullet"/>
      </w:pPr>
      <w:r/>
      <w:r>
        <w:rPr>
          <w:b/>
        </w:rPr>
        <w:t>Surveillance biologique</w:t>
      </w:r>
      <w:r>
        <w:t xml:space="preserve"> : NFS + transaminases à M1, M3 puis trimestrielle ; examen ophtalmologique (OCT, fond d'œil) à M3 (et M6 si facteur de risque) ; surveillance tensionnelle semestrielle ; surveillance dermatologique annuelle (mélanome).</w:t>
      </w:r>
    </w:p>
    <w:p>
      <w:pPr>
        <w:pStyle w:val="ListBullet"/>
      </w:pPr>
      <w:r/>
      <w:r>
        <w:rPr>
          <w:b/>
        </w:rPr>
        <w:t>Contraception rigoureuse</w:t>
      </w:r>
      <w:r>
        <w:t xml:space="preserve"> chez femme en âge de procréer (méthode efficace, double contraception possible), β-hCG pré-thérapeutique obligatoire, information claire du risque tératogène.</w:t>
      </w:r>
    </w:p>
    <w:p>
      <w:pPr>
        <w:pStyle w:val="ListBullet"/>
      </w:pPr>
      <w:r/>
      <w:r>
        <w:rPr>
          <w:b/>
        </w:rPr>
        <w:t>Vaccination préalable</w:t>
      </w:r>
      <w:r>
        <w:t xml:space="preserve"> : mise à jour vaccins inactivés (grippe annuelle, pneumocoque) ; vaccin varicelle si séronégatif (au moins 1 mois avant initiation) ; vaccins vivants contre-indiqués pendant et 2 mois après l'arrêt.</w:t>
      </w:r>
    </w:p>
    <w:p>
      <w:pPr>
        <w:pStyle w:val="ListBullet"/>
      </w:pPr>
      <w:r/>
      <w:r>
        <w:rPr>
          <w:b/>
        </w:rPr>
        <w:t>Conduite à Tenir</w:t>
      </w:r>
      <w:r>
        <w:t xml:space="preserve"> :</w:t>
      </w:r>
    </w:p>
    <w:p>
      <w:pPr>
        <w:pStyle w:val="ListBullet"/>
      </w:pPr>
      <w:r/>
      <w:r>
        <w:rPr>
          <w:b/>
        </w:rPr>
        <w:t>Bradycardie ou BAV à la première dose</w:t>
      </w:r>
      <w:r>
        <w:t xml:space="preserve"> : surveillance continue ECG, si asymptomatique et spontanément résolutif en &lt; 24 h — pas d'arrêt définitif, surveillance renforcée à chaque reprise. Si symptomatique (malaise, syncope, douleur thoracique) ou BAV de haut grade persistant — arrêt définitif, avis cardiologique.</w:t>
      </w:r>
    </w:p>
    <w:p>
      <w:pPr>
        <w:pStyle w:val="ListBullet"/>
      </w:pPr>
      <w:r/>
      <w:r>
        <w:rPr>
          <w:b/>
        </w:rPr>
        <w:t>Œdème maculaire</w:t>
      </w:r>
      <w:r>
        <w:t xml:space="preserve"> : arrêt immédiat et définitif, avis ophtalmologique urgent (OCT). Régression dans la plupart des cas à l'arrêt.</w:t>
      </w:r>
    </w:p>
    <w:p>
      <w:pPr>
        <w:pStyle w:val="ListBullet"/>
      </w:pPr>
      <w:r/>
      <w:r>
        <w:rPr>
          <w:b/>
        </w:rPr>
        <w:t>Cytolyse hépatique &gt;5× LSN</w:t>
      </w:r>
      <w:r>
        <w:t xml:space="preserve"> : arrêt transitoire, contrôle à 2-4 semaines, reprise si normalisation ; arrêt définitif si cytolyse persistante.</w:t>
      </w:r>
    </w:p>
    <w:p>
      <w:pPr>
        <w:pStyle w:val="ListBullet"/>
      </w:pPr>
      <w:r/>
      <w:r>
        <w:rPr>
          <w:b/>
        </w:rPr>
        <w:t>Lymphopénie &lt; 0,2 G/L</w:t>
      </w:r>
      <w:r>
        <w:t xml:space="preserve"> : arrêt transitoire, contrôle à 2 semaines, reprise si récupération.</w:t>
      </w:r>
    </w:p>
    <w:p>
      <w:pPr>
        <w:pStyle w:val="ListBullet"/>
      </w:pPr>
      <w:r/>
      <w:r>
        <w:rPr>
          <w:b/>
        </w:rPr>
        <w:t>Infection sévère</w:t>
      </w:r>
      <w:r>
        <w:t xml:space="preserve"> : arrêt immédiat, prise en charge adaptée, ne pas reprendre avant contrôle complet.</w:t>
      </w:r>
    </w:p>
    <w:p>
      <w:pPr>
        <w:pStyle w:val="ListBullet"/>
      </w:pPr>
      <w:r/>
      <w:r>
        <w:rPr>
          <w:b/>
        </w:rPr>
        <w:t>Grossesse</w:t>
      </w:r>
      <w:r>
        <w:t xml:space="preserve"> sous fingolimod : arrêt immédiat, surveillance échographique rapprochée (malformations), discussion switch vers IFNβ ou glatiramer (compatibles).</w:t>
      </w:r>
    </w:p>
    <w:p>
      <w:pPr>
        <w:pStyle w:val="ListBullet"/>
      </w:pPr>
      <w:r/>
      <w:r>
        <w:rPr>
          <w:b/>
        </w:rPr>
        <w:t>Poussée sous traitement</w:t>
      </w:r>
      <w:r>
        <w:t xml:space="preserve"> : évaluation de la réponse thérapeutique (≥2 poussées/an ou progression IRM = échece thérapeutique, switch selon profil patient).</w:t>
      </w:r>
    </w:p>
    <w:p>
      <w:r/>
      <w:r>
        <w:rPr>
          <w:b/>
        </w:rPr>
        <w:t>Interactions Importantes :</w:t>
      </w:r>
      <w:r/>
    </w:p>
    <w:p>
      <w:pPr>
        <w:pStyle w:val="ListBullet"/>
      </w:pPr>
      <w:r/>
      <w:r>
        <w:rPr>
          <w:b/>
        </w:rPr>
        <w:t>Fingolimod + vaccins vivants (BCG, ROR, fièvre jaune, varicelle, rotavirus, oral polio)</w:t>
      </w:r>
      <w:r>
        <w:t xml:space="preserve"> : contre-indication absolue — risque d'infection vaccinale généralisée. Attendre 2 mois après l'arrêt du fingolimod pour vacciner (demi-vie longue, retour à normale lymphopénie en 1-2 mois).</w:t>
      </w:r>
    </w:p>
    <w:p>
      <w:pPr>
        <w:pStyle w:val="ListBullet"/>
      </w:pPr>
      <w:r/>
      <w:r>
        <w:rPr>
          <w:b/>
        </w:rPr>
        <w:t>Fingolimod + β-bloquants (non cardiosélectifs : propranolol, nadolol, sotalol)</w:t>
      </w:r>
      <w:r>
        <w:t xml:space="preserve"> : risque additif de bradycardie et BAV. Surveillance ECG 6 h renforcée à la première dose, ou switch β-bloquant vers un autre antihypertensif avant initiation.</w:t>
      </w:r>
    </w:p>
    <w:p>
      <w:pPr>
        <w:pStyle w:val="ListBullet"/>
      </w:pPr>
      <w:r/>
      <w:r>
        <w:rPr>
          <w:b/>
        </w:rPr>
        <w:t>Fingolimod + inhibiteurs calciques bradycardisants (vérapamil, diltiazem)</w:t>
      </w:r>
      <w:r>
        <w:t xml:space="preserve"> : risque additif de bradycardie et BAV. Idem β-bloquants.</w:t>
      </w:r>
    </w:p>
    <w:p>
      <w:pPr>
        <w:pStyle w:val="ListBullet"/>
      </w:pPr>
      <w:r/>
      <w:r>
        <w:rPr>
          <w:b/>
        </w:rPr>
        <w:t>Fingolimod + antiarythmiques classe Ia (quinidine, disopyramide, procaïnamide), classe III (amiodarone, sotalol, dofetilide, ibutilide)</w:t>
      </w:r>
      <w:r>
        <w:t xml:space="preserve"> : contre-indication absolue — risque majeur d'arythmies ventriculaires (allongement QT additif, torsades de pointes).</w:t>
      </w:r>
    </w:p>
    <w:p>
      <w:pPr>
        <w:pStyle w:val="ListBullet"/>
      </w:pPr>
      <w:r/>
      <w:r>
        <w:rPr>
          <w:b/>
        </w:rPr>
        <w:t>Fingolimod + digoxine</w:t>
      </w:r>
      <w:r>
        <w:t xml:space="preserve"> : risque additif de bradycardie. Surveillance ECG.</w:t>
      </w:r>
    </w:p>
    <w:p>
      <w:pPr>
        <w:pStyle w:val="ListBullet"/>
      </w:pPr>
      <w:r/>
      <w:r>
        <w:rPr>
          <w:b/>
        </w:rPr>
        <w:t>Fingolimod + inhibiteurs CYP3A4 (kétoconazole, itraconazole, clarithromycine, érythromycine, ritonavir, jus de pamplemousse)</w:t>
      </w:r>
      <w:r>
        <w:t xml:space="preserve"> : augmentation des concentrations de fingolimod (métabolisme CYP3A4 hépatique) — risque toxicité majorée (bradycardie, lymphopénie profonde, infections). Surveillance renforcée ou switch vers alternative.</w:t>
      </w:r>
    </w:p>
    <w:p>
      <w:pPr>
        <w:pStyle w:val="ListBullet"/>
      </w:pPr>
      <w:r/>
      <w:r>
        <w:rPr>
          <w:b/>
        </w:rPr>
        <w:t>Fingolimod + inducteurs CYP3A4 (rifampicine, phénytoïne, carbamazépine, phénobarbital, millepertuis)</w:t>
      </w:r>
      <w:r>
        <w:t xml:space="preserve"> : diminution des concentrations de fingolimod — efficacité réduite.</w:t>
      </w:r>
    </w:p>
    <w:p>
      <w:pPr>
        <w:pStyle w:val="ListBullet"/>
      </w:pPr>
      <w:r/>
      <w:r>
        <w:rPr>
          <w:b/>
        </w:rPr>
        <w:t>Fingolimod + immunosuppresseurs (azathioprine, méthotrexate, mitoxantrone, anti-TNFα, anti-CD20, natalizumab, diméthyl fumarate)</w:t>
      </w:r>
      <w:r>
        <w:t xml:space="preserve"> : contre-indication absolue — risque d'immunosuppression additive majeure.</w:t>
      </w:r>
    </w:p>
    <w:p>
      <w:pPr>
        <w:pStyle w:val="ListBullet"/>
      </w:pPr>
      <w:r/>
      <w:r>
        <w:rPr>
          <w:b/>
        </w:rPr>
        <w:t>Fingolimod + corticoïdes</w:t>
      </w:r>
      <w:r>
        <w:t xml:space="preserve"> : pas d'interaction pharmacocinétique majeure mais majoration du risque infectieux. Possible utilisation ponctuelle de bolus de méthylprednisolone (1 g IV J1-J3) pour poussée de SEP pendant le traitement par fingolimod.</w:t>
      </w:r>
    </w:p>
    <w:p>
      <w:r/>
      <w:r>
        <w:rPr>
          <w:b/>
        </w:rPr>
        <w:t>Grossesse et Allaitement :</w:t>
      </w:r>
      <w:r/>
    </w:p>
    <w:p>
      <w:pPr>
        <w:pStyle w:val="ListBullet"/>
      </w:pPr>
      <w:r/>
      <w:r>
        <w:rPr>
          <w:b/>
        </w:rPr>
        <w:t>Grossesse</w:t>
      </w:r>
      <w:r>
        <w:t xml:space="preserve"> : contre-indication </w:t>
      </w:r>
      <w:r>
        <w:rPr>
          <w:b/>
        </w:rPr>
        <w:t>absolue</w:t>
      </w:r>
      <w:r>
        <w:t>. Le fingolimod est tératogène chez l'animal (malformations cardiaques, squelettiques, neurologiques — rates et lapins) à doses thérapeutiques. Les données du registre international de grossesses sous fingolimod (~1500 grossesses exposées) confirment un sur-risque malformatif (taux de malformations majeures ~5-6 % vs 2-3 % population générale), en particulier cardiaques (CIA, CIV, transposition des gros vaisseaux), rénales, squelettiques, neurologiques (anencéphalie, spina bifida). Recommandations 2024 (CRAT, ECTRIMS/EMPG) :</w:t>
      </w:r>
    </w:p>
    <w:p>
      <w:pPr>
        <w:pStyle w:val="ListBullet"/>
      </w:pPr>
      <w:r/>
      <w:r>
        <w:rPr>
          <w:b/>
        </w:rPr>
        <w:t>Contraception rigoureuse obligatoire</w:t>
      </w:r>
      <w:r>
        <w:t xml:space="preserve"> chez toute femme en âge de procréer pendant et jusqu'à 2 mois après l'arrêt du fingolimod (demi-vie longue ~6-9 jours, ~5 demi-vies pour clairance complète).</w:t>
      </w:r>
    </w:p>
    <w:p>
      <w:pPr>
        <w:pStyle w:val="ListBullet"/>
      </w:pPr>
      <w:r/>
      <w:r>
        <w:rPr>
          <w:b/>
        </w:rPr>
        <w:t>β-hCG pré-thérapeutique obligatoire</w:t>
      </w:r>
      <w:r>
        <w:t xml:space="preserve"> avant initiation.</w:t>
      </w:r>
    </w:p>
    <w:p>
      <w:pPr>
        <w:pStyle w:val="ListBullet"/>
      </w:pPr>
      <w:r>
        <w:t xml:space="preserve">En cas de </w:t>
      </w:r>
      <w:r>
        <w:rPr>
          <w:b/>
        </w:rPr>
        <w:t>grossesse sous fingolimod</w:t>
      </w:r>
      <w:r>
        <w:t xml:space="preserve"> : arrêt immédiat, information claire du risque malformatif, surveillance échographique rapprochée (échographies morphologiques à S12, S22, S32 par centre pluridisciplinaire de diagnostic prénatal), discussion switch vers IFNβ ou glatiramer (compatibles avec grossesse).</w:t>
      </w:r>
    </w:p>
    <w:p>
      <w:pPr>
        <w:pStyle w:val="ListBullet"/>
      </w:pPr>
      <w:r>
        <w:t xml:space="preserve">Planification de grossesse : </w:t>
      </w:r>
      <w:r>
        <w:rPr>
          <w:b/>
        </w:rPr>
        <w:t>wash-out de 2 mois</w:t>
      </w:r>
      <w:r>
        <w:t xml:space="preserve"> avant conception (arrêt du fingolimod, switch vers IFNβ ou glatiramer 2 mois avant conception, surveillance rapprochée de la maladie pendant le wash-out — risque de poussée/rebound).</w:t>
      </w:r>
    </w:p>
    <w:p>
      <w:pPr>
        <w:pStyle w:val="ListBullet"/>
      </w:pPr>
      <w:r/>
      <w:r>
        <w:rPr>
          <w:b/>
        </w:rPr>
        <w:t>Allaitement</w:t>
      </w:r>
      <w:r>
        <w:t xml:space="preserve"> : contre-indication formelle — passage dans le lait maternel (lipophile), demi-vie longue, risque immunologique pour le nourrisson. Ne pas allaiter sous fingolimod.</w:t>
      </w:r>
    </w:p>
    <w:p>
      <w:pPr>
        <w:pStyle w:val="ListBullet"/>
      </w:pPr>
      <w:r/>
      <w:r>
        <w:rPr>
          <w:b/>
        </w:rPr>
        <w:t>Précisions</w:t>
      </w:r>
      <w:r>
        <w:t xml:space="preserve"> : le fingolimod est </w:t>
      </w:r>
      <w:r>
        <w:rPr>
          <w:b/>
        </w:rPr>
        <w:t>le traitement de fond de la SEP le plus problématique chez la femme en âge de procréer</w:t>
      </w:r>
      <w:r>
        <w:t xml:space="preserve"> en raison de sa tératogénicité. Préférence pour IFNβ ou glatiramer chez ces patientes, avec switch vers fingolimod (ou autre haute efficacité) en post-allaitement si la maladie l'exige.</w:t>
      </w:r>
    </w:p>
    <w:p>
      <w:r/>
      <w:r>
        <w:rPr>
          <w:b/>
        </w:rPr>
        <w:t>Posologie et Mode d'administration (Standard) :</w:t>
      </w:r>
      <w:r/>
    </w:p>
    <w:p>
      <w:pPr>
        <w:pStyle w:val="ListBullet"/>
      </w:pPr>
      <w:r/>
      <w:r>
        <w:rPr>
          <w:b/>
        </w:rPr>
        <w:t>Adulte</w:t>
      </w:r>
      <w:r>
        <w:t xml:space="preserve"> :</w:t>
      </w:r>
    </w:p>
    <w:p>
      <w:pPr>
        <w:pStyle w:val="ListBullet"/>
      </w:pPr>
      <w:r/>
      <w:r>
        <w:rPr>
          <w:b/>
        </w:rPr>
        <w:t>Posologie standard</w:t>
      </w:r>
      <w:r>
        <w:t xml:space="preserve"> : 0,5 mg oral une fois par jour, à heure fixe (matin de préférence, indépendamment des repas).</w:t>
      </w:r>
    </w:p>
    <w:p>
      <w:pPr>
        <w:pStyle w:val="ListBullet"/>
      </w:pPr>
      <w:r/>
      <w:r>
        <w:rPr>
          <w:b/>
        </w:rPr>
        <w:t>Initiation</w:t>
      </w:r>
      <w:r>
        <w:t xml:space="preserve"> : première dose en milieu hospitalier spécialisé (day hospital de neurologie ou cardiologie) avec surveillance ECG continue 6 h (cf. ci-dessus).</w:t>
      </w:r>
    </w:p>
    <w:p>
      <w:pPr>
        <w:pStyle w:val="ListBullet"/>
      </w:pPr>
      <w:r/>
      <w:r>
        <w:rPr>
          <w:b/>
        </w:rPr>
        <w:t>Mode d'administration</w:t>
      </w:r>
      <w:r>
        <w:t xml:space="preserve"> : per os, gélule avalée entière avec un verre d'eau, sans égard aux repas (biodisponibilité indépendante).</w:t>
      </w:r>
    </w:p>
    <w:p>
      <w:pPr>
        <w:pStyle w:val="ListBullet"/>
      </w:pPr>
      <w:r/>
      <w:r>
        <w:rPr>
          <w:b/>
        </w:rPr>
        <w:t>Sujet âgé</w:t>
      </w:r>
      <w:r>
        <w:t xml:space="preserve"> : pas d'adaptation posologique systématique, mais évaluation gériatrique et cardiovasculaire préalable indispensable (risque bradycardie, comorbidités).</w:t>
      </w:r>
    </w:p>
    <w:p>
      <w:pPr>
        <w:pStyle w:val="ListBullet"/>
      </w:pPr>
      <w:r/>
      <w:r>
        <w:rPr>
          <w:b/>
        </w:rPr>
        <w:t>Enfant et adolescent (≥ 10 ans, ≥ 40 kg)</w:t>
      </w:r>
      <w:r>
        <w:t xml:space="preserve"> : posologie identique 0,5 mg/j (à noter : en pédiatrie, dosage 0,25 mg est disponible internationalement pour initiation progressive, mais non commercialisé en Algérie).</w:t>
      </w:r>
    </w:p>
    <w:p>
      <w:pPr>
        <w:pStyle w:val="ListBullet"/>
      </w:pPr>
      <w:r/>
      <w:r>
        <w:rPr>
          <w:b/>
        </w:rPr>
        <w:t>Durée</w:t>
      </w:r>
      <w:r>
        <w:t xml:space="preserve"> : traitement au long cours, indéterminé. Réévaluation annuelle de la tolérance et de l'efficacité. Arrêt à discuter en cas d'inefficacité, d'intolérance grave, de projet de grossesse (wash-out 2 mois), de progression vers SEP progressive secondaire sans activité inflammatoire.</w:t>
      </w:r>
    </w:p>
    <w:p>
      <w:pPr>
        <w:pStyle w:val="ListBullet"/>
      </w:pPr>
      <w:r/>
      <w:r>
        <w:rPr>
          <w:b/>
        </w:rPr>
        <w:t>Moment de prise</w:t>
      </w:r>
      <w:r>
        <w:t xml:space="preserve"> : heure fixe quotidienne (matin de préférence), indépendamment des repas.</w:t>
      </w:r>
    </w:p>
    <w:p>
      <w:r/>
      <w:r>
        <w:rPr>
          <w:b/>
        </w:rPr>
        <w:t>Arbitrage et Bénéfices des Formes Galéniques :</w:t>
      </w:r>
      <w:r/>
    </w:p>
    <w:p>
      <w:pPr>
        <w:pStyle w:val="ListBullet"/>
      </w:pPr>
      <w:r/>
      <w:r>
        <w:rPr>
          <w:b/>
        </w:rPr>
        <w:t>Gélule 0,5 mg (GILENYA, LYXIA)</w:t>
      </w:r>
      <w:r>
        <w:t xml:space="preserve"> : forme unique, simplicité d'usage, observance facile (1 prise par jour, indépendamment des repas).</w:t>
      </w:r>
    </w:p>
    <w:p>
      <w:pPr>
        <w:pStyle w:val="ListBullet"/>
      </w:pPr>
      <w:r/>
      <w:r>
        <w:rPr>
          <w:b/>
        </w:rPr>
        <w:t>Forme orale vs injectable (IFNβ, glatiramer) ou IV (natalizumab)</w:t>
      </w:r>
      <w:r>
        <w:t xml:space="preserve"> : avantage majeur d'acceptabilité pour le patient (pas d'injection, pas de syndrome pseudo-grippal, pas de réaction au site d'injection). Inconvénient : surveillance hospitalière initiale stricte (ECG 6 h), surveillance biologique et ophtalmologique régulière.</w:t>
      </w:r>
    </w:p>
    <w:p>
      <w:pPr>
        <w:pStyle w:val="ListBullet"/>
      </w:pPr>
      <w:r/>
      <w:r>
        <w:rPr>
          <w:b/>
        </w:rPr>
        <w:t>Pas de chaîne du froid</w:t>
      </w:r>
      <w:r>
        <w:t xml:space="preserve"> : conservation à température ambiante (≤ 25 °C), dans l'emballage extérieur (protection humidité et lumière). Stabilité longue (24-36 mois).</w:t>
      </w:r>
    </w:p>
    <w:p>
      <w:pPr>
        <w:pStyle w:val="ListBullet"/>
      </w:pPr>
      <w:r/>
      <w:r>
        <w:rPr>
          <w:b/>
        </w:rPr>
        <w:t>Substitution GILENYA ↔ LYXIA</w:t>
      </w:r>
      <w:r>
        <w:t xml:space="preserve"> : possible, surveillance clinique rapprochée (3 mois) pour confirmer efficacité et tolérance après switch. Pas de re-surveillance ECG 6 h à l'occasion d'un switch à dose stable (sauf si interruption &gt; 14 jours).</w:t>
      </w:r>
    </w:p>
    <w:p>
      <w:r/>
      <w:r>
        <w:rPr>
          <w:b/>
        </w:rPr>
        <w:t>Instructions et Conseils au Patient :</w:t>
      </w:r>
      <w:r/>
    </w:p>
    <w:p>
      <w:pPr>
        <w:pStyle w:val="ListBullet"/>
      </w:pPr>
      <w:r/>
      <w:r>
        <w:rPr>
          <w:b/>
        </w:rPr>
        <w:t>Communication au comptoir</w:t>
      </w:r>
      <w:r>
        <w:t xml:space="preserve"> :</w:t>
      </w:r>
    </w:p>
    <w:p>
      <w:pPr>
        <w:pStyle w:val="ListBullet"/>
      </w:pPr>
      <w:r>
        <w:t>"Ce traitement est une biothérapie orale de haute efficacité de la SEP : il réduit fortement les poussées et ralentit la progression du handicap. Il se prend une fois par jour, à heure fixe, indépendamment des repas."</w:t>
      </w:r>
    </w:p>
    <w:p>
      <w:pPr>
        <w:pStyle w:val="ListBullet"/>
      </w:pPr>
      <w:r>
        <w:t xml:space="preserve">"La </w:t>
      </w:r>
      <w:r>
        <w:rPr>
          <w:b/>
        </w:rPr>
        <w:t>première dose</w:t>
      </w:r>
      <w:r>
        <w:t xml:space="preserve"> sera administrée à l'hôpital sous surveillance cardiaque (ECG) pendant 6 heures — pour vérifier qu'il n'y a pas de bradycardie ou de trouble du rythme. Cette surveillance est obligatoire."</w:t>
      </w:r>
    </w:p>
    <w:p>
      <w:pPr>
        <w:pStyle w:val="ListBullet"/>
      </w:pPr>
      <w:r>
        <w:t>"Signalez immédiatement à votre neurologue tout symptôme visuel nouveau (baisse de vision, scotome, métamorphopsies) — un examen ophtalmologique régulier est prévu à 3 mois (œdème maculaire possible)."</w:t>
      </w:r>
    </w:p>
    <w:p>
      <w:pPr>
        <w:pStyle w:val="ListBullet"/>
      </w:pPr>
      <w:r>
        <w:t>"Si vous êtes une femme en âge de procréer, une contraception rigoureuse est obligatoire pendant tout le traitement et jusqu'à 2 mois après l'arrêt — ce traitement est tératogène (malformations)."</w:t>
      </w:r>
    </w:p>
    <w:p>
      <w:pPr>
        <w:pStyle w:val="ListBullet"/>
      </w:pPr>
      <w:r>
        <w:t>"Signalez tout projet de grossesse dès que possible — une planification avec votre neurologue est nécessaire (wash-out de 2 mois avant conception)."</w:t>
      </w:r>
    </w:p>
    <w:p>
      <w:pPr>
        <w:pStyle w:val="ListBullet"/>
      </w:pPr>
      <w:r>
        <w:t>"Faites les prises de sang prescrites (NFS, transaminases) — surveillance indispensable."</w:t>
      </w:r>
    </w:p>
    <w:p>
      <w:pPr>
        <w:pStyle w:val="ListBullet"/>
      </w:pPr>
      <w:r>
        <w:t>"Surveillez votre peau — un examen dermatologique annuel est prévu (mélanome possible)."</w:t>
      </w:r>
    </w:p>
    <w:p>
      <w:pPr>
        <w:pStyle w:val="ListBullet"/>
      </w:pPr>
      <w:r>
        <w:t>"Ne jamais arrêter brutalement sans avis médical — risque de rebond inflammatoire."</w:t>
      </w:r>
    </w:p>
    <w:p>
      <w:pPr>
        <w:pStyle w:val="ListBullet"/>
      </w:pPr>
      <w:r/>
      <w:r>
        <w:rPr>
          <w:b/>
        </w:rPr>
        <w:t>Mode d'utilisation pratique</w:t>
      </w:r>
      <w:r>
        <w:t xml:space="preserve"> : prise orale quotidienne à heure fixe. Pas d'oubli (en cas d'oubli &gt; 1 jour, re-surveillance ECG 6 h nécessaire si interruption pendant les 2 premières semaines de traitement, ou &gt; 2 semaines au-delà). Conservation à température ambiante.</w:t>
      </w:r>
    </w:p>
    <w:p>
      <w:r/>
      <w:r>
        <w:rPr>
          <w:b/>
        </w:rPr>
        <w:t>Notes, Règles d'Or &amp; Pièges au Comptoir :</w:t>
      </w:r>
      <w:r/>
    </w:p>
    <w:p>
      <w:pPr>
        <w:pStyle w:val="ListBullet"/>
      </w:pPr>
      <w:r/>
      <w:r>
        <w:rPr>
          <w:b/>
        </w:rPr>
        <w:t>Piège classique bradycardie première dose</w:t>
      </w:r>
      <w:r>
        <w:t xml:space="preserve"> : surveillance ECG 6 h obligatoire à l'initiation, et après toute interruption &gt; 1 jour pendant les 2 premières semaines (et &gt; 2 semaines au-delà). Ne jamais délivrer la première dose sans surveillance médicale.</w:t>
      </w:r>
    </w:p>
    <w:p>
      <w:pPr>
        <w:pStyle w:val="ListBullet"/>
      </w:pPr>
      <w:r/>
      <w:r>
        <w:rPr>
          <w:b/>
        </w:rPr>
        <w:t>Piège tératogénicité</w:t>
      </w:r>
      <w:r>
        <w:t xml:space="preserve"> : femme en âge de procréer = contraception obligatoire. β-hCG pré-thérapeutique obligatoire. En cas de grossesse sous fingolimod, arrêt immédiat et information claire du risque malformatif.</w:t>
      </w:r>
    </w:p>
    <w:p>
      <w:pPr>
        <w:pStyle w:val="ListBullet"/>
      </w:pPr>
      <w:r/>
      <w:r>
        <w:rPr>
          <w:b/>
        </w:rPr>
        <w:t>Piège œdème maculaire</w:t>
      </w:r>
      <w:r>
        <w:t xml:space="preserve"> : tout symptôme visuel nouveau (baisse de vision, scotome central) chez patient sous fingolimod = arrêt immédiat et avis ophtalmologique urgent (OCT). Examen ophtalmologique obligatoire à M3 (et M6 si facteur de risque).</w:t>
      </w:r>
    </w:p>
    <w:p>
      <w:pPr>
        <w:pStyle w:val="ListBullet"/>
      </w:pPr>
      <w:r/>
      <w:r>
        <w:rPr>
          <w:b/>
        </w:rPr>
        <w:t>Piège infections opportunistes</w:t>
      </w:r>
      <w:r>
        <w:t xml:space="preserve"> : tout syndrome infectieux inhabituel ou sévère chez patient sous fingolimod = suspicion d'infection opportuniste (PML exceptionnelle, cryptococcose méningée, zona disséminé) — avis infectiologique.</w:t>
      </w:r>
    </w:p>
    <w:p>
      <w:pPr>
        <w:pStyle w:val="ListBullet"/>
      </w:pPr>
      <w:r/>
      <w:r>
        <w:rPr>
          <w:b/>
        </w:rPr>
        <w:t>Piège wash-out grossesse</w:t>
      </w:r>
      <w:r>
        <w:t xml:space="preserve"> : wash-out de 2 mois avant conception — risque de poussée pendant ce wash-out (rebound immunologique), surveillance rapprochée neurologique.</w:t>
      </w:r>
    </w:p>
    <w:p>
      <w:pPr>
        <w:pStyle w:val="ListBullet"/>
      </w:pPr>
      <w:r/>
      <w:r>
        <w:rPr>
          <w:b/>
        </w:rPr>
        <w:t>Piège interactions bradycardisantes</w:t>
      </w:r>
      <w:r>
        <w:t xml:space="preserve"> : association à β-bloquant, vérapamil, diltiazem, digoxine, antiarythmiques = surveillance ECG 6 h renforcée à la première dose, ou switch antihypertenseur avant initiation.</w:t>
      </w:r>
    </w:p>
    <w:p>
      <w:pPr>
        <w:pStyle w:val="ListBullet"/>
      </w:pPr>
      <w:r/>
      <w:r>
        <w:rPr>
          <w:b/>
        </w:rPr>
        <w:t>Règle de prise</w:t>
      </w:r>
      <w:r>
        <w:t xml:space="preserve"> : heure fixe quotidienne, indépendamment des repas. En cas d'oubli (1 dose), prendre dès que possible dans la même journée. Ne pas doubler la dose.</w:t>
      </w:r>
    </w:p>
    <w:p>
      <w:pPr>
        <w:pStyle w:val="ListBullet"/>
      </w:pPr>
      <w:r/>
      <w:r>
        <w:rPr>
          <w:b/>
        </w:rPr>
        <w:t>Préparation et Conservation</w:t>
      </w:r>
      <w:r>
        <w:t xml:space="preserve"> : conservation à température ambiante (≤ 25 °C), dans l'emballage extérieur (protection humidité et lumière). Ne pas exposer à la chaleur. Vérifier péremption avant utilisation.</w:t>
      </w:r>
    </w:p>
    <w:p>
      <w:pPr>
        <w:pStyle w:val="ListBullet"/>
      </w:pPr>
      <w:r/>
      <w:r>
        <w:rPr>
          <w:b/>
        </w:rPr>
        <w:t>Piège du surdosage / Substitution</w:t>
      </w:r>
      <w:r>
        <w:t xml:space="preserve"> : substitution GILENYA ↔ LYXIA possible sous surveillance clinique rapprochée (3 mois). Pas de surdosage décrit à dose standard. En cas de surdosage accidentel (≥ 2 mg), surveillance ECG continue 24 h, surveillance lymphopénie, traitement symptomatique (atropine si bradycardie sévère, isoprénaline si BAV).</w:t>
      </w:r>
    </w:p>
    <w:p>
      <w:pPr>
        <w:pStyle w:val="Heading2"/>
      </w:pPr>
      <w:r>
        <w:t>93.5 — Sous-classe : SEP — Fumarates (Diméthyl fumarate)</w:t>
      </w:r>
    </w:p>
    <w:p>
      <w:pPr>
        <w:pStyle w:val="Heading3"/>
      </w:pPr>
      <w:r>
        <w:t>Introduction à la sous-classe</w:t>
      </w:r>
    </w:p>
    <w:p>
      <w:r>
        <w:t xml:space="preserve">Les </w:t>
      </w:r>
      <w:r>
        <w:rPr>
          <w:b/>
        </w:rPr>
        <w:t>fumarates</w:t>
      </w:r>
      <w:r>
        <w:t xml:space="preserve"> sont utilisés en médecine depuis des décennies dans le traitement du psoriasis (Fumaderm®, association de diméthyl fumarate et de sels de fumarate — Allemagne, 1994). Leur repositionnement dans la SEP a été motivé par l'observation de l'efficacité de ces composés sur des patients atteints de SEP et psoriasis associés, et par la compréhension progressive de leur mécanisme d'action original — activation de la voie </w:t>
      </w:r>
      <w:r>
        <w:rPr>
          <w:b/>
        </w:rPr>
        <w:t>Nrf2 (Nuclear factor erythroid 2-related factor 2)</w:t>
      </w:r>
      <w:r>
        <w:t xml:space="preserve">, facteur de transcription anti-oxydant majeur. Le </w:t>
      </w:r>
      <w:r>
        <w:rPr>
          <w:b/>
        </w:rPr>
        <w:t>diméthyl fumarate (DMF)</w:t>
      </w:r>
      <w:r>
        <w:t xml:space="preserve"> a été approuvé dans la SEP-RR par la FDA en mars 2013 (Tecfidera, Biogen) et par l'EMA en janvier 2014 — premier traitement oral de la SEP-RR après le fingolimod (2010). Il fait partie de la classe des thérapies orales de la SEP, avec une efficacité comparable à celle du fingolimod (~50 % de réduction des poussées) et un profil de tolérance différent (effets digestifs et flush fréquents en début de traitement, mais pas de surveillance ECG 6 h).</w:t>
      </w:r>
    </w:p>
    <w:p>
      <w:r/>
      <w:r>
        <w:rPr>
          <w:b/>
        </w:rPr>
        <w:t>Nature biochimique</w:t>
      </w:r>
      <w:r>
        <w:t xml:space="preserve"> : le diméthyl fumarate (DMF) est un </w:t>
      </w:r>
      <w:r>
        <w:rPr>
          <w:b/>
        </w:rPr>
        <w:t>ester méthylique de l'acide fumarique</w:t>
      </w:r>
      <w:r>
        <w:t xml:space="preserve"> — composé organique de bas poids moléculaire (MW 144,13 g/mol), liposoluble, rapidement hydrolysé in vivo en </w:t>
      </w:r>
      <w:r>
        <w:rPr>
          <w:b/>
        </w:rPr>
        <w:t>acide monométhyl fumarate (MMF)</w:t>
      </w:r>
      <w:r>
        <w:t>, métabolite actif. Le DMF est également utilisé comme additif anti-moisissure industriel (fongicide) — ce qui a posé des questions de sécurité environnementale mais sans pertinence clinique thérapeutique.</w:t>
      </w:r>
    </w:p>
    <w:p>
      <w:r/>
      <w:r>
        <w:rPr>
          <w:b/>
        </w:rPr>
        <w:t>Justification physiopathologique</w:t>
      </w:r>
      <w:r>
        <w:t xml:space="preserve"> : le DMF/MMF exerce des effets pléiotropiques sur la physiopathologie de la SEP, impliquant plusieurs mécanismes complémentaires :</w:t>
      </w:r>
    </w:p>
    <w:p>
      <w:pPr>
        <w:pStyle w:val="ListBullet"/>
      </w:pPr>
      <w:r/>
      <w:r>
        <w:rPr>
          <w:b/>
        </w:rPr>
        <w:t>Activation de la voie Nrf2</w:t>
      </w:r>
      <w:r>
        <w:t xml:space="preserve"> : le DMF est un </w:t>
      </w:r>
      <w:r>
        <w:rPr>
          <w:b/>
        </w:rPr>
        <w:t>électrophile faible</w:t>
      </w:r>
      <w:r>
        <w:t xml:space="preserve"> qui se conjugue aux groupements thiols des résidus cystéine des protéines cellulaires. En particulier, il modifie </w:t>
      </w:r>
      <w:r>
        <w:rPr>
          <w:b/>
        </w:rPr>
        <w:t>Keap1</w:t>
      </w:r>
      <w:r>
        <w:t xml:space="preserve"> (Kelch-like ECH-associated protein 1) — le répresseur cytoplasmique de </w:t>
      </w:r>
      <w:r>
        <w:rPr>
          <w:b/>
        </w:rPr>
        <w:t>Nrf2</w:t>
      </w:r>
      <w:r>
        <w:t xml:space="preserve">. Cette modification empêche Keap1 de dégrader Nrf2 (par ubiquitination / protéasome), permettant à Nrf2 de </w:t>
      </w:r>
      <w:r>
        <w:rPr>
          <w:b/>
        </w:rPr>
        <w:t>transloquer dans le noyau</w:t>
      </w:r>
      <w:r>
        <w:t xml:space="preserve">, de se lier aux éléments </w:t>
      </w:r>
      <w:r>
        <w:rPr>
          <w:b/>
        </w:rPr>
        <w:t>ARE (Antioxidant Response Element)</w:t>
      </w:r>
      <w:r>
        <w:t xml:space="preserve"> des promoteurs de gènes cibles et d'</w:t>
      </w:r>
      <w:r>
        <w:rPr>
          <w:b/>
        </w:rPr>
        <w:t>induire la transcription de gènes anti-oxydants et cytoprotecteurs</w:t>
      </w:r>
      <w:r>
        <w:t xml:space="preserve"> (hème oxygénase-1/HO-1, NAD(P)H:quinone oxydoreductase 1/NQO1, glutathione S-transferases, γ-glutamylcystéine synthase — limitante de la synthèse du glutathion). Le résultat est une </w:t>
      </w:r>
      <w:r>
        <w:rPr>
          <w:b/>
        </w:rPr>
        <w:t>augmentation de la capacité anti-oxydante cellulaire</w:t>
      </w:r>
      <w:r>
        <w:t>, protégeant les oligodendrocytes et les neurones contre le stress oxydatif (généré par la inflammation auto-immune, la démyélinisation, et la neurodégénérescence).</w:t>
      </w:r>
    </w:p>
    <w:p>
      <w:pPr>
        <w:pStyle w:val="ListBullet"/>
      </w:pPr>
      <w:r/>
      <w:r>
        <w:rPr>
          <w:b/>
        </w:rPr>
        <w:t>Effet immunomodulateur</w:t>
      </w:r>
      <w:r>
        <w:t xml:space="preserve"> : le DMF/MMF induit une </w:t>
      </w:r>
      <w:r>
        <w:rPr>
          <w:b/>
        </w:rPr>
        <w:t>lymphopénie partielle</w:t>
      </w:r>
      <w:r>
        <w:t xml:space="preserve"> (réduction des lymphocytes T circulants ~30-50 %, plus marquée sur les lymphocytes T CD8+ que CD4+) sans déplétion profonde. Mécanisme : activation de la voie Nrf2 dans les lymphocytes T, modification de leur survie, augmentation de l'apoptose des lymphocytes T effecteurs mémoires (TEMRA — T Effector Memory RA+) via diminution de Bcl-2. À l'arrêt du DMF, retour à la normale de la lymphopénie en 1-3 mois.</w:t>
      </w:r>
    </w:p>
    <w:p>
      <w:pPr>
        <w:pStyle w:val="ListBullet"/>
      </w:pPr>
      <w:r/>
      <w:r>
        <w:rPr>
          <w:b/>
        </w:rPr>
        <w:t>Modification du phénotype lymphocytaire T</w:t>
      </w:r>
      <w:r>
        <w:t xml:space="preserve"> : polarisation des lymphocytes T vers un </w:t>
      </w:r>
      <w:r>
        <w:rPr>
          <w:b/>
        </w:rPr>
        <w:t>phénotype Th2 anti-inflammatoire</w:t>
      </w:r>
      <w:r>
        <w:t xml:space="preserve"> (sécrétion d'IL-4, IL-5, IL-10) au lieu du phénotype Th1/Th17 pro-inflammatoire (IFNγ, IL-17). Ce basculement de polarisation réduit l'inflammation autoimmune anti-myéline.</w:t>
      </w:r>
    </w:p>
    <w:p>
      <w:pPr>
        <w:pStyle w:val="ListBullet"/>
      </w:pPr>
      <w:r/>
      <w:r>
        <w:rPr>
          <w:b/>
        </w:rPr>
        <w:t>Effet sur les cellules B</w:t>
      </w:r>
      <w:r>
        <w:t xml:space="preserve"> : le DMF réduit également les lymphocytes B circulants (effet moins marqué que sur les lymphocytes T), avec modification du phénotype (augmentation des B régulateurs CD24+CD38+ producteurs d'IL-10).</w:t>
      </w:r>
    </w:p>
    <w:p>
      <w:pPr>
        <w:pStyle w:val="ListBullet"/>
      </w:pPr>
      <w:r/>
      <w:r>
        <w:rPr>
          <w:b/>
        </w:rPr>
        <w:t>Effet neuroprotecteur direct</w:t>
      </w:r>
      <w:r>
        <w:t xml:space="preserve"> : la voie Nrf2 active dans les oligodendrocytes et les neurones confère une protection contre le stress oxydatif, l'excitotoxicité glutamatergique, et l'apoptose. Effet démontré dans des modèles expérimentaux (EAE) et potentiellement impliqué dans le ralentissement de la progression du handicap observé cliniquement.</w:t>
      </w:r>
    </w:p>
    <w:p>
      <w:r/>
      <w:r>
        <w:rPr>
          <w:b/>
        </w:rPr>
        <w:t>Efficacité</w:t>
      </w:r>
      <w:r>
        <w:t xml:space="preserve"> : réduction de la fréquence des poussées d'environ </w:t>
      </w:r>
      <w:r>
        <w:rPr>
          <w:b/>
        </w:rPr>
        <w:t>44-50 %</w:t>
      </w:r>
      <w:r>
        <w:t xml:space="preserve"> vs placebo (essai DEFINE 2012), 30 % vs glatiramer (essai CONFIRM 2012), réduction de la progression du handicap confirmée à 2 ans de ~38 %, réduction de l'activité IRM (hypersignaux T2 nouveaux) de ~70-90 %, réduction des lésions gadolinium-positives de ~90 %. Efficacité supérieure aux IFNβ/glatiramer (légèrement), comparable au fingolimod.</w:t>
      </w:r>
    </w:p>
    <w:p>
      <w:r/>
      <w:r>
        <w:rPr>
          <w:b/>
        </w:rPr>
        <w:t>Effets indésirables spécifiques</w:t>
      </w:r>
      <w:r>
        <w:t xml:space="preserve"> :</w:t>
      </w:r>
    </w:p>
    <w:p>
      <w:pPr>
        <w:pStyle w:val="ListBullet"/>
      </w:pPr>
      <w:r/>
      <w:r>
        <w:rPr>
          <w:b/>
        </w:rPr>
        <w:t>Flush</w:t>
      </w:r>
      <w:r>
        <w:t xml:space="preserve"> — rougeur cutanée du visage et du tronc, sensation de chaleur, prurit, quasi-constant en début de traitement (~40 % des patients), s'atténue avec le temps. Prévention par prise au cours du repas (effet alimentaire réduit), acide acétylsalicylique 80 mg avant la prise (efficacité partielle).</w:t>
      </w:r>
    </w:p>
    <w:p>
      <w:pPr>
        <w:pStyle w:val="ListBullet"/>
      </w:pPr>
      <w:r/>
      <w:r>
        <w:rPr>
          <w:b/>
        </w:rPr>
        <w:t>Effets digestifs</w:t>
      </w:r>
      <w:r>
        <w:t xml:space="preserve"> — nausées, vomissements, diarrhées, douleurs abdominales, ~30-40 % en début de traitement, s'atténuent en quelques semaines. Prévention par prise au cours du repas, escalade posologique (120 mg x2/j pendant 7 jours, puis 240 mg x2/j).</w:t>
      </w:r>
    </w:p>
    <w:p>
      <w:pPr>
        <w:pStyle w:val="ListBullet"/>
      </w:pPr>
      <w:r/>
      <w:r>
        <w:rPr>
          <w:b/>
        </w:rPr>
        <w:t>Lymphopénie</w:t>
      </w:r>
      <w:r>
        <w:t xml:space="preserve"> — attendue (effet pharmacodynamique), surveillance NFS trimestrielle. Lymphopénie sévère (&lt; 0,5 G/L) prolongée = risque infectieux majoré (et PML exceptionnelle, ~0,02 %).</w:t>
      </w:r>
    </w:p>
    <w:p>
      <w:pPr>
        <w:pStyle w:val="ListBullet"/>
      </w:pPr>
      <w:r/>
      <w:r>
        <w:rPr>
          <w:b/>
        </w:rPr>
        <w:t>Anomalies hépatiques</w:t>
      </w:r>
      <w:r>
        <w:t xml:space="preserve"> — cytolyse transitoire (~10 %), rarement sévère.</w:t>
      </w:r>
    </w:p>
    <w:p>
      <w:pPr>
        <w:pStyle w:val="ListBullet"/>
      </w:pPr>
      <w:r/>
      <w:r>
        <w:rPr>
          <w:b/>
        </w:rPr>
        <w:t>Protéinurie</w:t>
      </w:r>
      <w:r>
        <w:t xml:space="preserve"> — rare, surveillance肾功能.</w:t>
      </w:r>
    </w:p>
    <w:p>
      <w:pPr>
        <w:pStyle w:val="ListBullet"/>
      </w:pPr>
      <w:r/>
      <w:r>
        <w:rPr>
          <w:b/>
        </w:rPr>
        <w:t>PML</w:t>
      </w:r>
      <w:r>
        <w:t xml:space="preserve"> — exceptionnelle (&lt; 0,02 %), associée à une lymphopénie sévère prolongée (&lt; 0,5 G/L &gt; 6 mois).</w:t>
      </w:r>
    </w:p>
    <w:p>
      <w:r/>
      <w:r>
        <w:rPr>
          <w:b/>
        </w:rPr>
        <w:t>Positionnement actuel</w:t>
      </w:r>
      <w:r>
        <w:t xml:space="preserve"> : traitement de </w:t>
      </w:r>
      <w:r>
        <w:rPr>
          <w:b/>
        </w:rPr>
        <w:t>première intention</w:t>
      </w:r>
      <w:r>
        <w:t xml:space="preserve"> de la SEP-RR active modérée à sévère (alternative aux IFNβ/glatiramer et au fingolimod), particulièrement adapté aux patients préférant une forme orale, sans nécessité de surveillance ECG 6 h (contrairement au fingolimod), mais avec tolérance digestive à anticiper (escalade posologique, prise au cours du repas). Surveillance NFS trimestrielle (lymphopénie), transaminases (cytolyse), et recherche de signes de PML en cas de lymphopénie sévère.</w:t>
      </w:r>
    </w:p>
    <w:p>
      <w:pPr>
        <w:pStyle w:val="Heading3"/>
      </w:pPr>
      <w:r>
        <w:t>5. DCI : Diméthyl fumarate (Seule)</w:t>
      </w:r>
    </w:p>
    <w:p>
      <w:r>
        <w:t xml:space="preserve">Le diméthyl fumarate (DMF), ester méthylique de l'acide fumarique, est un traitement oral de la SEP-RR disponible depuis 2013 (Tecfidera, Biogen). Administré par voie orale à la dose de </w:t>
      </w:r>
      <w:r>
        <w:rPr>
          <w:b/>
        </w:rPr>
        <w:t>240 mg deux fois par jour</w:t>
      </w:r>
      <w:r>
        <w:t xml:space="preserve"> (après escalade posologique de 120 mg x2/j pendant 7 jours), il exerce une immunomodulation par </w:t>
      </w:r>
      <w:r>
        <w:rPr>
          <w:b/>
        </w:rPr>
        <w:t>activation de la voie Nrf2 anti-oxydante</w:t>
      </w:r>
      <w:r>
        <w:t xml:space="preserve"> et </w:t>
      </w:r>
      <w:r>
        <w:rPr>
          <w:b/>
        </w:rPr>
        <w:t>modification du phénotype lymphocytaire T</w:t>
      </w:r>
      <w:r>
        <w:t xml:space="preserve"> (polarisation Th2, lymphopénie partielle). Son efficacité est comparable à celle du fingolimod (~50 % de réduction des poussées), avec un profil de tolérance caractérisé par des effets digestifs (flush, nausées, diarrhées) fréquents en début de traitement — gérables par prise au cours du repas et escalade posologique. La galénique en </w:t>
      </w:r>
      <w:r>
        <w:rPr>
          <w:b/>
        </w:rPr>
        <w:t>gélules gastro-résistantes contenant des mini-comprimés</w:t>
      </w:r>
      <w:r>
        <w:t xml:space="preserve"> (CLEDERA, MYODURA, SCLERA) est une spécificité algérienne visant à améliorer la tolérance digestive par libération différée. Le DMF est réservé à l'adulte (SEP-RR active modérée à sévère), contre-indiqué pendant la grossesse (données limitées) et en cas d'insuffisance hépatique sévère. Surveillance NFS trimestrielle (lymphopénie), transaminases (cytolyse), et recherche de signes de PML en cas de lymphopénie sévère prolongée (&lt; 0,5 G/L &gt; 6 mois).</w:t>
      </w:r>
    </w:p>
    <w:p>
      <w:r/>
      <w:r>
        <w:rPr>
          <w:b/>
        </w:rPr>
        <w:t>Liste des Catégories :</w:t>
      </w:r>
      <w:r>
        <w:t xml:space="preserve"> LISTE I — Fumarate — traitement de fond oral de la SEP-RR.</w:t>
      </w:r>
    </w:p>
    <w:p>
      <w:r/>
      <w:r>
        <w:rPr>
          <w:b/>
        </w:rPr>
        <w:t>Médicaments disponibles en Algérie (Marques, Laboratoires, Formes et Dosages) :</w:t>
      </w:r>
      <w:r/>
    </w:p>
    <w:p>
      <w:pPr>
        <w:pStyle w:val="ListBullet"/>
      </w:pPr>
      <w:r/>
      <w:r>
        <w:rPr>
          <w:b/>
        </w:rPr>
        <w:t>CLEDERA</w:t>
      </w:r>
      <w:r>
        <w:t xml:space="preserve"> (BIOPHARM)</w:t>
      </w:r>
    </w:p>
    <w:p>
      <w:pPr>
        <w:pStyle w:val="ListBullet"/>
      </w:pPr>
      <w:r>
        <w:t>Formes et Dosages : Gélules gastro-résistantes contenant des mini-comprimés 120 mg — Boîte de 14 gélules (pour initiation, 7 jours)</w:t>
      </w:r>
    </w:p>
    <w:p>
      <w:pPr>
        <w:pStyle w:val="ListBullet"/>
      </w:pPr>
      <w:r>
        <w:t>Formes et Dosages : Gélules gastro-résistantes contenant des mini-comprimés 240 mg — Boîte de 56 gélules (28 jours d'entretien)</w:t>
      </w:r>
    </w:p>
    <w:p>
      <w:pPr>
        <w:pStyle w:val="ListBullet"/>
      </w:pPr>
      <w:r>
        <w:t>Statut : Actif (Liste I) — spécialité algérienne locale (Biopharm), générique de Tecfidera</w:t>
      </w:r>
    </w:p>
    <w:p>
      <w:pPr>
        <w:pStyle w:val="ListBullet"/>
      </w:pPr>
      <w:r/>
      <w:r>
        <w:rPr>
          <w:b/>
        </w:rPr>
        <w:t>MYODURA</w:t>
      </w:r>
      <w:r>
        <w:t xml:space="preserve"> (CHIMIE PHARMACIE COMMERCE MULTIPLE — CPCM)</w:t>
      </w:r>
    </w:p>
    <w:p>
      <w:pPr>
        <w:pStyle w:val="ListBullet"/>
      </w:pPr>
      <w:r>
        <w:t>Formes et Dosages : Gélules gastro-résistantes contenant des mini-comprimés 120 mg — Boîte de 14 gélules (initiation, 7 jours)</w:t>
      </w:r>
    </w:p>
    <w:p>
      <w:pPr>
        <w:pStyle w:val="ListBullet"/>
      </w:pPr>
      <w:r>
        <w:t>Formes et Dosages : Gélules gastro-résistantes contenant des mini-comprimés 240 mg — Boîte de 56 gélules (entretien, 28 jours)</w:t>
      </w:r>
    </w:p>
    <w:p>
      <w:pPr>
        <w:pStyle w:val="ListBullet"/>
      </w:pPr>
      <w:r>
        <w:t>Statut : Actif (Liste I) — générique de Tecfidera</w:t>
      </w:r>
    </w:p>
    <w:p>
      <w:pPr>
        <w:pStyle w:val="ListBullet"/>
      </w:pPr>
      <w:r/>
      <w:r>
        <w:rPr>
          <w:b/>
        </w:rPr>
        <w:t>SCLERA</w:t>
      </w:r>
      <w:r>
        <w:t xml:space="preserve"> (HIKMA PHARMA ALGERIA)</w:t>
      </w:r>
    </w:p>
    <w:p>
      <w:pPr>
        <w:pStyle w:val="ListBullet"/>
      </w:pPr>
      <w:r>
        <w:t>Formes et Dosages : Gélules gastro-résistantes contenant des mini-comprimés 120 mg — Boîte de 14 gélules (initiation, 7 jours)</w:t>
      </w:r>
    </w:p>
    <w:p>
      <w:pPr>
        <w:pStyle w:val="ListBullet"/>
      </w:pPr>
      <w:r>
        <w:t>Formes et Dosages : Gélules gastro-résistantes contenant des mini-comprimés 240 mg — Boîte de 56 gélules (entretien, 28 jours)</w:t>
      </w:r>
    </w:p>
    <w:p>
      <w:pPr>
        <w:pStyle w:val="ListBullet"/>
      </w:pPr>
      <w:r>
        <w:t>Statut : Actif (Liste I) — générique algérien local (Hikma)</w:t>
      </w:r>
    </w:p>
    <w:p>
      <w:r/>
      <w:r>
        <w:rPr>
          <w:b/>
        </w:rPr>
        <w:t>Commentaire sur la disponibilité algérienne</w:t>
      </w:r>
      <w:r>
        <w:t xml:space="preserve"> : le marché algérien dispose de </w:t>
      </w:r>
      <w:r>
        <w:rPr>
          <w:b/>
        </w:rPr>
        <w:t>trois génériques actifs</w:t>
      </w:r>
      <w:r>
        <w:t xml:space="preserve"> de diméthyl fumarate (CLEDERA Biopharm, MYODURA CPCM, SCLERA Hikma) — pas de princeps Tecfidera directement commercialisé. Les trois spécialités sont des </w:t>
      </w:r>
      <w:r>
        <w:rPr>
          <w:b/>
        </w:rPr>
        <w:t>gélules gastro-résistantes contenant des mini-comprimés</w:t>
      </w:r>
      <w:r>
        <w:t xml:space="preserve"> — formulation qui diffère du princeps Tecfidera (gélule à libération enterique classique) mais vise à améliorer la tolérance digestive (libération plus distale dans l'intestin grêle). Le dosage est standardisé : 120 mg pour l'</w:t>
      </w:r>
      <w:r>
        <w:rPr>
          <w:b/>
        </w:rPr>
        <w:t>initiation</w:t>
      </w:r>
      <w:r>
        <w:t xml:space="preserve"> (7 jours Boîte de 14) puis 240 mg pour l'</w:t>
      </w:r>
      <w:r>
        <w:rPr>
          <w:b/>
        </w:rPr>
        <w:t>entretien</w:t>
      </w:r>
      <w:r>
        <w:t xml:space="preserve"> (Boîte de 56 = 28 jours). Cette double présentation systématise l'</w:t>
      </w:r>
      <w:r>
        <w:rPr>
          <w:b/>
        </w:rPr>
        <w:t>escalade posologique</w:t>
      </w:r>
      <w:r>
        <w:t xml:space="preserve"> recommandée (120 mg x2/j pendant 7 jours puis 240 mg x2/j) pour améliorer la tolérance digestive initiale. La substitution entre les trois génériques est possible sous surveillance clinique rapprochée (3 mois).</w:t>
      </w:r>
    </w:p>
    <w:p>
      <w:r/>
      <w:r>
        <w:rPr>
          <w:b/>
        </w:rPr>
        <w:t>Sous-classe et Mécanisme d'action :</w:t>
      </w:r>
      <w:r/>
    </w:p>
    <w:p>
      <w:pPr>
        <w:pStyle w:val="ListBullet"/>
      </w:pPr>
      <w:r/>
      <w:r>
        <w:rPr>
          <w:b/>
        </w:rPr>
        <w:t>Sous-classe</w:t>
      </w:r>
      <w:r>
        <w:t xml:space="preserve"> : Fumarate — traitement de fond oral de la SEP-RR. Première ligne de traitement de fond oral (après le fingolimod 2010). Efficacité intermédiaire-haute selon classification ECTRIMS/EAN 2018-2024.</w:t>
      </w:r>
    </w:p>
    <w:p>
      <w:pPr>
        <w:pStyle w:val="ListBullet"/>
      </w:pPr>
      <w:r/>
      <w:r>
        <w:rPr>
          <w:b/>
        </w:rPr>
        <w:t>Mécanisme d'action</w:t>
      </w:r>
      <w:r>
        <w:t xml:space="preserve"> : le diméthyl fumarate (DMF) est un </w:t>
      </w:r>
      <w:r>
        <w:rPr>
          <w:b/>
        </w:rPr>
        <w:t>ester méthylique de l'acide fumarique</w:t>
      </w:r>
      <w:r>
        <w:t xml:space="preserve"> (composé organique de bas poids moléculaire, MW 144,13 g/mol), liposoluble, rapidement hydrolysé in vivo (estérases plasmatiques et tissulaires) en </w:t>
      </w:r>
      <w:r>
        <w:rPr>
          <w:b/>
        </w:rPr>
        <w:t>acide monométhyl fumarate (MMF)</w:t>
      </w:r>
      <w:r>
        <w:t>, métabolite actif principal. Le DMF et le MMF exercent des effets pléiotropiques sur la physiopathologie de la SEP :</w:t>
      </w:r>
    </w:p>
    <w:p>
      <w:r>
        <w:t xml:space="preserve">  (i) </w:t>
      </w:r>
      <w:r>
        <w:rPr>
          <w:b/>
        </w:rPr>
        <w:t>Activation de la voie Nrf2 (Nuclear factor erythroid 2-related factor 2)</w:t>
      </w:r>
      <w:r>
        <w:t xml:space="preserve"> : le DMF est un </w:t>
      </w:r>
      <w:r>
        <w:rPr>
          <w:b/>
        </w:rPr>
        <w:t>électrophile faible</w:t>
      </w:r>
      <w:r>
        <w:t xml:space="preserve"> qui se conjugue aux groupements thiols (-SH) des résidus cystéine des protéines cellulaires. Il modifie en particulier </w:t>
      </w:r>
      <w:r>
        <w:rPr>
          <w:b/>
        </w:rPr>
        <w:t>Keap1</w:t>
      </w:r>
      <w:r>
        <w:t xml:space="preserve"> (Kelch-like ECH-associated protein 1) — le répresseur cytoplasmique de Nrf2. Cette modification empêche Keap1 de cibler Nrf2 pour ubiquitination et dégradation protéasomale. Nrf2 s'accumule dans le cytoplasme puis </w:t>
      </w:r>
      <w:r>
        <w:rPr>
          <w:b/>
        </w:rPr>
        <w:t>transloque dans le noyau</w:t>
      </w:r>
      <w:r>
        <w:t xml:space="preserve">, où elle se lie (en hétérodimère avec small Maf) aux éléments </w:t>
      </w:r>
      <w:r>
        <w:rPr>
          <w:b/>
        </w:rPr>
        <w:t>ARE (Antioxidant Response Element)</w:t>
      </w:r>
      <w:r>
        <w:t xml:space="preserve"> des promoteurs de gènes cibles, induisant la transcription de gènes anti-oxydants et cytoprotecteurs :</w:t>
      </w:r>
    </w:p>
    <w:p>
      <w:pPr>
        <w:pStyle w:val="ListBullet"/>
      </w:pPr>
      <w:r/>
      <w:r>
        <w:rPr>
          <w:b/>
        </w:rPr>
        <w:t>Hème oxygénase-1 (HO-1)</w:t>
      </w:r>
      <w:r>
        <w:t xml:space="preserve"> — enzyme anti-oxydante</w:t>
      </w:r>
    </w:p>
    <w:p>
      <w:pPr>
        <w:pStyle w:val="ListBullet"/>
      </w:pPr>
      <w:r/>
      <w:r>
        <w:rPr>
          <w:b/>
        </w:rPr>
        <w:t>NAD(P)H:quinone oxydoreductase 1 (NQO1)</w:t>
      </w:r>
      <w:r>
        <w:t xml:space="preserve"> — détoxification quinones</w:t>
      </w:r>
    </w:p>
    <w:p>
      <w:pPr>
        <w:pStyle w:val="ListBullet"/>
      </w:pPr>
      <w:r/>
      <w:r>
        <w:rPr>
          <w:b/>
        </w:rPr>
        <w:t>Glutathione S-transferases (GST)</w:t>
      </w:r>
      <w:r>
        <w:t xml:space="preserve"> — conjugaison glutathion</w:t>
      </w:r>
    </w:p>
    <w:p>
      <w:pPr>
        <w:pStyle w:val="ListBullet"/>
      </w:pPr>
      <w:r/>
      <w:r>
        <w:rPr>
          <w:b/>
        </w:rPr>
        <w:t>γ-Glutamylcystéine synthase (γ-GCS)</w:t>
      </w:r>
      <w:r>
        <w:t xml:space="preserve"> — enzyme limitante de la synthèse du glutathion (GSH)</w:t>
      </w:r>
    </w:p>
    <w:p>
      <w:pPr>
        <w:pStyle w:val="ListBullet"/>
      </w:pPr>
      <w:r/>
      <w:r>
        <w:rPr>
          <w:b/>
        </w:rPr>
        <w:t>Glutathion réductase</w:t>
      </w:r>
      <w:r>
        <w:t xml:space="preserve"> — régénération du GSH réduit</w:t>
      </w:r>
    </w:p>
    <w:p>
      <w:r>
        <w:t xml:space="preserve">  Le résultat est une </w:t>
      </w:r>
      <w:r>
        <w:rPr>
          <w:b/>
        </w:rPr>
        <w:t>augmentation massive de la capacité anti-oxydante cellulaire</w:t>
      </w:r>
      <w:r>
        <w:t xml:space="preserve"> (augmentation du GSH intracellulaire, des enzymes anti-oxydantes), protégeant les oligodendrocytes et les neurones contre le stress oxydatif généré par l'inflammation auto-immune et la neurodégénérescence.</w:t>
      </w:r>
    </w:p>
    <w:p>
      <w:r>
        <w:t xml:space="preserve">  (ii) </w:t>
      </w:r>
      <w:r>
        <w:rPr>
          <w:b/>
        </w:rPr>
        <w:t>Effet immunomodulateur sur les lymphocytes T</w:t>
      </w:r>
      <w:r>
        <w:t xml:space="preserve"> : le DMF/MMF induit une </w:t>
      </w:r>
      <w:r>
        <w:rPr>
          <w:b/>
        </w:rPr>
        <w:t>lymphopénie partielle</w:t>
      </w:r>
      <w:r>
        <w:t xml:space="preserve"> (réduction des lymphocytes T circulants ~30-50 %), plus marquée sur les lymphocytes T CD8+ que CD4+, et particulièrement sur les lymphocytes T effecteurs mémoires (TEMRA — T Effector Memory RA+). Mécanisme : activation de la voie Nrf2 dans les lymphocytes T, modification de leur survie (augmentation de l'apoptose des TEMRA via diminution de Bcl-2 et activation de la caspase-3), sans déplétion profonde (les lymphocytes T naïfs et régulateurs sont relativement préservés). À l'arrêt du DMF, retour à la normale de la lymphopénie en 1-3 mois.</w:t>
      </w:r>
    </w:p>
    <w:p>
      <w:r>
        <w:t xml:space="preserve">  (iii) </w:t>
      </w:r>
      <w:r>
        <w:rPr>
          <w:b/>
        </w:rPr>
        <w:t>Modification du phénotype lymphocytaire T</w:t>
      </w:r>
      <w:r>
        <w:t xml:space="preserve"> : polarisation des lymphocytes T vers un </w:t>
      </w:r>
      <w:r>
        <w:rPr>
          <w:b/>
        </w:rPr>
        <w:t>phénotype Th2 anti-inflammatoire</w:t>
      </w:r>
      <w:r>
        <w:t xml:space="preserve"> (sécrétion d'IL-4, IL-5, IL-10) au lieu du phénotype Th1/Th17 pro-inflammatoire (IFNγ, IL-17, TNFα). Ce basculement de polarisation réduit l'inflammation autoimmune anti-myéline. Mécanisme : effet du MMF sur le métabolisme intracellulaire des lymphocytes T (modification de la glycolyse aérobie, effet sur HIF-1α).</w:t>
      </w:r>
    </w:p>
    <w:p>
      <w:r>
        <w:t xml:space="preserve">  (iv) </w:t>
      </w:r>
      <w:r>
        <w:rPr>
          <w:b/>
        </w:rPr>
        <w:t>Effet sur les cellules B</w:t>
      </w:r>
      <w:r>
        <w:t xml:space="preserve"> : le DMF réduit les lymphocytes B circulants (effet moins marqué que sur les lymphocytes T), avec modification du phénotype (augmentation des B régulateurs CD24+CD38+ producteurs d'IL-10, transition des B mémoires vers des B naïfs).</w:t>
      </w:r>
    </w:p>
    <w:p>
      <w:r>
        <w:t xml:space="preserve">  (v) </w:t>
      </w:r>
      <w:r>
        <w:rPr>
          <w:b/>
        </w:rPr>
        <w:t>Effet neuroprotecteur direct</w:t>
      </w:r>
      <w:r>
        <w:t xml:space="preserve"> : la voie Nrf2 active dans les oligodendrocytes et les neurones confère une protection contre le stress oxydatif, l'excitotoxicité glutamatergique, et l'apoptose. Effet démontré dans des modèles expérimentaux (EAE) et potentiellement impliqué dans le ralentissement de la progression du handicap observé cliniquement.</w:t>
      </w:r>
    </w:p>
    <w:p>
      <w:r>
        <w:t xml:space="preserve">  (vi) </w:t>
      </w:r>
      <w:r>
        <w:rPr>
          <w:b/>
        </w:rPr>
        <w:t>Pharmacocinétique</w:t>
      </w:r>
      <w:r>
        <w:t xml:space="preserve"> : absorption orale rapide (pic à 2-2,5 h), hydrolyse immédiate en MMF par estérases plasmatiques et tissulaires (DMF indétectable dans la circulation après administration orale), biodisponibilité du MMF ~70 % (effet premier passage hépatique), indépendance alimentaire (mais prise au cours du repas améliore la tolérance digestive). Métabolisme principal par </w:t>
      </w:r>
      <w:r>
        <w:rPr>
          <w:b/>
        </w:rPr>
        <w:t>β-oxydation mitochondriale</w:t>
      </w:r>
      <w:r>
        <w:t xml:space="preserve"> (en acide fumarique, lactate, glucose, CO₂ — métabolites inactifs). Pas d'implication CYP450. Demi-vie courte ~1 h pour le MMF, pas d'accumulation. Excrétion principalement respiratoire (CO₂) et urinaire (métabolites). Pas d'adaptation posologique en cas d'insuffisance rénale légère à modérée, mais contre-indication en cas d'insuffisance rénale sévère (DFG &lt; 30 mL/min).</w:t>
      </w:r>
    </w:p>
    <w:p>
      <w:r/>
      <w:r>
        <w:rPr>
          <w:b/>
        </w:rPr>
        <w:t>Profil Pharmacologique :</w:t>
      </w:r>
      <w:r/>
    </w:p>
    <w:p>
      <w:pPr>
        <w:pStyle w:val="ListBullet"/>
      </w:pPr>
      <w:r/>
      <w:r>
        <w:rPr>
          <w:b/>
        </w:rPr>
        <w:t>Indications</w:t>
      </w:r>
      <w:r>
        <w:t xml:space="preserve"> :</w:t>
      </w:r>
    </w:p>
    <w:p>
      <w:pPr>
        <w:pStyle w:val="ListBullet"/>
      </w:pPr>
      <w:r/>
      <w:r>
        <w:rPr>
          <w:b/>
        </w:rPr>
        <w:t>SEP récurrente-rémittente (SEP-RR) active</w:t>
      </w:r>
      <w:r>
        <w:t xml:space="preserve"> chez l'adulte — traitement de fond oral de première ligne. Indications selon ECTRIMS/EAN 2018-2024 :</w:t>
      </w:r>
    </w:p>
    <w:p>
      <w:pPr>
        <w:pStyle w:val="ListBullet"/>
      </w:pPr>
      <w:r>
        <w:t>Première intention chez les patients à maladie active modérée (alternative aux IFNβ/glatiramer)</w:t>
      </w:r>
    </w:p>
    <w:p>
      <w:pPr>
        <w:pStyle w:val="ListBullet"/>
      </w:pPr>
      <w:r>
        <w:t>Deuxième intention après échec des IFNβ/glatiramer</w:t>
      </w:r>
    </w:p>
    <w:p>
      <w:pPr>
        <w:pStyle w:val="ListBullet"/>
      </w:pPr>
      <w:r>
        <w:t>Alternative au fingolimod (sans nécessité surveillance ECG 6 h, mais tolérance digestive à anticiper)</w:t>
      </w:r>
    </w:p>
    <w:p>
      <w:pPr>
        <w:pStyle w:val="ListBullet"/>
      </w:pPr>
      <w:r/>
      <w:r>
        <w:rPr>
          <w:b/>
        </w:rPr>
        <w:t>Contre-indications</w:t>
      </w:r>
      <w:r>
        <w:t xml:space="preserve"> :</w:t>
      </w:r>
    </w:p>
    <w:p>
      <w:pPr>
        <w:pStyle w:val="ListBullet"/>
      </w:pPr>
      <w:r/>
      <w:r>
        <w:rPr>
          <w:b/>
        </w:rPr>
        <w:t>Hypersensibilité</w:t>
      </w:r>
      <w:r>
        <w:t xml:space="preserve"> au diméthyl fumarate ou à l'un des excipients</w:t>
      </w:r>
    </w:p>
    <w:p>
      <w:pPr>
        <w:pStyle w:val="ListBullet"/>
      </w:pPr>
      <w:r/>
      <w:r>
        <w:rPr>
          <w:b/>
        </w:rPr>
        <w:t>Insuffisance hépatique sévère</w:t>
      </w:r>
      <w:r>
        <w:t xml:space="preserve"> (Child-Pugh C) — cytolyse additive</w:t>
      </w:r>
    </w:p>
    <w:p>
      <w:pPr>
        <w:pStyle w:val="ListBullet"/>
      </w:pPr>
      <w:r/>
      <w:r>
        <w:rPr>
          <w:b/>
        </w:rPr>
        <w:t>Insuffisance rénale sévère</w:t>
      </w:r>
      <w:r>
        <w:t xml:space="preserve"> (DFG &lt; 30 mL/min) — expérience limitée</w:t>
      </w:r>
    </w:p>
    <w:p>
      <w:pPr>
        <w:pStyle w:val="ListBullet"/>
      </w:pPr>
      <w:r/>
      <w:r>
        <w:rPr>
          <w:b/>
        </w:rPr>
        <w:t>Grossesse</w:t>
      </w:r>
      <w:r>
        <w:t xml:space="preserve"> : à éviter par prudence (données limitées — cf. section Grossesse)</w:t>
      </w:r>
    </w:p>
    <w:p>
      <w:pPr>
        <w:pStyle w:val="ListBullet"/>
      </w:pPr>
      <w:r/>
      <w:r>
        <w:rPr>
          <w:b/>
        </w:rPr>
        <w:t>Allaitement</w:t>
      </w:r>
      <w:r>
        <w:t xml:space="preserve"> : à éviter par prudence</w:t>
      </w:r>
    </w:p>
    <w:p>
      <w:pPr>
        <w:pStyle w:val="ListBullet"/>
      </w:pPr>
      <w:r/>
      <w:r>
        <w:rPr>
          <w:b/>
        </w:rPr>
        <w:t>Infections sévères actives</w:t>
      </w:r>
      <w:r>
        <w:t xml:space="preserve"> — risque infectieux majoré par lymphopénie</w:t>
      </w:r>
    </w:p>
    <w:p>
      <w:pPr>
        <w:pStyle w:val="ListBullet"/>
      </w:pPr>
      <w:r/>
      <w:r>
        <w:rPr>
          <w:b/>
        </w:rPr>
        <w:t>Prudence</w:t>
      </w:r>
      <w:r>
        <w:t xml:space="preserve"> : antécédent de cancer (effet immunomodulateur théorique), tuberculose latente non traitée, lymphopénie préexistante (&lt; LLN)</w:t>
      </w:r>
    </w:p>
    <w:p>
      <w:pPr>
        <w:pStyle w:val="ListBullet"/>
      </w:pPr>
      <w:r/>
      <w:r>
        <w:rPr>
          <w:b/>
        </w:rPr>
        <w:t>Effets Indésirables</w:t>
      </w:r>
      <w:r>
        <w:t xml:space="preserve"> :</w:t>
      </w:r>
    </w:p>
    <w:p>
      <w:pPr>
        <w:pStyle w:val="ListBullet"/>
      </w:pPr>
      <w:r/>
      <w:r>
        <w:rPr>
          <w:b/>
        </w:rPr>
        <w:t>Flush</w:t>
      </w:r>
      <w:r>
        <w:t xml:space="preserve"> — rougeur cutanée du visage, du cou et du tronc, sensation de chaleur, prurit, quasi-constant en début de traitement (~40-50 % des patients), s'atténue avec le temps (généralement &lt; 10 % à 6 mois). Mécanisme : vasodilatation cutanée par action du DMF/MMF sur les récepteurs hydroxycarboxyliques (HCA₂/GPR109A) des cellules endothéliales et mastocytes. Prévention : prise au cours du repas (effet alimentaire réduit l'absorption et donc l'intensité du flush), acide acétylsalicylique (aspirine) 80-100 mg avant la prise (efficacité partielle, mécanisme inhibiteur prostaglandines).</w:t>
      </w:r>
    </w:p>
    <w:p>
      <w:pPr>
        <w:pStyle w:val="ListBullet"/>
      </w:pPr>
      <w:r/>
      <w:r>
        <w:rPr>
          <w:b/>
        </w:rPr>
        <w:t>Effets digestifs</w:t>
      </w:r>
      <w:r>
        <w:t xml:space="preserve"> — nausées (20-25 %), vomissements (10-15 %), diarrhées (15-20 %), douleurs abdominales (15-20 %), ~30-40 % en début de traitement, s'atténuent en quelques semaines. Prévention : prise au cours du repas, escalade posologique (120 mg x2/j pendant 7 jours puis 240 mg x2/j), fractionnement des prises (3 prises au lieu de 2 en cas d'intolérance), antinauséeux si nécessaire (métoclopramide 10 mg).</w:t>
      </w:r>
    </w:p>
    <w:p>
      <w:pPr>
        <w:pStyle w:val="ListBullet"/>
      </w:pPr>
      <w:r/>
      <w:r>
        <w:rPr>
          <w:b/>
        </w:rPr>
        <w:t>Lymphopénie</w:t>
      </w:r>
      <w:r>
        <w:t xml:space="preserve"> — effet pharmacodynamique attendu (réduction ~30-50 % des lymphocytes circulants). Surveillance NFS trimestrielle. Lymphopénie sévère (&lt; 0,5 G/L) prolongée &gt; 6 mois = risque infectieux majoré (et PML exceptionnelle ~0,02 %). Conduite : arrêt transitoire si lymphocytes &lt; 0,5 G/L, contrôle à 4 semaines, reprise si récupération ; arrêt définitif si persistance &lt; 0,5 G/L &gt; 6 mois.</w:t>
      </w:r>
    </w:p>
    <w:p>
      <w:pPr>
        <w:pStyle w:val="ListBullet"/>
      </w:pPr>
      <w:r/>
      <w:r>
        <w:rPr>
          <w:b/>
        </w:rPr>
        <w:t>Anomalies hépatiques</w:t>
      </w:r>
      <w:r>
        <w:t xml:space="preserve"> — cytolyse transitoire (~10 %), ALAT/ASAT &gt;3× LSN dans ~3 %, rarement &gt;5× LSN (~1 %). Surveillance ASAT/ALAT trimestrielle. Rare hépatotoxicité sévère (cytolyse &gt;10× LSN), hépatite autoimmune possible.</w:t>
      </w:r>
    </w:p>
    <w:p>
      <w:pPr>
        <w:pStyle w:val="ListBullet"/>
      </w:pPr>
      <w:r/>
      <w:r>
        <w:rPr>
          <w:b/>
        </w:rPr>
        <w:t>Protéinurie</w:t>
      </w:r>
      <w:r>
        <w:t xml:space="preserve"> — rare (~3 %), surveillance régulière.</w:t>
      </w:r>
    </w:p>
    <w:p>
      <w:pPr>
        <w:pStyle w:val="ListBullet"/>
      </w:pPr>
      <w:r/>
      <w:r>
        <w:rPr>
          <w:b/>
        </w:rPr>
        <w:t>PML (Leucoencéphalopathie Multifocale Progressive)</w:t>
      </w:r>
      <w:r>
        <w:t xml:space="preserve"> — exceptionnelle (&lt; 0,02 %), associée à une lymphopénie sévère prolongée (&lt; 0,5 G/L &gt; 6 mois). Diagnostic et prise en charge comme pour natalizumab (cf. fiche natalizumab).</w:t>
      </w:r>
    </w:p>
    <w:p>
      <w:pPr>
        <w:pStyle w:val="ListBullet"/>
      </w:pPr>
      <w:r/>
      <w:r>
        <w:rPr>
          <w:b/>
        </w:rPr>
        <w:t>Anomalies urinaires</w:t>
      </w:r>
      <w:r>
        <w:t xml:space="preserve"> — protéinurie, dysurie (rares).</w:t>
      </w:r>
    </w:p>
    <w:p>
      <w:pPr>
        <w:pStyle w:val="ListBullet"/>
      </w:pPr>
      <w:r/>
      <w:r>
        <w:rPr>
          <w:b/>
        </w:rPr>
        <w:t>Céphalées</w:t>
      </w:r>
      <w:r>
        <w:t xml:space="preserve"> — fréquentes en début de traitement (~10-15 %), transitoires.</w:t>
      </w:r>
    </w:p>
    <w:p>
      <w:pPr>
        <w:pStyle w:val="ListBullet"/>
      </w:pPr>
      <w:r/>
      <w:r>
        <w:rPr>
          <w:b/>
        </w:rPr>
        <w:t>Effets cutanés</w:t>
      </w:r>
      <w:r>
        <w:t xml:space="preserve"> — éruption cutanée, prurit (en plus du flush).</w:t>
      </w:r>
    </w:p>
    <w:p>
      <w:pPr>
        <w:pStyle w:val="ListBullet"/>
      </w:pPr>
      <w:r/>
      <w:r>
        <w:rPr>
          <w:b/>
        </w:rPr>
        <w:t>Infections</w:t>
      </w:r>
      <w:r>
        <w:t xml:space="preserve"> — augmentation modeste vs placebo (infections ORL, urinaires, grippales). Plus rarement infections opportunistes (PML exceptionnelle, herpès, zona).</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NFS (lymphocytes), transaminases, créatinine, protéinurie, sérologies (VIH, VHB, VHC, varicelle — vacciner si séronégatif avant initiation), IDR à la tuberculine ou IGRA, β-hCG chez femme en âge de procréer, examen neurologique avec EDSS, IRM cérébrale initiale.</w:t>
      </w:r>
    </w:p>
    <w:p>
      <w:pPr>
        <w:pStyle w:val="ListBullet"/>
      </w:pPr>
      <w:r/>
      <w:r>
        <w:rPr>
          <w:b/>
        </w:rPr>
        <w:t>Escalade posologique systématique</w:t>
      </w:r>
      <w:r>
        <w:t xml:space="preserve"> : 120 mg x2/j pendant 7 jours, puis 240 mg x2/j à partir de J8. Cette escalade réduit significativement l'intensité des effets digestifs et du flush en début de traitement.</w:t>
      </w:r>
    </w:p>
    <w:p>
      <w:pPr>
        <w:pStyle w:val="ListBullet"/>
      </w:pPr>
      <w:r/>
      <w:r>
        <w:rPr>
          <w:b/>
        </w:rPr>
        <w:t>Prise au cours du repas</w:t>
      </w:r>
      <w:r>
        <w:t xml:space="preserve"> — réduit l'intensité du flush et des effets digestifs (ralentit l'absorption, diminue le pic de concentration).</w:t>
      </w:r>
    </w:p>
    <w:p>
      <w:pPr>
        <w:pStyle w:val="ListBullet"/>
      </w:pPr>
      <w:r/>
      <w:r>
        <w:rPr>
          <w:b/>
        </w:rPr>
        <w:t>Prémédication par aspirine</w:t>
      </w:r>
      <w:r>
        <w:t xml:space="preserve"> (acide acétylsalicylique 80-100 mg 30 min avant la prise) — efficace partiellement sur le flush, à discuter en début de traitement.</w:t>
      </w:r>
    </w:p>
    <w:p>
      <w:pPr>
        <w:pStyle w:val="ListBullet"/>
      </w:pPr>
      <w:r/>
      <w:r>
        <w:rPr>
          <w:b/>
        </w:rPr>
        <w:t>Surveillance biologique</w:t>
      </w:r>
      <w:r>
        <w:t xml:space="preserve"> : NFS + transaminases + créatinine à M1, M3 puis trimestrielle (lymphopénie, cytolyse). Examen neurologique semestriel avec EDSS, IRM cérébrale annuelle (référence).</w:t>
      </w:r>
    </w:p>
    <w:p>
      <w:pPr>
        <w:pStyle w:val="ListBullet"/>
      </w:pPr>
      <w:r/>
      <w:r>
        <w:rPr>
          <w:b/>
        </w:rPr>
        <w:t>Vaccination</w:t>
      </w:r>
      <w:r>
        <w:t xml:space="preserve"> : mise à jour vaccins inactivés avant initiation (grippe annuelle, pneumocoque, hépatite B si séronégatif). Vaccins vivants contre-indiqués pendant et 1 mois après l'arrêt (contrairement aux immunosuppresseurs lourds, le DMF n'induit pas une immunosuppression profonde, mais prudence).</w:t>
      </w:r>
    </w:p>
    <w:p>
      <w:pPr>
        <w:pStyle w:val="ListBullet"/>
      </w:pPr>
      <w:r/>
      <w:r>
        <w:rPr>
          <w:b/>
        </w:rPr>
        <w:t>Conduite à Tenir</w:t>
      </w:r>
      <w:r>
        <w:t xml:space="preserve"> :</w:t>
      </w:r>
    </w:p>
    <w:p>
      <w:pPr>
        <w:pStyle w:val="ListBullet"/>
      </w:pPr>
      <w:r/>
      <w:r>
        <w:rPr>
          <w:b/>
        </w:rPr>
        <w:t>Flush persistant</w:t>
      </w:r>
      <w:r>
        <w:t xml:space="preserve"> : prise au cours du repas, aspirine 80-100 mg avant la prise, antihistaminique H1 (cétirizine 10 mg) si prurit marqué. Si intolérance persistante, switch vers autre classe.</w:t>
      </w:r>
    </w:p>
    <w:p>
      <w:pPr>
        <w:pStyle w:val="ListBullet"/>
      </w:pPr>
      <w:r/>
      <w:r>
        <w:rPr>
          <w:b/>
        </w:rPr>
        <w:t>Effets digestifs persistants</w:t>
      </w:r>
      <w:r>
        <w:t xml:space="preserve"> : prise au cours du repas, antinauséeux (métoclopramide 10 mg), fractionnement des prises (3 prises au lieu de 2), ralentissement temporaire de l'escalade posologique (rester à 120 mg x2/j plus longtemps). Si intolérance persistante, switch vers autre classe.</w:t>
      </w:r>
    </w:p>
    <w:p>
      <w:pPr>
        <w:pStyle w:val="ListBullet"/>
      </w:pPr>
      <w:r/>
      <w:r>
        <w:rPr>
          <w:b/>
        </w:rPr>
        <w:t>Lymphopénie &lt; 0,5 G/L</w:t>
      </w:r>
      <w:r>
        <w:t xml:space="preserve"> : arrêt transitoire, contrôle à 4 semaines, reprise si récupération. Si persistance &lt; 0,5 G/L &gt; 6 mois = arrêt définitif (risque PML majoré).</w:t>
      </w:r>
    </w:p>
    <w:p>
      <w:pPr>
        <w:pStyle w:val="ListBullet"/>
      </w:pPr>
      <w:r/>
      <w:r>
        <w:rPr>
          <w:b/>
        </w:rPr>
        <w:t>Cytolyse hépatique &gt;5× LSN</w:t>
      </w:r>
      <w:r>
        <w:t xml:space="preserve"> : arrêt transitoire, contrôle à 2-4 semaines, reprise si normalisation ; arrêt définitif si cytolyse persistante.</w:t>
      </w:r>
    </w:p>
    <w:p>
      <w:pPr>
        <w:pStyle w:val="ListBullet"/>
      </w:pPr>
      <w:r/>
      <w:r>
        <w:rPr>
          <w:b/>
        </w:rPr>
        <w:t>Suspicion PML</w:t>
      </w:r>
      <w:r>
        <w:t xml:space="preserve"> (symptômes neurologiques nouveaux, lymphopénie &lt; 0,5 G/L &gt; 6 mois) : arrêt immédiat, IRM cérébrale en urgence, ponction lombaire avec PCR JCV.</w:t>
      </w:r>
    </w:p>
    <w:p>
      <w:pPr>
        <w:pStyle w:val="ListBullet"/>
      </w:pPr>
      <w:r/>
      <w:r>
        <w:rPr>
          <w:b/>
        </w:rPr>
        <w:t>Poussée sous traitement</w:t>
      </w:r>
      <w:r>
        <w:t xml:space="preserve"> : évaluation de la réponse thérapeutique (≥2 poussées/an ou progression IRM = échece thérapeutique, switch selon profil patient).</w:t>
      </w:r>
    </w:p>
    <w:p>
      <w:r/>
      <w:r>
        <w:rPr>
          <w:b/>
        </w:rPr>
        <w:t>Interactions Importantes :</w:t>
      </w:r>
      <w:r/>
    </w:p>
    <w:p>
      <w:pPr>
        <w:pStyle w:val="ListBullet"/>
      </w:pPr>
      <w:r/>
      <w:r>
        <w:rPr>
          <w:b/>
        </w:rPr>
        <w:t>Diméthyl fumarate + vaccins vivants (BCG, ROR, fièvre jaune, varicelle, rotavirus, oral polio)</w:t>
      </w:r>
      <w:r>
        <w:t xml:space="preserve"> : contre-indication relative — prudence (l'effet immunomodulateur du DMF est modéré, mais théoriquement risque d'infection vaccinale généralisée). Préférer vaccination avant initiation ou vaccins inactivés.</w:t>
      </w:r>
    </w:p>
    <w:p>
      <w:pPr>
        <w:pStyle w:val="ListBullet"/>
      </w:pPr>
      <w:r/>
      <w:r>
        <w:rPr>
          <w:b/>
        </w:rPr>
        <w:t>Diméthyl fumarate + autres immunomodulateurs/immunosuppresseurs (IFNβ, glatiramer, natalizumab, fingolimod, ocrélizumab, mitoxantrone)</w:t>
      </w:r>
      <w:r>
        <w:t xml:space="preserve"> : associations déconseillées — risque d'immunosuppression additive. Ne pas combiner (sauf switch supervisé).</w:t>
      </w:r>
    </w:p>
    <w:p>
      <w:pPr>
        <w:pStyle w:val="ListBullet"/>
      </w:pPr>
      <w:r/>
      <w:r>
        <w:rPr>
          <w:b/>
        </w:rPr>
        <w:t>Diméthyl fumarate + corticoïdes</w:t>
      </w:r>
      <w:r>
        <w:t xml:space="preserve"> : pas d'interaction pharmacocinétique majeure mais majoration du risque infectieux. Possible utilisation ponctuelle de bolus de méthylprednisolone (1 g IV J1-J3) pour poussée de SEP pendant le traitement par DMF.</w:t>
      </w:r>
    </w:p>
    <w:p>
      <w:pPr>
        <w:pStyle w:val="ListBullet"/>
      </w:pPr>
      <w:r/>
      <w:r>
        <w:rPr>
          <w:b/>
        </w:rPr>
        <w:t>Diméthyl fumarate + inhibiteurs/inducteurs CYP450</w:t>
      </w:r>
      <w:r>
        <w:t xml:space="preserve"> : pas d'interaction pertinente (DMF/MMF non métabolisé par CYP450 — métabolisme principal par β-oxydation mitochondriale).</w:t>
      </w:r>
    </w:p>
    <w:p>
      <w:pPr>
        <w:pStyle w:val="ListBullet"/>
      </w:pPr>
      <w:r/>
      <w:r>
        <w:rPr>
          <w:b/>
        </w:rPr>
        <w:t>Diméthyl fumarate + aspirine/AINS</w:t>
      </w:r>
      <w:r>
        <w:t xml:space="preserve"> : prémédication possible pour flush, pas d'interaction pertinente.</w:t>
      </w:r>
    </w:p>
    <w:p>
      <w:pPr>
        <w:pStyle w:val="ListBullet"/>
      </w:pPr>
      <w:r/>
      <w:r>
        <w:rPr>
          <w:b/>
        </w:rPr>
        <w:t>Diméthyl fumarate + antihypertenseurs</w:t>
      </w:r>
      <w:r>
        <w:t xml:space="preserve"> : pas d'interaction pertinente (le DMF n'a pas d'effet tensionnel spécifique).</w:t>
      </w:r>
    </w:p>
    <w:p>
      <w:r/>
      <w:r>
        <w:rPr>
          <w:b/>
        </w:rPr>
        <w:t>Grossesse et Allaitement :</w:t>
      </w:r>
      <w:r/>
    </w:p>
    <w:p>
      <w:pPr>
        <w:pStyle w:val="ListBullet"/>
      </w:pPr>
      <w:r/>
      <w:r>
        <w:rPr>
          <w:b/>
        </w:rPr>
        <w:t>Grossesse</w:t>
      </w:r>
      <w:r>
        <w:t xml:space="preserve"> : selon le CRAT, le diméthyl fumarate est </w:t>
      </w:r>
      <w:r>
        <w:rPr>
          <w:b/>
        </w:rPr>
        <w:t>à éviter par prudence</w:t>
      </w:r>
      <w:r>
        <w:t xml:space="preserve"> pendant la grossesse, en l'absence de données suffisantes. Les données animales (rats, lapins) ne montrent pas de tératogénicité à doses thérapeutiques, mais les données cliniques humaines sont limitées (~200 grossesses exposées) et insuffisantes pour conclure à l'absence de risque malformatif. Recommandations 2024 (CRAT, ECTRIMS/EMPG) :</w:t>
      </w:r>
    </w:p>
    <w:p>
      <w:pPr>
        <w:pStyle w:val="ListBullet"/>
      </w:pPr>
      <w:r/>
      <w:r>
        <w:rPr>
          <w:b/>
        </w:rPr>
        <w:t>Arrêt recommandé avant conception</w:t>
      </w:r>
      <w:r>
        <w:t xml:space="preserve"> en cas de maladie quiescente, avec wash-out de 1-2 mois (demi-vie courte ~1 h, clairance rapide).</w:t>
      </w:r>
    </w:p>
    <w:p>
      <w:pPr>
        <w:pStyle w:val="ListBullet"/>
      </w:pPr>
      <w:r>
        <w:t>En cas de maladie active (poussées récentes, IRM active), maintien possible au cas par cas après information éclairée de la patiente.</w:t>
      </w:r>
    </w:p>
    <w:p>
      <w:pPr>
        <w:pStyle w:val="ListBullet"/>
      </w:pPr>
      <w:r>
        <w:t xml:space="preserve">En cas de </w:t>
      </w:r>
      <w:r>
        <w:rPr>
          <w:b/>
        </w:rPr>
        <w:t>grossesse sous DMF</w:t>
      </w:r>
      <w:r>
        <w:t xml:space="preserve"> : arrêt immédiat, surveillance échographique rapprochée (malformations), discussion switch vers IFNβ ou glatiramer (compatibles avec grossesse).</w:t>
      </w:r>
    </w:p>
    <w:p>
      <w:pPr>
        <w:pStyle w:val="ListBullet"/>
      </w:pPr>
      <w:r>
        <w:t>Planification de grossesse : switch vers IFNβ ou glatiramer (compatibles) avant conception.</w:t>
      </w:r>
    </w:p>
    <w:p>
      <w:pPr>
        <w:pStyle w:val="ListBullet"/>
      </w:pPr>
      <w:r/>
      <w:r>
        <w:rPr>
          <w:b/>
        </w:rPr>
        <w:t>Allaitement</w:t>
      </w:r>
      <w:r>
        <w:t xml:space="preserve"> : à éviter par prudence — passage du DMF/MMF dans le lait maternel inconnu, mais les données animales montrent une excrétion du MMF dans le lait. Préférence pour allaitement sous IFNβ ou glatiramer (compatibles).</w:t>
      </w:r>
    </w:p>
    <w:p>
      <w:pPr>
        <w:pStyle w:val="ListBullet"/>
      </w:pPr>
      <w:r/>
      <w:r>
        <w:rPr>
          <w:b/>
        </w:rPr>
        <w:t>Précisions</w:t>
      </w:r>
      <w:r>
        <w:t xml:space="preserve"> : le DMF n'est pas le traitement de fond idéal de la femme en âge de procréer. Préférence pour IFNβ ou glatiramer chez ces patientes.</w:t>
      </w:r>
    </w:p>
    <w:p>
      <w:r/>
      <w:r>
        <w:rPr>
          <w:b/>
        </w:rPr>
        <w:t>Posologie et Mode d'administration (Standard) :</w:t>
      </w:r>
      <w:r/>
    </w:p>
    <w:p>
      <w:pPr>
        <w:pStyle w:val="ListBullet"/>
      </w:pPr>
      <w:r/>
      <w:r>
        <w:rPr>
          <w:b/>
        </w:rPr>
        <w:t>Adulte</w:t>
      </w:r>
      <w:r>
        <w:t xml:space="preserve"> :</w:t>
      </w:r>
    </w:p>
    <w:p>
      <w:pPr>
        <w:pStyle w:val="ListBullet"/>
      </w:pPr>
      <w:r/>
      <w:r>
        <w:rPr>
          <w:b/>
        </w:rPr>
        <w:t>Phase d'initiation</w:t>
      </w:r>
      <w:r>
        <w:t xml:space="preserve"> (7 jours) : 120 mg oral deux fois par jour (matin et soir, au cours des repas).</w:t>
      </w:r>
    </w:p>
    <w:p>
      <w:pPr>
        <w:pStyle w:val="ListBullet"/>
      </w:pPr>
      <w:r/>
      <w:r>
        <w:rPr>
          <w:b/>
        </w:rPr>
        <w:t>Phase d'entretien</w:t>
      </w:r>
      <w:r>
        <w:t xml:space="preserve"> (à partir de J8) : 240 mg oral deux fois par jour (matin et soir, au cours des repas).</w:t>
      </w:r>
    </w:p>
    <w:p>
      <w:pPr>
        <w:pStyle w:val="ListBullet"/>
      </w:pPr>
      <w:r/>
      <w:r>
        <w:rPr>
          <w:b/>
        </w:rPr>
        <w:t>Mode d'administration</w:t>
      </w:r>
      <w:r>
        <w:t xml:space="preserve"> : per os, gélule gastro-résistante avalée entière avec un verre d'eau, </w:t>
      </w:r>
      <w:r>
        <w:rPr>
          <w:b/>
        </w:rPr>
        <w:t>au cours du repas</w:t>
      </w:r>
      <w:r>
        <w:t xml:space="preserve"> (améliore tolérance digestive et flush). Ne pas ouvrir, croquer ou écraser la gélule (modification de la pharmacocinétique).</w:t>
      </w:r>
    </w:p>
    <w:p>
      <w:pPr>
        <w:pStyle w:val="ListBullet"/>
      </w:pPr>
      <w:r/>
      <w:r>
        <w:rPr>
          <w:b/>
        </w:rPr>
        <w:t>Sujet âgé</w:t>
      </w:r>
      <w:r>
        <w:t xml:space="preserve"> : pas d'adaptation posologique systématique, mais surveillance rénale et hépatique renforcée.</w:t>
      </w:r>
    </w:p>
    <w:p>
      <w:pPr>
        <w:pStyle w:val="ListBullet"/>
      </w:pPr>
      <w:r/>
      <w:r>
        <w:rPr>
          <w:b/>
        </w:rPr>
        <w:t>Durée</w:t>
      </w:r>
      <w:r>
        <w:t xml:space="preserve"> : traitement au long cours, indéterminé. Réévaluation annuelle de la tolérance et de l'efficacité. Arrêt à discuter en cas d'inefficacité, d'intolérance grave, de projet de grossesse, de lymphopénie sévère persistante, de progression vers SEP progressive secondaire sans activité inflammatoire.</w:t>
      </w:r>
    </w:p>
    <w:p>
      <w:pPr>
        <w:pStyle w:val="ListBullet"/>
      </w:pPr>
      <w:r/>
      <w:r>
        <w:rPr>
          <w:b/>
        </w:rPr>
        <w:t>Moment de prise</w:t>
      </w:r>
      <w:r>
        <w:t xml:space="preserve"> : 2 prises par jour, matin et soir, </w:t>
      </w:r>
      <w:r>
        <w:rPr>
          <w:b/>
        </w:rPr>
        <w:t>au cours des repas</w:t>
      </w:r>
      <w:r>
        <w:t>, à heure fixe de préférence.</w:t>
      </w:r>
    </w:p>
    <w:p>
      <w:r/>
      <w:r>
        <w:rPr>
          <w:b/>
        </w:rPr>
        <w:t>Arbitrage et Bénéfices des Formes Galéniques :</w:t>
      </w:r>
      <w:r/>
    </w:p>
    <w:p>
      <w:pPr>
        <w:pStyle w:val="ListBullet"/>
      </w:pPr>
      <w:r/>
      <w:r>
        <w:rPr>
          <w:b/>
        </w:rPr>
        <w:t>Gélules gastro-résistantes contenant des mini-comprimés 120 et 240 mg (CLEDERA, MYODURA, SCLERA)</w:t>
      </w:r>
      <w:r>
        <w:t xml:space="preserve"> : formulation algérienne spécifique visant à améliorer la tolérance digestive par libération différée (gastro-résistance : la gélule résiste à l'acidité gastrique, libère les mini-comprimés dans l'intestin grêle distal, réduisant l'irritation locale et l'intensité du flush et des effets digestifs). Boîte de 14 gélules (initiation, 7 jours) pour le 120 mg, Boîte de 56 gélules (entretien, 28 jours) pour le 240 mg — conditionnement pratique pour systématiser l'escalade posologique.</w:t>
      </w:r>
    </w:p>
    <w:p>
      <w:pPr>
        <w:pStyle w:val="ListBullet"/>
      </w:pPr>
      <w:r/>
      <w:r>
        <w:rPr>
          <w:b/>
        </w:rPr>
        <w:t>Forme orale vs injectable ou IV</w:t>
      </w:r>
      <w:r>
        <w:t xml:space="preserve"> : avantage d'acceptabilité pour le patient (pas d'injection, pas de surveillance hospitalière initiale ECG comme pour le fingolimod). Inconvénient : tolérance digestive à anticiper (flush, nausées, diarrhées — majoritairement en début de traitement).</w:t>
      </w:r>
    </w:p>
    <w:p>
      <w:pPr>
        <w:pStyle w:val="ListBullet"/>
      </w:pPr>
      <w:r/>
      <w:r>
        <w:rPr>
          <w:b/>
        </w:rPr>
        <w:t>Pas de chaîne du froid</w:t>
      </w:r>
      <w:r>
        <w:t xml:space="preserve"> : conservation à température ambiante (≤ 25 °C), dans l'emballage extérieur (protection humidité). Stabilité longue (24-36 mois).</w:t>
      </w:r>
    </w:p>
    <w:p>
      <w:pPr>
        <w:pStyle w:val="ListBullet"/>
      </w:pPr>
      <w:r/>
      <w:r>
        <w:rPr>
          <w:b/>
        </w:rPr>
        <w:t>Substitution entre génériques (CLEDERA ↔ MYODURA ↔ SCLERA)</w:t>
      </w:r>
      <w:r>
        <w:t xml:space="preserve"> : possible, surveillance clinique rapprochée (3 mois) pour confirmer efficacité et tolérance après switch.</w:t>
      </w:r>
    </w:p>
    <w:p>
      <w:r/>
      <w:r>
        <w:rPr>
          <w:b/>
        </w:rPr>
        <w:t>Instructions et Conseils au Patient :</w:t>
      </w:r>
      <w:r/>
    </w:p>
    <w:p>
      <w:pPr>
        <w:pStyle w:val="ListBullet"/>
      </w:pPr>
      <w:r/>
      <w:r>
        <w:rPr>
          <w:b/>
        </w:rPr>
        <w:t>Communication au comptoir</w:t>
      </w:r>
      <w:r>
        <w:t xml:space="preserve"> :</w:t>
      </w:r>
    </w:p>
    <w:p>
      <w:pPr>
        <w:pStyle w:val="ListBullet"/>
      </w:pPr>
      <w:r>
        <w:t xml:space="preserve">"Ce traitement est un traitement oral de la SEP : il réduit les poussées et ralentit la progression du handicap. Il se prend 2 fois par jour, matin et soir, </w:t>
      </w:r>
      <w:r>
        <w:rPr>
          <w:b/>
        </w:rPr>
        <w:t>au cours des repas</w:t>
      </w:r>
      <w:r>
        <w:t>."</w:t>
      </w:r>
    </w:p>
    <w:p>
      <w:pPr>
        <w:pStyle w:val="ListBullet"/>
      </w:pPr>
      <w:r>
        <w:t>"Les premières semaines, des effets indésirables digestifs (nausées, diarrhées) et des bouffées de chaleur (rougeur du visage, sensation de chaleur) sont fréquents — s'atténuent avec le temps. Pour les réduire : prenez le médicament au cours d'un repas complet."</w:t>
      </w:r>
    </w:p>
    <w:p>
      <w:pPr>
        <w:pStyle w:val="ListBullet"/>
      </w:pPr>
      <w:r>
        <w:t>"Respectez l'escalade posologique prescrite : 120 mg matin et soir pendant 7 jours, puis 240 mg matin et soir à partir de J8 — cette progression réduit les effets indésirables initiaux."</w:t>
      </w:r>
    </w:p>
    <w:p>
      <w:pPr>
        <w:pStyle w:val="ListBullet"/>
      </w:pPr>
      <w:r>
        <w:t>"Faites les prises de sang prescrites (NFS, transaminases) — surveillance indispensable, particulièrement pour surveiller la lymphopénie (baisse des globules blancs)."</w:t>
      </w:r>
    </w:p>
    <w:p>
      <w:pPr>
        <w:pStyle w:val="ListBullet"/>
      </w:pPr>
      <w:r>
        <w:t>"Signalez tout symptôme neurologique nouveau — une surveillance régulière est nécessaire."</w:t>
      </w:r>
    </w:p>
    <w:p>
      <w:pPr>
        <w:pStyle w:val="ListBullet"/>
      </w:pPr>
      <w:r>
        <w:t>"Signalez tout projet de grossesse — ce traitement est à éviter pendant la grossesse."</w:t>
      </w:r>
    </w:p>
    <w:p>
      <w:pPr>
        <w:pStyle w:val="ListBullet"/>
      </w:pPr>
      <w:r/>
      <w:r>
        <w:rPr>
          <w:b/>
        </w:rPr>
        <w:t>Mode d'utilisation pratique</w:t>
      </w:r>
      <w:r>
        <w:t xml:space="preserve"> : prise orale biquotidienne au cours des repas. Boîte d'initiation (120 mg) pendant 7 jours, puis boîte d'entretien (240 mg) en continu. Conservation à température ambiante.</w:t>
      </w:r>
    </w:p>
    <w:p>
      <w:r/>
      <w:r>
        <w:rPr>
          <w:b/>
        </w:rPr>
        <w:t>Notes, Règles d'Or &amp; Pièges au Comptoir :</w:t>
      </w:r>
      <w:r/>
    </w:p>
    <w:p>
      <w:pPr>
        <w:pStyle w:val="ListBullet"/>
      </w:pPr>
      <w:r/>
      <w:r>
        <w:rPr>
          <w:b/>
        </w:rPr>
        <w:t>Piège classique tolérance digestive</w:t>
      </w:r>
      <w:r>
        <w:t xml:space="preserve"> : le flush et les effets digestifs sont quasi constants en début de traitement mais s'atténuent en quelques semaines. Prémédication par aspirine 80-100 mg (flush), antinauséeux (métoclopramide) si nausées, fractionnement des prises (3 prises au lieu de 2) si intolérance persistante. Ne pas arrêter définitivement à la moindre intolérance initiale — la tolérance s'améliore avec le temps.</w:t>
      </w:r>
    </w:p>
    <w:p>
      <w:pPr>
        <w:pStyle w:val="ListBullet"/>
      </w:pPr>
      <w:r/>
      <w:r>
        <w:rPr>
          <w:b/>
        </w:rPr>
        <w:t>Piège escalade posologique</w:t>
      </w:r>
      <w:r>
        <w:t xml:space="preserve"> : ne jamais initier directement à 240 mg x2/j — toujours commencer par 120 mg x2/j pendant 7 jours (tolérance meilleure, observance améliorée).</w:t>
      </w:r>
    </w:p>
    <w:p>
      <w:pPr>
        <w:pStyle w:val="ListBullet"/>
      </w:pPr>
      <w:r/>
      <w:r>
        <w:rPr>
          <w:b/>
        </w:rPr>
        <w:t>Piège lymphopénie PML</w:t>
      </w:r>
      <w:r>
        <w:t xml:space="preserve"> : lymphopénie sévère (&lt; 0,5 G/L) &gt; 6 mois = risque PML majoré. Surveillance NFS trimestrielle obligatoire. Si lymphopénie sévère persistante, arrêt définitif et switch vers autre classe.</w:t>
      </w:r>
    </w:p>
    <w:p>
      <w:pPr>
        <w:pStyle w:val="ListBullet"/>
      </w:pPr>
      <w:r/>
      <w:r>
        <w:rPr>
          <w:b/>
        </w:rPr>
        <w:t>Piège prise au cours du repas</w:t>
      </w:r>
      <w:r>
        <w:t xml:space="preserve"> : la prise à jeun augmente significativement le flush et les effets digestifs. Insister sur la prise au cours d'un repas complet.</w:t>
      </w:r>
    </w:p>
    <w:p>
      <w:pPr>
        <w:pStyle w:val="ListBullet"/>
      </w:pPr>
      <w:r/>
      <w:r>
        <w:rPr>
          <w:b/>
        </w:rPr>
        <w:t>Piège switch DMF → fingolimod (ou inverse)</w:t>
      </w:r>
      <w:r>
        <w:t xml:space="preserve"> : wash-out nécessaire (1-2 semaines en pratique, surveillance clinique rapprochée pour poussée).</w:t>
      </w:r>
    </w:p>
    <w:p>
      <w:pPr>
        <w:pStyle w:val="ListBullet"/>
      </w:pPr>
      <w:r/>
      <w:r>
        <w:rPr>
          <w:b/>
        </w:rPr>
        <w:t>Règle de prise</w:t>
      </w:r>
      <w:r>
        <w:t xml:space="preserve"> : 2 prises par jour, matin et soir, </w:t>
      </w:r>
      <w:r>
        <w:rPr>
          <w:b/>
        </w:rPr>
        <w:t>au cours des repas</w:t>
      </w:r>
      <w:r>
        <w:t>, à heure fixe de préférence. En cas d'oubli (1 dose), ne pas doubler la dose suivante.</w:t>
      </w:r>
    </w:p>
    <w:p>
      <w:pPr>
        <w:pStyle w:val="ListBullet"/>
      </w:pPr>
      <w:r/>
      <w:r>
        <w:rPr>
          <w:b/>
        </w:rPr>
        <w:t>Préparation et Conservation</w:t>
      </w:r>
      <w:r>
        <w:t xml:space="preserve"> : conservation à température ambiante (≤ 25 °C), dans l'emballage extérieur (protection humidité). Ne pas exposer à la chaleur. Vérifier péremption avant utilisation.</w:t>
      </w:r>
    </w:p>
    <w:p>
      <w:pPr>
        <w:pStyle w:val="ListBullet"/>
      </w:pPr>
      <w:r/>
      <w:r>
        <w:rPr>
          <w:b/>
        </w:rPr>
        <w:t>Piège du surdosage / Substitution</w:t>
      </w:r>
      <w:r>
        <w:t xml:space="preserve"> : substitution entre génériques (CLEDERA ↔ MYODURA ↔ SCLERA) possible sous surveillance clinique rapprochée (3 mois). Pas de surdosage décrit à dose standard. En cas de surdosage accidentel, surveillance 24 h (effets digestifs majorés, lymphopénie), traitement symptomatique.</w:t>
      </w:r>
    </w:p>
    <w:p>
      <w:pPr>
        <w:pStyle w:val="Heading2"/>
      </w:pPr>
      <w:r>
        <w:t>93.6 — Sous-classe : SEP — Immunosuppresseurs (Mitoxantrone)</w:t>
      </w:r>
    </w:p>
    <w:p>
      <w:pPr>
        <w:pStyle w:val="Heading3"/>
      </w:pPr>
      <w:r>
        <w:t>Introduction à la sous-classe</w:t>
      </w:r>
    </w:p>
    <w:p>
      <w:r>
        <w:t xml:space="preserve">La </w:t>
      </w:r>
      <w:r>
        <w:rPr>
          <w:b/>
        </w:rPr>
        <w:t>mitoxantrone</w:t>
      </w:r>
      <w:r>
        <w:t xml:space="preserve"> occupe une place particulière dans l'arsenal thérapeutique de la SEP — celle d'un </w:t>
      </w:r>
      <w:r>
        <w:rPr>
          <w:b/>
        </w:rPr>
        <w:t>immunosuppresseur cytotoxique puissant</w:t>
      </w:r>
      <w:r>
        <w:t xml:space="preserve">, hérité de l'oncologie (indication initiale : cancers du sein, lymphomes non-hodgkiniens, leucémies aiguës), repositionné dans la SEP dans les années 1990-2000 pour les formes très actives résistantes aux immunomodulateurs classiques. C'est, parmi les traitements de fond de la SEP, </w:t>
      </w:r>
      <w:r>
        <w:rPr>
          <w:b/>
        </w:rPr>
        <w:t>la molécule la plus toxique</w:t>
      </w:r>
      <w:r>
        <w:t xml:space="preserve"> — toxicité cumulative dose-dépendante cardiologique (cardiomyopathie dilatative) et hématologique (leucémies aiguës myéloïdes secondaires) — ce qui en fait un traitement de </w:t>
      </w:r>
      <w:r>
        <w:rPr>
          <w:b/>
        </w:rPr>
        <w:t>dernier recours</w:t>
      </w:r>
      <w:r>
        <w:t>, désormais largement supplanté par les biothérapies de haute efficacité (natalizumab, ocrélizumab, fingolimod) qui ont un meilleur rapport bénéfice/risque.</w:t>
      </w:r>
    </w:p>
    <w:p>
      <w:r/>
      <w:r>
        <w:rPr>
          <w:b/>
        </w:rPr>
        <w:t>Nature biochimique</w:t>
      </w:r>
      <w:r>
        <w:t xml:space="preserve"> : la mitoxantrone est un </w:t>
      </w:r>
      <w:r>
        <w:rPr>
          <w:b/>
        </w:rPr>
        <w:t>agent intercalant de l'ADN</w:t>
      </w:r>
      <w:r>
        <w:t xml:space="preserve"> — composé synthétique de la famille des </w:t>
      </w:r>
      <w:r>
        <w:rPr>
          <w:b/>
        </w:rPr>
        <w:t>anthracènediones</w:t>
      </w:r>
      <w:r>
        <w:t xml:space="preserve"> (analogues structural des anthracyclines comme la doxorubicine, mais sans le sucre aminé). Sa structure comprend un noyau </w:t>
      </w:r>
      <w:r>
        <w:rPr>
          <w:b/>
        </w:rPr>
        <w:t>anthracènedione</w:t>
      </w:r>
      <w:r>
        <w:t xml:space="preserve"> tricyclique plan hydrophobe (permettant l'intercalation entre les paires de bases de l'ADN) et deux </w:t>
      </w:r>
      <w:r>
        <w:rPr>
          <w:b/>
        </w:rPr>
        <w:t>chaînes latérales aminées</w:t>
      </w:r>
      <w:r>
        <w:t xml:space="preserve"> (interagissant avec le squelette phosphodiester de l'ADN par liaisons électrostatiques). Poids moléculaire 444 g/mol (chlorhydrate). Produit par synthèse chimique, formulation injectable IV.</w:t>
      </w:r>
    </w:p>
    <w:p>
      <w:r/>
      <w:r>
        <w:rPr>
          <w:b/>
        </w:rPr>
        <w:t>Justification physiopathologique</w:t>
      </w:r>
      <w:r>
        <w:t xml:space="preserve"> : la mitoxantrone exerce plusieurs mécanismes cytotoxiques :</w:t>
      </w:r>
    </w:p>
    <w:p>
      <w:pPr>
        <w:pStyle w:val="ListBullet"/>
      </w:pPr>
      <w:r/>
      <w:r>
        <w:rPr>
          <w:b/>
        </w:rPr>
        <w:t>Intercalation dans l'ADN</w:t>
      </w:r>
      <w:r>
        <w:t xml:space="preserve"> — le noyau plan hydrophobe de la mitoxantrone s'insère entre les paires de bases adjacentes de l'ADN double-brin, déformant la double hélice et interférant avec la réplication et la transcription.</w:t>
      </w:r>
    </w:p>
    <w:p>
      <w:pPr>
        <w:pStyle w:val="ListBullet"/>
      </w:pPr>
      <w:r/>
      <w:r>
        <w:rPr>
          <w:b/>
        </w:rPr>
        <w:t>Inhibition de la topoisomérase II</w:t>
      </w:r>
      <w:r>
        <w:t xml:space="preserve"> — la mitoxantrone stabilise le complexe ADN-topoisomérase II covalent ("complexe clivable"), empêchant la religation de l'ADN après coupure double-brin par la topo II, conduisant à des cassures double-brin persistantes, activation de p53, apoptose.</w:t>
      </w:r>
    </w:p>
    <w:p>
      <w:pPr>
        <w:pStyle w:val="ListBullet"/>
      </w:pPr>
      <w:r/>
      <w:r>
        <w:rPr>
          <w:b/>
        </w:rPr>
        <w:t>Génération de radicaux libres</w:t>
      </w:r>
      <w:r>
        <w:t xml:space="preserve"> — moindre que pour les anthracyclines (pas de groupe quinone rédox-actif), mais possible via métabolisme mitochondrial.</w:t>
      </w:r>
    </w:p>
    <w:p>
      <w:pPr>
        <w:pStyle w:val="ListBullet"/>
      </w:pPr>
      <w:r/>
      <w:r>
        <w:rPr>
          <w:b/>
        </w:rPr>
        <w:t>Effets immunomodulateurs</w:t>
      </w:r>
      <w:r>
        <w:t xml:space="preserve"> :</w:t>
      </w:r>
    </w:p>
    <w:p>
      <w:pPr>
        <w:pStyle w:val="ListBullet"/>
      </w:pPr>
      <w:r/>
      <w:r>
        <w:rPr>
          <w:b/>
        </w:rPr>
        <w:t>Inhibition de la prolifération lymphocytaire T et B</w:t>
      </w:r>
      <w:r>
        <w:t xml:space="preserve"> (effet anti-prolifératif cytotoxique)</w:t>
      </w:r>
    </w:p>
    <w:p>
      <w:pPr>
        <w:pStyle w:val="ListBullet"/>
      </w:pPr>
      <w:r/>
      <w:r>
        <w:rPr>
          <w:b/>
        </w:rPr>
        <w:t>Suppression de la présentation antigénique</w:t>
      </w:r>
      <w:r>
        <w:t xml:space="preserve"> (réduction du MHC-II et des molécules B7 sur les CPA)</w:t>
      </w:r>
    </w:p>
    <w:p>
      <w:pPr>
        <w:pStyle w:val="ListBullet"/>
      </w:pPr>
      <w:r/>
      <w:r>
        <w:rPr>
          <w:b/>
        </w:rPr>
        <w:t>Inhibition des macrophages</w:t>
      </w:r>
      <w:r>
        <w:t xml:space="preserve"> (réduction de la sécrétion de TNFα, IL-1, IL-6)</w:t>
      </w:r>
    </w:p>
    <w:p>
      <w:pPr>
        <w:pStyle w:val="ListBullet"/>
      </w:pPr>
      <w:r/>
      <w:r>
        <w:rPr>
          <w:b/>
        </w:rPr>
        <w:t>Bcl-2 down-régulation</w:t>
      </w:r>
      <w:r>
        <w:t xml:space="preserve"> (apoptose lymphocytaire)</w:t>
      </w:r>
    </w:p>
    <w:p>
      <w:pPr>
        <w:pStyle w:val="ListBullet"/>
      </w:pPr>
      <w:r/>
      <w:r>
        <w:rPr>
          <w:b/>
        </w:rPr>
        <w:t>Réduction de la production d'anticorps</w:t>
      </w:r>
      <w:r>
        <w:t xml:space="preserve"> (déplétion des lymphocytes B)</w:t>
      </w:r>
    </w:p>
    <w:p>
      <w:r>
        <w:t xml:space="preserve">Le résultat est une </w:t>
      </w:r>
      <w:r>
        <w:rPr>
          <w:b/>
        </w:rPr>
        <w:t>immunosuppression profonde mais transitoire</w:t>
      </w:r>
      <w:r>
        <w:t xml:space="preserve"> (lymphopénie T et B durable ~6-12 mois après une cure), réduisant massivement l'infiltrat inflammatoire périveineux du SNC et l'activité des poussées de SEP.</w:t>
      </w:r>
    </w:p>
    <w:p>
      <w:r/>
      <w:r>
        <w:rPr>
          <w:b/>
        </w:rPr>
        <w:t>Efficacité</w:t>
      </w:r>
      <w:r>
        <w:t xml:space="preserve"> : réduction de la fréquence des poussées d'environ </w:t>
      </w:r>
      <w:r>
        <w:rPr>
          <w:b/>
        </w:rPr>
        <w:t>60-70 %</w:t>
      </w:r>
      <w:r>
        <w:t xml:space="preserve"> vs placebo (essai MIMS 2002), réduction de la progression du handicap confirmée à 2 ans de ~64 %, réduction de l'activité IRM (hypersignaux T2 nouveaux) de ~80 %, réduction des lésions gadolinium-positives de ~90 %. Efficacité comparable à celle du natalizumab et de l'ocrélizumab.</w:t>
      </w:r>
    </w:p>
    <w:p>
      <w:r/>
      <w:r>
        <w:rPr>
          <w:b/>
        </w:rPr>
        <w:t>Toxicité cumulative — pièce maîtresse du positionnement</w:t>
      </w:r>
      <w:r>
        <w:t xml:space="preserve"> : la mitoxantrone expose à deux toxicités dose-cumulative majeures :</w:t>
      </w:r>
    </w:p>
    <w:p>
      <w:pPr>
        <w:pStyle w:val="ListBullet"/>
      </w:pPr>
      <w:r/>
      <w:r>
        <w:rPr>
          <w:b/>
        </w:rPr>
        <w:t>Cardiotoxicité</w:t>
      </w:r>
      <w:r>
        <w:t xml:space="preserve"> — cardiomyopathie dilatative (réduction de la fraction d'éjection ventriculaire gauche FEVG), risque dose-cumulatif-dépendant. Incidence :</w:t>
      </w:r>
    </w:p>
    <w:p>
      <w:pPr>
        <w:pStyle w:val="ListBullet"/>
      </w:pPr>
      <w:r>
        <w:t>Dose cumulative &lt; 100 mg/m² : risque faible (~2,5 %)</w:t>
      </w:r>
    </w:p>
    <w:p>
      <w:pPr>
        <w:pStyle w:val="ListBullet"/>
      </w:pPr>
      <w:r>
        <w:t>Dose cumulative 100-140 mg/m² : risque modéré (~5-10 %)</w:t>
      </w:r>
    </w:p>
    <w:p>
      <w:pPr>
        <w:pStyle w:val="ListBullet"/>
      </w:pPr>
      <w:r>
        <w:t>Dose cumulative &gt; 140 mg/m² : risque élevé (~15-20 %)</w:t>
      </w:r>
    </w:p>
    <w:p>
      <w:r>
        <w:t xml:space="preserve">  La </w:t>
      </w:r>
      <w:r>
        <w:rPr>
          <w:b/>
        </w:rPr>
        <w:t>dose maximale cumulative recommandée est de 140 mg/m²</w:t>
      </w:r>
      <w:r>
        <w:t xml:space="preserve"> (au-delà, contre-indication formelle). Mécanisme : stress oxydatif mitochondrial, apoptose des cardiomyocytes, fibrose myocardique. Une surveillance échocardiographique (FEVG) est obligatoire avant chaque cure et à long terme après l'arrêt.</w:t>
      </w:r>
    </w:p>
    <w:p>
      <w:pPr>
        <w:pStyle w:val="ListBullet"/>
      </w:pPr>
      <w:r/>
      <w:r>
        <w:rPr>
          <w:b/>
        </w:rPr>
        <w:t>Leucémies aiguës myéloïdes (LAM) secondaires</w:t>
      </w:r>
      <w:r>
        <w:t xml:space="preserve"> — risque dose-cumulatif-dépendant, lié à l'effet génotoxique de la mitoxantrone (cassures chromosomiques, translocations). Incidence ~0,7-1 % à 5 ans (vs 0,05 % population générale), augmentation avec la dose cumulative. Surveillance NFS à long terme après l'arrêt.</w:t>
      </w:r>
    </w:p>
    <w:p>
      <w:r/>
      <w:r>
        <w:rPr>
          <w:b/>
        </w:rPr>
        <w:t>Positionnement actuel</w:t>
      </w:r>
      <w:r>
        <w:t xml:space="preserve"> : la mitoxantrone est désormais </w:t>
      </w:r>
      <w:r>
        <w:rPr>
          <w:b/>
        </w:rPr>
        <w:t>rarement prescrite</w:t>
      </w:r>
      <w:r>
        <w:t xml:space="preserve"> dans la SEP en raison de sa toxicité cumulative majeure. Indications résiduelles : SEP très active résistante aux autres biothérapies (natalizumab, ocrélizumab, fingolimod), formes agressives d'emblée avec handicap précoce, en alternative exceptionnelle. En pratique, le plus souvent supplantée par les anti-CD20 (ocrélizumab) qui ont un meilleur rapport bénéfice/risque.</w:t>
      </w:r>
    </w:p>
    <w:p>
      <w:r/>
      <w:r>
        <w:rPr>
          <w:b/>
        </w:rPr>
        <w:t>Disponibilité en Algérie</w:t>
      </w:r>
      <w:r>
        <w:t xml:space="preserve"> : la mitoxantrone est disponible sous deux spécialités en Algérie — NOVANTRONE (Wyeth Lederle, dosages 10 mg/5 mL et 20 mg/10 mL) et MITOXANTRON EBEWE (Ebewe Pharma, dosage 20 mg/10 mL). Les trois présentations sont </w:t>
      </w:r>
      <w:r>
        <w:rPr>
          <w:b/>
        </w:rPr>
        <w:t>NON RENOUVELABLES</w:t>
      </w:r>
      <w:r>
        <w:t xml:space="preserve"> — ce qui signifie que les autorisations de mise sur le marché ont été suspendues ou non renouvelées par les laboratoires exploitants. La mitoxantrone est </w:t>
      </w:r>
      <w:r>
        <w:rPr>
          <w:b/>
        </w:rPr>
        <w:t>pratiquement retirée du marché algérien</w:t>
      </w:r>
      <w:r>
        <w:t xml:space="preserve"> et son utilisation est désormais exceptionnelle, en récupération de stocks résiduels ou importation exceptionnelle.</w:t>
      </w:r>
    </w:p>
    <w:p>
      <w:pPr>
        <w:pStyle w:val="Heading3"/>
      </w:pPr>
      <w:r>
        <w:t>6. DCI : Mitoxantrone (Seule)</w:t>
      </w:r>
    </w:p>
    <w:p>
      <w:r>
        <w:t xml:space="preserve">La mitoxantrone, agent intercalant de l'ADN de la famille des anthracènediones, est un immunosuppresseur cytotoxique puissant hérité de l'oncologie (cancers du sein, lymphomes), repositionné dans la SEP pour les formes très actives résistantes aux immunomodulateurs classiques. Administrée par voie intraveineuse à la dose de </w:t>
      </w:r>
      <w:r>
        <w:rPr>
          <w:b/>
        </w:rPr>
        <w:t>12 mg/m² tous les 3 mois</w:t>
      </w:r>
      <w:r>
        <w:t xml:space="preserve"> (schéma d'induction de 3 cures puis entretien trimestriel jusqu'à la dose maximale cumulative de </w:t>
      </w:r>
      <w:r>
        <w:rPr>
          <w:b/>
        </w:rPr>
        <w:t>140 mg/m²</w:t>
      </w:r>
      <w:r>
        <w:t xml:space="preserve">), elle exerce une immunosuppression profonde par </w:t>
      </w:r>
      <w:r>
        <w:rPr>
          <w:b/>
        </w:rPr>
        <w:t>intercalation ADN, inhibition de la topoisomérase II et suppression lymphocytaire T/B/apoptose</w:t>
      </w:r>
      <w:r>
        <w:t xml:space="preserve">. Son efficacité est comparable à celle des biothérapies de haute efficacité (réduction des poussées de 60-70 %), mais sa </w:t>
      </w:r>
      <w:r>
        <w:rPr>
          <w:b/>
        </w:rPr>
        <w:t>toxicité cumulative majeure</w:t>
      </w:r>
      <w:r>
        <w:t xml:space="preserve"> — cardiotoxicité (cardiomyopathie dilatative dose-dépendante, dose max 140 mg/m²) et leucémies aiguës myéloïdes secondaires (incidence ~0,7-1 % à 5 ans) — en fait un traitement de </w:t>
      </w:r>
      <w:r>
        <w:rPr>
          <w:b/>
        </w:rPr>
        <w:t>dernier recours</w:t>
      </w:r>
      <w:r>
        <w:t>, désormais largement supplanté par les anti-CD20 (ocrélizumab, rituximab) au meilleur rapport bénéfice/risque. En Algérie, la mitoxantrone est disponible sous deux spécialités (</w:t>
      </w:r>
      <w:r>
        <w:rPr>
          <w:b/>
        </w:rPr>
        <w:t>NOVANTRONE</w:t>
      </w:r>
      <w:r>
        <w:t xml:space="preserve"> Wyeth Lederle, </w:t>
      </w:r>
      <w:r>
        <w:rPr>
          <w:b/>
        </w:rPr>
        <w:t>MITOXANTRON EBEWE</w:t>
      </w:r>
      <w:r>
        <w:t xml:space="preserve"> Ebewe Pharma) — toutes deux </w:t>
      </w:r>
      <w:r>
        <w:rPr>
          <w:b/>
        </w:rPr>
        <w:t>non renouvelables</w:t>
      </w:r>
      <w:r>
        <w:t>, c'est-à-dire pratiquement retirées du marché algérien.</w:t>
      </w:r>
    </w:p>
    <w:p>
      <w:r/>
      <w:r>
        <w:rPr>
          <w:b/>
        </w:rPr>
        <w:t>Liste des Catégories :</w:t>
      </w:r>
      <w:r>
        <w:t xml:space="preserve"> LISTE I — Immunosuppresseur cytotoxique — agent intercalant de l'ADN — traitement de fond de dernier recours de la SEP active résistante.</w:t>
      </w:r>
    </w:p>
    <w:p>
      <w:r/>
      <w:r>
        <w:rPr>
          <w:b/>
        </w:rPr>
        <w:t>Médicaments disponibles en Algérie (Marques, Laboratoires, Formes et Dosages) :</w:t>
      </w:r>
      <w:r/>
    </w:p>
    <w:p>
      <w:pPr>
        <w:pStyle w:val="ListBullet"/>
      </w:pPr>
      <w:r/>
      <w:r>
        <w:rPr>
          <w:b/>
        </w:rPr>
        <w:t>NOVANTRONE</w:t>
      </w:r>
      <w:r>
        <w:t xml:space="preserve"> (WYETH LEDERLE)</w:t>
      </w:r>
    </w:p>
    <w:p>
      <w:pPr>
        <w:pStyle w:val="ListBullet"/>
      </w:pPr>
      <w:r>
        <w:t>Formes et Dosages : Solution injectable 10 mg/5 mL — Flacon de 5 mL</w:t>
      </w:r>
    </w:p>
    <w:p>
      <w:pPr>
        <w:pStyle w:val="ListBullet"/>
      </w:pPr>
      <w:r>
        <w:t>Formes et Dosages : Solution injectable 20 mg/10 mL — Flacon de 10 mL</w:t>
      </w:r>
    </w:p>
    <w:p>
      <w:pPr>
        <w:pStyle w:val="ListBullet"/>
      </w:pPr>
      <w:r>
        <w:t xml:space="preserve">Statut : </w:t>
      </w:r>
      <w:r>
        <w:rPr>
          <w:b/>
        </w:rPr>
        <w:t>Non Renouvelable</w:t>
      </w:r>
      <w:r>
        <w:t xml:space="preserve"> — AMM non renouvelée par le laboratoire exploitant, mais stocks résiduels potentiellement encore disponibles dans certaines pharmacies hospitalières</w:t>
      </w:r>
    </w:p>
    <w:p>
      <w:pPr>
        <w:pStyle w:val="ListBullet"/>
      </w:pPr>
      <w:r/>
      <w:r>
        <w:rPr>
          <w:b/>
        </w:rPr>
        <w:t>MITOXANTRON EBEWE</w:t>
      </w:r>
      <w:r>
        <w:t xml:space="preserve"> (EBEWE PHARMA Ges.m.b.h.Nfg KG)</w:t>
      </w:r>
    </w:p>
    <w:p>
      <w:pPr>
        <w:pStyle w:val="ListBullet"/>
      </w:pPr>
      <w:r>
        <w:t>Formes et Dosages : Concentré solution injectable pour perfusion IV 2 mg/mL (20 mg/10 mL) — Boîte de 1 flacon de 10 mL</w:t>
      </w:r>
    </w:p>
    <w:p>
      <w:pPr>
        <w:pStyle w:val="ListBullet"/>
      </w:pPr>
      <w:r>
        <w:t xml:space="preserve">Statut : </w:t>
      </w:r>
      <w:r>
        <w:rPr>
          <w:b/>
        </w:rPr>
        <w:t>Non Renouvelable</w:t>
      </w:r>
      <w:r>
        <w:t xml:space="preserve"> — AMM non renouvelée</w:t>
      </w:r>
    </w:p>
    <w:p>
      <w:r/>
      <w:r>
        <w:rPr>
          <w:b/>
        </w:rPr>
        <w:t>Commentaire sur la disponibilité algérienne</w:t>
      </w:r>
      <w:r>
        <w:t xml:space="preserve"> : la mitoxantrone est </w:t>
      </w:r>
      <w:r>
        <w:rPr>
          <w:b/>
        </w:rPr>
        <w:t>pratiquement retirée du marché algérien</w:t>
      </w:r>
      <w:r>
        <w:t xml:space="preserve"> — les deux spécialités disponibles (NOVANTRONE Wyeth Lederle, MITOXANTRON EBEWE Ebewe Pharma) sont en statut </w:t>
      </w:r>
      <w:r>
        <w:rPr>
          <w:b/>
        </w:rPr>
        <w:t>NON RENOUVELABLE</w:t>
      </w:r>
      <w:r>
        <w:t>, ce qui signifie que leur autorisation de mise sur le marché n'a pas été renouvelée par les laboratoires exploitants (souvent pour des raisons de rentabilité économique ou de retrait mondial du produit). En pratique, la mitoxantrone n'est plus disponible en pharmacie d'officine algérienne, mais peut encore être obtenue dans certaines pharmacies à usage intérieur (PUI) hospitalières si des stocks résiduels existent, ou via une procédure d'</w:t>
      </w:r>
      <w:r>
        <w:rPr>
          <w:b/>
        </w:rPr>
        <w:t>autorisation temporaire d'utilisation (ATU)</w:t>
      </w:r>
      <w:r>
        <w:t xml:space="preserve"> pour importation exceptionnelle. Le pharmacien d'offinicen doit savoir informer le patient de la non-disponibilité du produit et orienter vers une prise en charge hospitalière spécialisée. Cette situation reflète le déclin mondial de l'usage de la mitoxantrone dans la SEP, supplantée par les biothérapies modernes (ocrélizumab, rituximab, natalizumab, fingolimod) au meilleur rapport bénéfice/risque.</w:t>
      </w:r>
    </w:p>
    <w:p>
      <w:r/>
      <w:r>
        <w:rPr>
          <w:b/>
        </w:rPr>
        <w:t>Sous-classe et Mécanisme d'action :</w:t>
      </w:r>
      <w:r/>
    </w:p>
    <w:p>
      <w:pPr>
        <w:pStyle w:val="ListBullet"/>
      </w:pPr>
      <w:r/>
      <w:r>
        <w:rPr>
          <w:b/>
        </w:rPr>
        <w:t>Sous-classe</w:t>
      </w:r>
      <w:r>
        <w:t xml:space="preserve"> : Immunosuppresseur cytotoxique — agent intercalant de l'ADN — traitement de fond de dernier recours de la SEP active résistante. Efficacité haute, mais toxicité cumulative majeure (cardiotoxicité, leucémies secondaires).</w:t>
      </w:r>
    </w:p>
    <w:p>
      <w:pPr>
        <w:pStyle w:val="ListBullet"/>
      </w:pPr>
      <w:r/>
      <w:r>
        <w:rPr>
          <w:b/>
        </w:rPr>
        <w:t>Mécanisme d'action</w:t>
      </w:r>
      <w:r>
        <w:t xml:space="preserve"> : la mitoxantrone est un </w:t>
      </w:r>
      <w:r>
        <w:rPr>
          <w:b/>
        </w:rPr>
        <w:t>agent intercalant de l'ADN</w:t>
      </w:r>
      <w:r>
        <w:t xml:space="preserve"> de la famille des </w:t>
      </w:r>
      <w:r>
        <w:rPr>
          <w:b/>
        </w:rPr>
        <w:t>anthracènediones</w:t>
      </w:r>
      <w:r>
        <w:t xml:space="preserve"> (analogues structural des anthracyclines comme la doxorubicine, mais sans le sucre aminé et avec un noyau plan tricyclique). Sa structure comprend un noyau </w:t>
      </w:r>
      <w:r>
        <w:rPr>
          <w:b/>
        </w:rPr>
        <w:t>anthracènedione</w:t>
      </w:r>
      <w:r>
        <w:t xml:space="preserve"> tricyclique plan hydrophobe (permettant l'intercalation entre les paires de bases de l'ADN) et deux </w:t>
      </w:r>
      <w:r>
        <w:rPr>
          <w:b/>
        </w:rPr>
        <w:t>chaînes latérales aminées</w:t>
      </w:r>
      <w:r>
        <w:t xml:space="preserve"> (interagissant avec le squelette phosphodiester de l'ADN par liaisons électrostatiques). Les mécanismes cytotoxiques sont multiples :</w:t>
      </w:r>
    </w:p>
    <w:p>
      <w:r>
        <w:t xml:space="preserve">  (i) </w:t>
      </w:r>
      <w:r>
        <w:rPr>
          <w:b/>
        </w:rPr>
        <w:t>Intercalation dans l'ADN</w:t>
      </w:r>
      <w:r>
        <w:t xml:space="preserve"> — le noyau plan hydrophobe de la mitoxantrone s'insère entre les paires de bases adjacentes de l'ADN double-brin, déformant la double hélice (allongement, déroulement partiel) et interférant avec la réplication (ADN polymérase) et la transcription (ARN polymérase).</w:t>
      </w:r>
    </w:p>
    <w:p>
      <w:r>
        <w:t xml:space="preserve">  (ii) </w:t>
      </w:r>
      <w:r>
        <w:rPr>
          <w:b/>
        </w:rPr>
        <w:t>Inhibition de la topoisomérase II (Topo II)</w:t>
      </w:r>
      <w:r>
        <w:t xml:space="preserve"> — la mitoxantrone se lie à la topoisomérase II (enzyme qui introduit des cassures double-brin transitoires dans l'ADN pour permettre le déroulement pendant la réplication et la transcription). Elle </w:t>
      </w:r>
      <w:r>
        <w:rPr>
          <w:b/>
        </w:rPr>
        <w:t>stabilise le complexe ADN-Topo II covalent ("complexe clivable")</w:t>
      </w:r>
      <w:r>
        <w:t xml:space="preserve">, empêchant la religation de l'ADN après coupure double-brin par la Topo II, conduisant à des </w:t>
      </w:r>
      <w:r>
        <w:rPr>
          <w:b/>
        </w:rPr>
        <w:t>cassures double-brin persistantes</w:t>
      </w:r>
      <w:r>
        <w:t xml:space="preserve">, activation de p53, apoptose cellulaire. Cette inhibition de la Topo II est responsable à la fois de l'effet cytotoxique (apoptose des cellules en division, y compris lymphocytes T/B activés) et de la </w:t>
      </w:r>
      <w:r>
        <w:rPr>
          <w:b/>
        </w:rPr>
        <w:t>génotoxicité</w:t>
      </w:r>
      <w:r>
        <w:t xml:space="preserve"> (cassures chromosomiques, translocations, leucémies secondaires).</w:t>
      </w:r>
    </w:p>
    <w:p>
      <w:r>
        <w:t xml:space="preserve">  (iii) </w:t>
      </w:r>
      <w:r>
        <w:rPr>
          <w:b/>
        </w:rPr>
        <w:t>Génération de radicaux libres</w:t>
      </w:r>
      <w:r>
        <w:t xml:space="preserve"> — moindre que pour les anthracyclines (pas de groupe quinone rédox-actif), mais possible via métabolisme mitochondrial. Contribution mineure à la cardiotoxicité.</w:t>
      </w:r>
    </w:p>
    <w:p>
      <w:r>
        <w:t xml:space="preserve">  (iv) </w:t>
      </w:r>
      <w:r>
        <w:rPr>
          <w:b/>
        </w:rPr>
        <w:t>Effets immunomodulateurs</w:t>
      </w:r>
      <w:r>
        <w:t xml:space="preserve"> :</w:t>
      </w:r>
    </w:p>
    <w:p>
      <w:pPr>
        <w:pStyle w:val="ListBullet"/>
      </w:pPr>
      <w:r/>
      <w:r>
        <w:rPr>
          <w:b/>
        </w:rPr>
        <w:t>Inhibition de la prolifération lymphocytaire T et B</w:t>
      </w:r>
      <w:r>
        <w:t xml:space="preserve"> (effet anti-prolifératif cytotoxique, action sur les lymphocytes activés en division)</w:t>
      </w:r>
    </w:p>
    <w:p>
      <w:pPr>
        <w:pStyle w:val="ListBullet"/>
      </w:pPr>
      <w:r/>
      <w:r>
        <w:rPr>
          <w:b/>
        </w:rPr>
        <w:t>Suppression de la présentation antigénique</w:t>
      </w:r>
      <w:r>
        <w:t xml:space="preserve"> (réduction du MHC-II et des molécules B7 sur les CPA)</w:t>
      </w:r>
    </w:p>
    <w:p>
      <w:pPr>
        <w:pStyle w:val="ListBullet"/>
      </w:pPr>
      <w:r/>
      <w:r>
        <w:rPr>
          <w:b/>
        </w:rPr>
        <w:t>Inhibition des macrophages</w:t>
      </w:r>
      <w:r>
        <w:t xml:space="preserve"> (réduction de la sécrétion de TNFα, IL-1, IL-6)</w:t>
      </w:r>
    </w:p>
    <w:p>
      <w:pPr>
        <w:pStyle w:val="ListBullet"/>
      </w:pPr>
      <w:r/>
      <w:r>
        <w:rPr>
          <w:b/>
        </w:rPr>
        <w:t>Bcl-2 down-régulation</w:t>
      </w:r>
      <w:r>
        <w:t xml:space="preserve"> (apoptose lymphocytaire)</w:t>
      </w:r>
    </w:p>
    <w:p>
      <w:pPr>
        <w:pStyle w:val="ListBullet"/>
      </w:pPr>
      <w:r/>
      <w:r>
        <w:rPr>
          <w:b/>
        </w:rPr>
        <w:t>Réduction de la production d'anticorps</w:t>
      </w:r>
      <w:r>
        <w:t xml:space="preserve"> (déplétion des lymphocytes B)</w:t>
      </w:r>
    </w:p>
    <w:p>
      <w:pPr>
        <w:pStyle w:val="ListBullet"/>
      </w:pPr>
      <w:r/>
      <w:r>
        <w:rPr>
          <w:b/>
        </w:rPr>
        <w:t>Suppression des lymphocytes T CD4+</w:t>
      </w:r>
      <w:r>
        <w:t xml:space="preserve"> plus marquée que CD8+ (bascule du ratio CD4/CD8)</w:t>
      </w:r>
    </w:p>
    <w:p>
      <w:r>
        <w:t xml:space="preserve">  (v) </w:t>
      </w:r>
      <w:r>
        <w:rPr>
          <w:b/>
        </w:rPr>
        <w:t>Pharmacocinétique</w:t>
      </w:r>
      <w:r>
        <w:t xml:space="preserve"> : administration IV stricte (pas d'absorption orale). Distribution massive (Vd ~13 L/kg), forte liaison aux protéines plasmatiques (~78 %). Métabolisme hépatique principal (alcohol déshydrogénase, aldéhyde déshydrogénase — métabolites inactifs mono- et dicarboxylique). Demi-vie d'élimination longue ~75 h (état d'équilibre à 1 mois). Excrétion principalement </w:t>
      </w:r>
      <w:r>
        <w:rPr>
          <w:b/>
        </w:rPr>
        <w:t>rénale</w:t>
      </w:r>
      <w:r>
        <w:t xml:space="preserve"> (~65 % métabolites) et biliaire (~25 %). </w:t>
      </w:r>
      <w:r>
        <w:rPr>
          <w:b/>
        </w:rPr>
        <w:t>Pas d'adaptation posologique en cas d'insuffisance rénale légère à modérée, mais contre-indication en cas d'insuffisance rénale sévère</w:t>
      </w:r>
      <w:r>
        <w:t>. En cas d'insuffisance hépatique, contre-indication (métabolisme hépatique).</w:t>
      </w:r>
    </w:p>
    <w:p>
      <w:r/>
      <w:r>
        <w:rPr>
          <w:b/>
        </w:rPr>
        <w:t>Profil Pharmacologique :</w:t>
      </w:r>
      <w:r/>
    </w:p>
    <w:p>
      <w:pPr>
        <w:pStyle w:val="ListBullet"/>
      </w:pPr>
      <w:r/>
      <w:r>
        <w:rPr>
          <w:b/>
        </w:rPr>
        <w:t>Indications</w:t>
      </w:r>
      <w:r>
        <w:t xml:space="preserve"> (résiduelles, sous strict encadrement hospitalier) :</w:t>
      </w:r>
    </w:p>
    <w:p>
      <w:pPr>
        <w:pStyle w:val="ListBullet"/>
      </w:pPr>
      <w:r/>
      <w:r>
        <w:rPr>
          <w:b/>
        </w:rPr>
        <w:t>SEP récurrente-rémittente (SEP-RR) active sévère</w:t>
      </w:r>
      <w:r>
        <w:t xml:space="preserve"> en échec des autres biothérapies (natalizumab, ocrélizumab, fingolimod) — traitement de dernier recours</w:t>
      </w:r>
    </w:p>
    <w:p>
      <w:pPr>
        <w:pStyle w:val="ListBullet"/>
      </w:pPr>
      <w:r/>
      <w:r>
        <w:rPr>
          <w:b/>
        </w:rPr>
        <w:t>SEP progressive secondaire (SEP-SP) avec activité inflammatoire résiduelle</w:t>
      </w:r>
      <w:r>
        <w:t xml:space="preserve"> — indication historique (essai MIMS 2002), désormais supplantée par le siponimod (non disponible en Algérie) et l'ocrélizumab</w:t>
      </w:r>
    </w:p>
    <w:p>
      <w:pPr>
        <w:pStyle w:val="ListBullet"/>
      </w:pPr>
      <w:r/>
      <w:r>
        <w:rPr>
          <w:b/>
        </w:rPr>
        <w:t>Indications oncologiques</w:t>
      </w:r>
      <w:r>
        <w:t xml:space="preserve"> (hors SEP) : cancers du sein métastatiques, lymphomes non-hodgkiniens, leucémies aiguës myéloïdes (induction), cancers de la prostate résistants (historique) — non développées ici</w:t>
      </w:r>
    </w:p>
    <w:p>
      <w:pPr>
        <w:pStyle w:val="ListBullet"/>
      </w:pPr>
      <w:r/>
      <w:r>
        <w:rPr>
          <w:b/>
        </w:rPr>
        <w:t>Contre-indications</w:t>
      </w:r>
      <w:r>
        <w:t xml:space="preserve"> :</w:t>
      </w:r>
    </w:p>
    <w:p>
      <w:pPr>
        <w:pStyle w:val="ListBullet"/>
      </w:pPr>
      <w:r/>
      <w:r>
        <w:rPr>
          <w:b/>
        </w:rPr>
        <w:t>Insuffisance cardiaque</w:t>
      </w:r>
      <w:r>
        <w:t xml:space="preserve"> (NYHA II-IV) ou FEVG &lt; 50 % — cardiotoxicité additive majeure</w:t>
      </w:r>
    </w:p>
    <w:p>
      <w:pPr>
        <w:pStyle w:val="ListBullet"/>
      </w:pPr>
      <w:r/>
      <w:r>
        <w:rPr>
          <w:b/>
        </w:rPr>
        <w:t>Dose cumulative déjà reçue ≥ 140 mg/m²</w:t>
      </w:r>
      <w:r>
        <w:t xml:space="preserve"> — cardiotoxicité dose-cumulative</w:t>
      </w:r>
    </w:p>
    <w:p>
      <w:pPr>
        <w:pStyle w:val="ListBullet"/>
      </w:pPr>
      <w:r/>
      <w:r>
        <w:rPr>
          <w:b/>
        </w:rPr>
        <w:t>Antécédent de cardiopathie ischémique</w:t>
      </w:r>
      <w:r>
        <w:t>, troubles du rythme sévères, péricardite, myocardite</w:t>
      </w:r>
    </w:p>
    <w:p>
      <w:pPr>
        <w:pStyle w:val="ListBullet"/>
      </w:pPr>
      <w:r/>
      <w:r>
        <w:rPr>
          <w:b/>
        </w:rPr>
        <w:t>Myélosuppression préexistante</w:t>
      </w:r>
      <w:r>
        <w:t xml:space="preserve"> (NFS anormale — neutropénie &lt; 1,5 G/L, thrombopénie &lt; 100 G/L, anémie &lt; 10 g/dL)</w:t>
      </w:r>
    </w:p>
    <w:p>
      <w:pPr>
        <w:pStyle w:val="ListBullet"/>
      </w:pPr>
      <w:r/>
      <w:r>
        <w:rPr>
          <w:b/>
        </w:rPr>
        <w:t>Insuffisance hépatique sévère</w:t>
      </w:r>
      <w:r>
        <w:t xml:space="preserve"> (Child-Pugh C) — métabolisme hépatique</w:t>
      </w:r>
    </w:p>
    <w:p>
      <w:pPr>
        <w:pStyle w:val="ListBullet"/>
      </w:pPr>
      <w:r/>
      <w:r>
        <w:rPr>
          <w:b/>
        </w:rPr>
        <w:t>Insuffisance rénale sévère</w:t>
      </w:r>
      <w:r>
        <w:t xml:space="preserve"> (DFG &lt; 30 mL/min)</w:t>
      </w:r>
    </w:p>
    <w:p>
      <w:pPr>
        <w:pStyle w:val="ListBullet"/>
      </w:pPr>
      <w:r/>
      <w:r>
        <w:rPr>
          <w:b/>
        </w:rPr>
        <w:t>Infections sévères actives</w:t>
      </w:r>
      <w:r>
        <w:t xml:space="preserve"> (immunosuppression additive)</w:t>
      </w:r>
    </w:p>
    <w:p>
      <w:pPr>
        <w:pStyle w:val="ListBullet"/>
      </w:pPr>
      <w:r/>
      <w:r>
        <w:rPr>
          <w:b/>
        </w:rPr>
        <w:t>Grossesse</w:t>
      </w:r>
      <w:r>
        <w:t xml:space="preserve"> : contre-indication absolue (tératogène chez l'animal)</w:t>
      </w:r>
    </w:p>
    <w:p>
      <w:pPr>
        <w:pStyle w:val="ListBullet"/>
      </w:pPr>
      <w:r/>
      <w:r>
        <w:rPr>
          <w:b/>
        </w:rPr>
        <w:t>Allaitement</w:t>
      </w:r>
      <w:r>
        <w:t xml:space="preserve"> : contre-indication formelle</w:t>
      </w:r>
    </w:p>
    <w:p>
      <w:pPr>
        <w:pStyle w:val="ListBullet"/>
      </w:pPr>
      <w:r/>
      <w:r>
        <w:rPr>
          <w:b/>
        </w:rPr>
        <w:t>Vaccins vivants</w:t>
      </w:r>
      <w:r>
        <w:t xml:space="preserve"> : contre-indication (immunosuppression)</w:t>
      </w:r>
    </w:p>
    <w:p>
      <w:pPr>
        <w:pStyle w:val="ListBullet"/>
      </w:pPr>
      <w:r/>
      <w:r>
        <w:rPr>
          <w:b/>
        </w:rPr>
        <w:t>Hypersensibilité</w:t>
      </w:r>
      <w:r>
        <w:t xml:space="preserve"> à la mitoxantrone ou à l'un des excipients</w:t>
      </w:r>
    </w:p>
    <w:p>
      <w:pPr>
        <w:pStyle w:val="ListBullet"/>
      </w:pPr>
      <w:r/>
      <w:r>
        <w:rPr>
          <w:b/>
        </w:rPr>
        <w:t>Prudence</w:t>
      </w:r>
      <w:r>
        <w:t xml:space="preserve"> : antécédent de radiothérapie thoracique médiastinale (cardiotoxicité additive), âge &gt; 65 ans, traitements cardiotoxiques associés (anthracyclines, trastuzumab)</w:t>
      </w:r>
    </w:p>
    <w:p>
      <w:pPr>
        <w:pStyle w:val="ListBullet"/>
      </w:pPr>
      <w:r/>
      <w:r>
        <w:rPr>
          <w:b/>
        </w:rPr>
        <w:t>Effets Indésirables</w:t>
      </w:r>
      <w:r>
        <w:t xml:space="preserve"> :</w:t>
      </w:r>
    </w:p>
    <w:p>
      <w:pPr>
        <w:pStyle w:val="ListBullet"/>
      </w:pPr>
      <w:r/>
      <w:r>
        <w:rPr>
          <w:b/>
        </w:rPr>
        <w:t>Cardiotoxicité</w:t>
      </w:r>
      <w:r>
        <w:t xml:space="preserve"> — effet indésirable majeur, dose-cumulatif-dépendant. Mécanisme : stress oxydatif mitochondrial, apoptose des cardiomyocytes, fibrose myocardique interstitielle. Manifestations : </w:t>
      </w:r>
      <w:r>
        <w:rPr>
          <w:b/>
        </w:rPr>
        <w:t>cardiomyopathie dilatative</w:t>
      </w:r>
      <w:r>
        <w:t xml:space="preserve"> (réduction de la FEVG &lt; 50 % ou baisse &gt; 10 % vs baseline), insuffisance cardiaque congestive (dyspnée, œdèmes des membres inférieurs, asthénie). Incidence cumulative : ~2,5 % à 100 mg/m², ~5-10 % à 100-140 mg/m², ~15-20 % au-delà de 140 mg/m². Prévention : surveillance échocardiographique (FEVG) </w:t>
      </w:r>
      <w:r>
        <w:rPr>
          <w:b/>
        </w:rPr>
        <w:t>avant chaque cure</w:t>
      </w:r>
      <w:r>
        <w:t xml:space="preserve"> et à 6-12 mois après la dernière cure ; dose maximale cumulative 140 mg/m² ; arrêt si FEVG &lt; 50 % ou baisse &gt; 10 %. Surveillance ECG systématique. Surveillance clinique (signes d'insuffisance cardiaque).</w:t>
      </w:r>
    </w:p>
    <w:p>
      <w:pPr>
        <w:pStyle w:val="ListBullet"/>
      </w:pPr>
      <w:r/>
      <w:r>
        <w:rPr>
          <w:b/>
        </w:rPr>
        <w:t>Leucémies aiguës myéloïdes (LAM) secondaires</w:t>
      </w:r>
      <w:r>
        <w:t xml:space="preserve"> — effet indésirable grave, dose-cumulatif-dépendant, lié à la génotoxicité (cassures chromosomiques, translocations impliquant le gène MLL/11q23). Incidence ~0,7-1 % à 5 ans (vs 0,05 % population générale), augmentation avec la dose cumulative. Surviennent typiquement 1-5 ans après la dernière cure. Pronostic réservé (LAM secondaires aux topo II inhibiteurs sont de mauvais pronostic). Surveillance NFS à long terme après l'arrêt.</w:t>
      </w:r>
    </w:p>
    <w:p>
      <w:pPr>
        <w:pStyle w:val="ListBullet"/>
      </w:pPr>
      <w:r/>
      <w:r>
        <w:rPr>
          <w:b/>
        </w:rPr>
        <w:t>Myélosuppression</w:t>
      </w:r>
      <w:r>
        <w:t xml:space="preserve"> — effet pharmacodynamique attendu. </w:t>
      </w:r>
      <w:r>
        <w:rPr>
          <w:b/>
        </w:rPr>
        <w:t>Neutropénie</w:t>
      </w:r>
      <w:r>
        <w:t xml:space="preserve"> (nadir à J10-J14, récupération à J21), thrombopénie, anémie. Surveillance NFS hebdomadaire pendant les cures. Risque infectieux majoré (neutropénie fébrile), hémorragique (thrombopénie).</w:t>
      </w:r>
    </w:p>
    <w:p>
      <w:pPr>
        <w:pStyle w:val="ListBullet"/>
      </w:pPr>
      <w:r/>
      <w:r>
        <w:rPr>
          <w:b/>
        </w:rPr>
        <w:t>Alopécie</w:t>
      </w:r>
      <w:r>
        <w:t xml:space="preserve"> — généralement modérée et réversible (contrairement aux anthracyclines, l'alopécie est moins sévère avec la mitoxantrone).</w:t>
      </w:r>
    </w:p>
    <w:p>
      <w:pPr>
        <w:pStyle w:val="ListBullet"/>
      </w:pPr>
      <w:r/>
      <w:r>
        <w:rPr>
          <w:b/>
        </w:rPr>
        <w:t>Nausées, vomissements</w:t>
      </w:r>
      <w:r>
        <w:t xml:space="preserve"> — modérés (la mitoxantrone est moins émétisante que les anthracyclines). Prémédication par anti-émétiques (sérotoninergiques 5-HT3 antagonistes — ondansétron).</w:t>
      </w:r>
    </w:p>
    <w:p>
      <w:pPr>
        <w:pStyle w:val="ListBullet"/>
      </w:pPr>
      <w:r/>
      <w:r>
        <w:rPr>
          <w:b/>
        </w:rPr>
        <w:t>Coloration bleue des urines et de la sclérotique</w:t>
      </w:r>
      <w:r>
        <w:t xml:space="preserve"> — transitoire, due à la couleur bleue intense de la molécule (effet attendu, sans gravité).</w:t>
      </w:r>
    </w:p>
    <w:p>
      <w:pPr>
        <w:pStyle w:val="ListBullet"/>
      </w:pPr>
      <w:r/>
      <w:r>
        <w:rPr>
          <w:b/>
        </w:rPr>
        <w:t>Stomatite, mucite</w:t>
      </w:r>
      <w:r>
        <w:t xml:space="preserve"> — modérées.</w:t>
      </w:r>
    </w:p>
    <w:p>
      <w:pPr>
        <w:pStyle w:val="ListBullet"/>
      </w:pPr>
      <w:r/>
      <w:r>
        <w:rPr>
          <w:b/>
        </w:rPr>
        <w:t>Aménorrhée</w:t>
      </w:r>
      <w:r>
        <w:t xml:space="preserve"> — possible, parfois définitive chez la femme &gt; 35 ans.</w:t>
      </w:r>
    </w:p>
    <w:p>
      <w:pPr>
        <w:pStyle w:val="ListBullet"/>
      </w:pPr>
      <w:r/>
      <w:r>
        <w:rPr>
          <w:b/>
        </w:rPr>
        <w:t>Infertilité</w:t>
      </w:r>
      <w:r>
        <w:t xml:space="preserve"> — possible, surtout chez l'homme (oligospermie, azoospermie).</w:t>
      </w:r>
    </w:p>
    <w:p>
      <w:pPr>
        <w:pStyle w:val="ListBullet"/>
      </w:pPr>
      <w:r/>
      <w:r>
        <w:rPr>
          <w:b/>
        </w:rPr>
        <w:t>Réactions locales au site de perfusion</w:t>
      </w:r>
      <w:r>
        <w:t xml:space="preserve"> — si extravasation, nécrose tissulaire grave (la mitoxantrone est vésicante). Prévention : voie IV stricte, voie veineuse centrale recommandée (chamber implantable), surveillance du site de perfusion.</w:t>
      </w:r>
    </w:p>
    <w:p>
      <w:pPr>
        <w:pStyle w:val="ListBullet"/>
      </w:pPr>
      <w:r/>
      <w:r>
        <w:rPr>
          <w:b/>
        </w:rPr>
        <w:t>Infections opportunistes</w:t>
      </w:r>
      <w:r>
        <w:t xml:space="preserve"> — risque majoré par l'immunosuppression (herpès, zona, pneumocystose, candidose).</w:t>
      </w:r>
    </w:p>
    <w:p>
      <w:pPr>
        <w:pStyle w:val="ListBullet"/>
      </w:pPr>
      <w:r/>
      <w:r>
        <w:rPr>
          <w:b/>
        </w:rPr>
        <w:t>Effets hépatiques</w:t>
      </w:r>
      <w:r>
        <w:t xml:space="preserve"> — cytolyse transitoire.</w:t>
      </w:r>
    </w:p>
    <w:p>
      <w:pPr>
        <w:pStyle w:val="ListBullet"/>
      </w:pPr>
      <w:r/>
      <w:r>
        <w:rPr>
          <w:b/>
        </w:rPr>
        <w:t>Effets rénaux</w:t>
      </w:r>
      <w:r>
        <w:t xml:space="preserve"> — rares, protéinurie.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NFS-plaquettes, transaminases, créatinine, </w:t>
      </w:r>
      <w:r>
        <w:rPr>
          <w:b/>
        </w:rPr>
        <w:t>ECG</w:t>
      </w:r>
      <w:r>
        <w:t xml:space="preserve"> (recherche troubles du rythme, allongement QT), </w:t>
      </w:r>
      <w:r>
        <w:rPr>
          <w:b/>
        </w:rPr>
        <w:t>échographie cardiaque (ETT) avec mesure de la FEVG</w:t>
      </w:r>
      <w:r>
        <w:t xml:space="preserve"> (examen de référence — FEVG baseline &gt; 50 %), sérologies (VIH, VHB, VHC, VZV), IDR à la tuberculine ou IGRA, β-hCG chez femme en âge de procréer, examen neurologique avec EDSS, IRM cérébrale initiale. </w:t>
      </w:r>
      <w:r>
        <w:rPr>
          <w:b/>
        </w:rPr>
        <w:t>Calculation de la dose cumulative déjà reçue</w:t>
      </w:r>
      <w:r>
        <w:t xml:space="preserve"> (par le patient ou par le système d'information hospitalier).</w:t>
      </w:r>
    </w:p>
    <w:p>
      <w:pPr>
        <w:pStyle w:val="ListBullet"/>
      </w:pPr>
      <w:r/>
      <w:r>
        <w:rPr>
          <w:b/>
        </w:rPr>
        <w:t>Surveillance échocardiographique (ETT)</w:t>
      </w:r>
      <w:r>
        <w:t xml:space="preserve"> : avant chaque cure (FEVG &gt; 50 % obligatoire), et à 6-12 mois après la dernière cure (suivi à long terme). Si FEVG &lt; 50 % ou baisse &gt; 10 % vs baseline → arrêt définitif.</w:t>
      </w:r>
    </w:p>
    <w:p>
      <w:pPr>
        <w:pStyle w:val="ListBullet"/>
      </w:pPr>
      <w:r/>
      <w:r>
        <w:rPr>
          <w:b/>
        </w:rPr>
        <w:t>Surveillance NFS</w:t>
      </w:r>
      <w:r>
        <w:t xml:space="preserve"> : hebdomadaire pendant les cures (nadir J10-J14), puis mensuelle entre les cures.</w:t>
      </w:r>
    </w:p>
    <w:p>
      <w:pPr>
        <w:pStyle w:val="ListBullet"/>
      </w:pPr>
      <w:r/>
      <w:r>
        <w:rPr>
          <w:b/>
        </w:rPr>
        <w:t>Surveillance biologique</w:t>
      </w:r>
      <w:r>
        <w:t xml:space="preserve"> : transaminases, créatinine trimestrielle.</w:t>
      </w:r>
    </w:p>
    <w:p>
      <w:pPr>
        <w:pStyle w:val="ListBullet"/>
      </w:pPr>
      <w:r/>
      <w:r>
        <w:rPr>
          <w:b/>
        </w:rPr>
        <w:t>Contraception rigoureuse</w:t>
      </w:r>
      <w:r>
        <w:t xml:space="preserve"> chez femme en âge de procréer (tératogène), pendant et 6 mois après l'arrêt (chez l'homme également — conservation de sperme préalable à discuter chez l'homme jeune).</w:t>
      </w:r>
    </w:p>
    <w:p>
      <w:pPr>
        <w:pStyle w:val="ListBullet"/>
      </w:pPr>
      <w:r/>
      <w:r>
        <w:rPr>
          <w:b/>
        </w:rPr>
        <w:t>Voie d'administration</w:t>
      </w:r>
      <w:r>
        <w:t xml:space="preserve"> : IV stricte, voie veineuse centrale (chamber implantable type Port-a-Cath) recommandée pour éviter l'extravasation (la mitoxantrone est vésicante). Surveillance du site de perfusion.</w:t>
      </w:r>
    </w:p>
    <w:p>
      <w:pPr>
        <w:pStyle w:val="ListBullet"/>
      </w:pPr>
      <w:r/>
      <w:r>
        <w:rPr>
          <w:b/>
        </w:rPr>
        <w:t>Prémédication anti-émétique</w:t>
      </w:r>
      <w:r>
        <w:t xml:space="preserve"> : ondansétron 8 mg IV + dexaméthasone 8 mg IV avant la perfusion.</w:t>
      </w:r>
    </w:p>
    <w:p>
      <w:pPr>
        <w:pStyle w:val="ListBullet"/>
      </w:pPr>
      <w:r/>
      <w:r>
        <w:rPr>
          <w:b/>
        </w:rPr>
        <w:t>Surveillance cumulative stricte</w:t>
      </w:r>
      <w:r>
        <w:t xml:space="preserve"> : tenir un </w:t>
      </w:r>
      <w:r>
        <w:rPr>
          <w:b/>
        </w:rPr>
        <w:t>registre de la dose cumulative reçue</w:t>
      </w:r>
      <w:r>
        <w:t xml:space="preserve"> (en mg/m²). Arrêt définitif à 140 mg/m².</w:t>
      </w:r>
    </w:p>
    <w:p>
      <w:pPr>
        <w:pStyle w:val="ListBullet"/>
      </w:pPr>
      <w:r/>
      <w:r>
        <w:rPr>
          <w:b/>
        </w:rPr>
        <w:t>Conduite à Tenir</w:t>
      </w:r>
      <w:r>
        <w:t xml:space="preserve"> :</w:t>
      </w:r>
    </w:p>
    <w:p>
      <w:pPr>
        <w:pStyle w:val="ListBullet"/>
      </w:pPr>
      <w:r/>
      <w:r>
        <w:rPr>
          <w:b/>
        </w:rPr>
        <w:t>Baisse de FEVG &lt; 50 % ou &gt; 10 % vs baseline</w:t>
      </w:r>
      <w:r>
        <w:t xml:space="preserve"> : arrêt définitif de la mitoxantrone, avis cardiologique, surveillance ETT semestrielle à vie.</w:t>
      </w:r>
    </w:p>
    <w:p>
      <w:pPr>
        <w:pStyle w:val="ListBullet"/>
      </w:pPr>
      <w:r/>
      <w:r>
        <w:rPr>
          <w:b/>
        </w:rPr>
        <w:t>Neutropénie fébrile</w:t>
      </w:r>
      <w:r>
        <w:t xml:space="preserve"> (neutrophiles &lt; 0,5 G/L + fièvre &gt; 38,5 °C) : hospitalisation urgente, prélèvements bactériologiques, antibiothérapie large spectre IV probabiliste (céfépime + amikacine), surveillance continue.</w:t>
      </w:r>
    </w:p>
    <w:p>
      <w:pPr>
        <w:pStyle w:val="ListBullet"/>
      </w:pPr>
      <w:r/>
      <w:r>
        <w:rPr>
          <w:b/>
        </w:rPr>
        <w:t>Anémie, thrombopénie sévère</w:t>
      </w:r>
      <w:r>
        <w:t xml:space="preserve"> : transfusion si nécessaire (culots globulaires si Hb &lt; 7 g/dL, plaquettes si &lt; 20 G/L).</w:t>
      </w:r>
    </w:p>
    <w:p>
      <w:pPr>
        <w:pStyle w:val="ListBullet"/>
      </w:pPr>
      <w:r/>
      <w:r>
        <w:rPr>
          <w:b/>
        </w:rPr>
        <w:t>LAM secondaire suspectée</w:t>
      </w:r>
      <w:r>
        <w:t xml:space="preserve"> (cytopénie persistante, blastes circulants) : hémogramme, myélogramme, avis hématologique urgent, prise en charge hématologique spécifique (chimiothérapie induction LAM).</w:t>
      </w:r>
    </w:p>
    <w:p>
      <w:pPr>
        <w:pStyle w:val="ListBullet"/>
      </w:pPr>
      <w:r/>
      <w:r>
        <w:rPr>
          <w:b/>
        </w:rPr>
        <w:t>Extravasation accidentelle</w:t>
      </w:r>
      <w:r>
        <w:t xml:space="preserve"> : arrêt immédiat de la perfusion, aspiration du produit résiduel, application de poches de glace, consultation chirurgicale (risque de nécrose tissulaire).</w:t>
      </w:r>
    </w:p>
    <w:p>
      <w:pPr>
        <w:pStyle w:val="ListBullet"/>
      </w:pPr>
      <w:r/>
      <w:r>
        <w:rPr>
          <w:b/>
        </w:rPr>
        <w:t>Poussée sous traitement</w:t>
      </w:r>
      <w:r>
        <w:t xml:space="preserve"> : évaluation de la réponse thérapeutique (en cas d'échec, switch vers autre classe — anti-CD20 de préférence).</w:t>
      </w:r>
    </w:p>
    <w:p>
      <w:r/>
      <w:r>
        <w:rPr>
          <w:b/>
        </w:rPr>
        <w:t>Interactions Importantes :</w:t>
      </w:r>
      <w:r/>
    </w:p>
    <w:p>
      <w:pPr>
        <w:pStyle w:val="ListBullet"/>
      </w:pPr>
      <w:r/>
      <w:r>
        <w:rPr>
          <w:b/>
        </w:rPr>
        <w:t>Mitoxantrone + vaccins vivants (BCG, ROR, fièvre jaune, varicelle, rotavirus, oral polio)</w:t>
      </w:r>
      <w:r>
        <w:t xml:space="preserve"> : contre-indication absolue — risque d'infection vaccinale généralisée. Attendre 3-6 mois après l'arrêt de la mitoxantrone (récupération immunitaire) pour vacciner.</w:t>
      </w:r>
    </w:p>
    <w:p>
      <w:pPr>
        <w:pStyle w:val="ListBullet"/>
      </w:pPr>
      <w:r/>
      <w:r>
        <w:rPr>
          <w:b/>
        </w:rPr>
        <w:t>Mitoxantrone + autres immunosuppresseurs (azathioprine, méthotrexate, cyclophosphamide, anti-TNFα, anti-CD20, natalizumab, fingolimod, diméthyl fumarate)</w:t>
      </w:r>
      <w:r>
        <w:t xml:space="preserve"> : contre-indication absolue — risque d'immunosuppression additive majeure, myélosuppression.</w:t>
      </w:r>
    </w:p>
    <w:p>
      <w:pPr>
        <w:pStyle w:val="ListBullet"/>
      </w:pPr>
      <w:r/>
      <w:r>
        <w:rPr>
          <w:b/>
        </w:rPr>
        <w:t>Mitoxantrone + autres cardiotoxiques (anthracyclines — doxorubicine, daunorubicine, épirubicine ; trastuzumab ; cyclophosphamide à haute dose)</w:t>
      </w:r>
      <w:r>
        <w:t xml:space="preserve"> : contre-indication — cardiotoxicité additive cumulative.</w:t>
      </w:r>
    </w:p>
    <w:p>
      <w:pPr>
        <w:pStyle w:val="ListBullet"/>
      </w:pPr>
      <w:r/>
      <w:r>
        <w:rPr>
          <w:b/>
        </w:rPr>
        <w:t>Mitoxantrone + radiothérapie thoracique médiastinale</w:t>
      </w:r>
      <w:r>
        <w:t xml:space="preserve"> : cardiotoxicité additive.</w:t>
      </w:r>
    </w:p>
    <w:p>
      <w:pPr>
        <w:pStyle w:val="ListBullet"/>
      </w:pPr>
      <w:r/>
      <w:r>
        <w:rPr>
          <w:b/>
        </w:rPr>
        <w:t>Mitoxantrone + anticoagulants oraux (AVK, AOD)</w:t>
      </w:r>
      <w:r>
        <w:t xml:space="preserve"> : prudence — majoration du risque hémorragique en cas de thrombopénie.</w:t>
      </w:r>
    </w:p>
    <w:p>
      <w:pPr>
        <w:pStyle w:val="ListBullet"/>
      </w:pPr>
      <w:r/>
      <w:r>
        <w:rPr>
          <w:b/>
        </w:rPr>
        <w:t>Mitoxantrone + corticoïdes</w:t>
      </w:r>
      <w:r>
        <w:t xml:space="preserve"> : prudence — majoration du risque infectieux, surveillance NFS.</w:t>
      </w:r>
    </w:p>
    <w:p>
      <w:pPr>
        <w:pStyle w:val="ListBullet"/>
      </w:pPr>
      <w:r/>
      <w:r>
        <w:rPr>
          <w:b/>
        </w:rPr>
        <w:t>Mitoxantrone + antidépresseurs, antiépileptiques</w:t>
      </w:r>
      <w:r>
        <w:t xml:space="preserve"> : pas d'interaction pertinente.</w:t>
      </w:r>
    </w:p>
    <w:p>
      <w:r/>
      <w:r>
        <w:rPr>
          <w:b/>
        </w:rPr>
        <w:t>Grossesse et Allaitement :</w:t>
      </w:r>
      <w:r/>
    </w:p>
    <w:p>
      <w:pPr>
        <w:pStyle w:val="ListBullet"/>
      </w:pPr>
      <w:r/>
      <w:r>
        <w:rPr>
          <w:b/>
        </w:rPr>
        <w:t>Grossesse</w:t>
      </w:r>
      <w:r>
        <w:t xml:space="preserve"> : contre-indication </w:t>
      </w:r>
      <w:r>
        <w:rPr>
          <w:b/>
        </w:rPr>
        <w:t>absolue</w:t>
      </w:r>
      <w:r>
        <w:t>. La mitoxantrone est tératogène chez l'animal (malformations, embryotoxicité, fœtotoxicité) à doses thérapeutiques. Les données cliniques humaines sont limitées mais le risque malformatif est considéré comme élevé. Recommandations 2024 :</w:t>
      </w:r>
    </w:p>
    <w:p>
      <w:pPr>
        <w:pStyle w:val="ListBullet"/>
      </w:pPr>
      <w:r/>
      <w:r>
        <w:rPr>
          <w:b/>
        </w:rPr>
        <w:t>Contraception rigoureuse obligatoire</w:t>
      </w:r>
      <w:r>
        <w:t xml:space="preserve"> chez toute femme en âge de procréer pendant et jusqu'à </w:t>
      </w:r>
      <w:r>
        <w:rPr>
          <w:b/>
        </w:rPr>
        <w:t>6 mois après l'arrêt</w:t>
      </w:r>
      <w:r>
        <w:t xml:space="preserve"> (demi-vie longue ~75 h, mais récupération immunitaire et gamétogénèse lentes).</w:t>
      </w:r>
    </w:p>
    <w:p>
      <w:pPr>
        <w:pStyle w:val="ListBullet"/>
      </w:pPr>
      <w:r/>
      <w:r>
        <w:rPr>
          <w:b/>
        </w:rPr>
        <w:t>β-hCG pré-thérapeutique obligatoire</w:t>
      </w:r>
      <w:r>
        <w:t xml:space="preserve"> avant chaque cure.</w:t>
      </w:r>
    </w:p>
    <w:p>
      <w:pPr>
        <w:pStyle w:val="ListBullet"/>
      </w:pPr>
      <w:r>
        <w:t xml:space="preserve">En cas de </w:t>
      </w:r>
      <w:r>
        <w:rPr>
          <w:b/>
        </w:rPr>
        <w:t>grossesse sous mitoxantrone</w:t>
      </w:r>
      <w:r>
        <w:t xml:space="preserve"> : arrêt immédiat, information claire du risque malformatif, surveillance échographique rapprochée, discussion IMG selon contexte.</w:t>
      </w:r>
    </w:p>
    <w:p>
      <w:pPr>
        <w:pStyle w:val="ListBullet"/>
      </w:pPr>
      <w:r>
        <w:t>Chez l'homme : conservation de sperme préalable à discuter (risque d'azoospermie définitive), contraception pendant 6 mois après l'arrêt.</w:t>
      </w:r>
    </w:p>
    <w:p>
      <w:pPr>
        <w:pStyle w:val="ListBullet"/>
      </w:pPr>
      <w:r/>
      <w:r>
        <w:rPr>
          <w:b/>
        </w:rPr>
        <w:t>Allaitement</w:t>
      </w:r>
      <w:r>
        <w:t xml:space="preserve"> : contre-indication </w:t>
      </w:r>
      <w:r>
        <w:rPr>
          <w:b/>
        </w:rPr>
        <w:t>formelle</w:t>
      </w:r>
      <w:r>
        <w:t xml:space="preserve"> — passage dans le lait maternel, immunosuppression du nourrisson.</w:t>
      </w:r>
    </w:p>
    <w:p>
      <w:pPr>
        <w:pStyle w:val="ListBullet"/>
      </w:pPr>
      <w:r/>
      <w:r>
        <w:rPr>
          <w:b/>
        </w:rPr>
        <w:t>Précisions</w:t>
      </w:r>
      <w:r>
        <w:t xml:space="preserve"> : la mitoxantrone est l'un des traitements de fond de la SEP les plus problématiques chez la femme en âge de procréer, en raison de sa tératogénicité et de son risque d'aménorrhée définitive. Préférence pour IFNβ ou glatiramer chez ces patientes, ou switch vers haute efficacité non tératogène (ocrélizumab, natalizumab si JCV-négatif) avec wash-out approprié avant conception.</w:t>
      </w:r>
    </w:p>
    <w:p>
      <w:r/>
      <w:r>
        <w:rPr>
          <w:b/>
        </w:rPr>
        <w:t>Posologie et Mode d'administration (Standard) :</w:t>
      </w:r>
      <w:r/>
    </w:p>
    <w:p>
      <w:pPr>
        <w:pStyle w:val="ListBullet"/>
      </w:pPr>
      <w:r/>
      <w:r>
        <w:rPr>
          <w:b/>
        </w:rPr>
        <w:t>Adulte</w:t>
      </w:r>
      <w:r>
        <w:t xml:space="preserve"> :</w:t>
      </w:r>
    </w:p>
    <w:p>
      <w:pPr>
        <w:pStyle w:val="ListBullet"/>
      </w:pPr>
      <w:r/>
      <w:r>
        <w:rPr>
          <w:b/>
        </w:rPr>
        <w:t>Schéma d'induction</w:t>
      </w:r>
      <w:r>
        <w:t xml:space="preserve"> : 12 mg/m² IV toutes les 3 semaines (à J1, J22, J43), soit 3 cures d'induction.</w:t>
      </w:r>
    </w:p>
    <w:p>
      <w:pPr>
        <w:pStyle w:val="ListBullet"/>
      </w:pPr>
      <w:r/>
      <w:r>
        <w:rPr>
          <w:b/>
        </w:rPr>
        <w:t>Schéma d'entretien</w:t>
      </w:r>
      <w:r>
        <w:t xml:space="preserve"> : 12 mg/m² IV toutes les 12 semaines (tous les 3 mois) en entretien, jusqu'à atteinte de la dose maximale cumulative.</w:t>
      </w:r>
    </w:p>
    <w:p>
      <w:pPr>
        <w:pStyle w:val="ListBullet"/>
      </w:pPr>
      <w:r/>
      <w:r>
        <w:rPr>
          <w:b/>
        </w:rPr>
        <w:t>Mode d'administration</w:t>
      </w:r>
      <w:r>
        <w:t xml:space="preserve"> : perfusion IV stricte en milieu hospitalier spécialisé (oncologie ou neurologie hospitalière). Dilution dans 100 mL NaCl 0,9 % ou G5%, perfusion sur 15-30 minutes. Voie veineuse centrale (chamber implantable type Port-a-Cath) recommandée (la mitoxantrone est vésicante — risque de nécrose en cas d'extravasation). Surveillance continue pendant la perfusion.</w:t>
      </w:r>
    </w:p>
    <w:p>
      <w:pPr>
        <w:pStyle w:val="ListBullet"/>
      </w:pPr>
      <w:r/>
      <w:r>
        <w:rPr>
          <w:b/>
        </w:rPr>
        <w:t>Pas d'adaptation posologique</w:t>
      </w:r>
      <w:r>
        <w:t xml:space="preserve"> selon âge, mais contre-indication en cas d'insuffisance hépatique sévère et rénale sévère.</w:t>
      </w:r>
    </w:p>
    <w:p>
      <w:pPr>
        <w:pStyle w:val="ListBullet"/>
      </w:pPr>
      <w:r/>
      <w:r>
        <w:rPr>
          <w:b/>
        </w:rPr>
        <w:t>Sujet âgé</w:t>
      </w:r>
      <w:r>
        <w:t xml:space="preserve"> : pas d'adaptation posologique systématique, mais évaluation cardiovasculaire préalable stricte (ETT) indispensable, surveillance hépatique et rénale renforcée.</w:t>
      </w:r>
    </w:p>
    <w:p>
      <w:pPr>
        <w:pStyle w:val="ListBullet"/>
      </w:pPr>
      <w:r/>
      <w:r>
        <w:rPr>
          <w:b/>
        </w:rPr>
        <w:t>Durée</w:t>
      </w:r>
      <w:r>
        <w:t xml:space="preserve"> : traitement limité par la dose cumulative maximale (140 mg/m²). En pratique, schéma d'induction de 3 cures (à 1 mois) puis entretien trimestriel jusqu'à dose max (~9-12 cures sur 2-3 ans). Arrêt définitif à 140 mg/m² ou à la survenue d'une toxicité (FEVG &lt; 50 %, LAM).</w:t>
      </w:r>
    </w:p>
    <w:p>
      <w:pPr>
        <w:pStyle w:val="ListBullet"/>
      </w:pPr>
      <w:r/>
      <w:r>
        <w:rPr>
          <w:b/>
        </w:rPr>
        <w:t>Moment de prise</w:t>
      </w:r>
      <w:r>
        <w:t xml:space="preserve"> : selon calendrier hospitalier (cure J1, J22, J43 d'induction puis trimestriel).</w:t>
      </w:r>
    </w:p>
    <w:p>
      <w:r/>
      <w:r>
        <w:rPr>
          <w:b/>
        </w:rPr>
        <w:t>Arbitrage et Bénéfices des Formes Galéniques :</w:t>
      </w:r>
      <w:r/>
    </w:p>
    <w:p>
      <w:pPr>
        <w:pStyle w:val="ListBullet"/>
      </w:pPr>
      <w:r/>
      <w:r>
        <w:rPr>
          <w:b/>
        </w:rPr>
        <w:t>Solution injectable IV (NOVANTRONE 10 mg/5 mL, 20 mg/10 mL ; MITOXANTRON EBEWE 20 mg/10 mL)</w:t>
      </w:r>
      <w:r>
        <w:t xml:space="preserve"> : formulation unique, manipulation PUI hospitalière, dilution obligatoire avant perfusion. Volume variable selon dosage (5 ou 10 mL), facilitant l'adaptation à la dose calculée en mg/m².</w:t>
      </w:r>
    </w:p>
    <w:p>
      <w:pPr>
        <w:pStyle w:val="ListBullet"/>
      </w:pPr>
      <w:r/>
      <w:r>
        <w:rPr>
          <w:b/>
        </w:rPr>
        <w:t>Forme IV vs alternative</w:t>
      </w:r>
      <w:r>
        <w:t xml:space="preserve"> : pas d'alternative (la mitoxantrone est exclusivement IV). La perfusion impose une administration hospitalière.</w:t>
      </w:r>
    </w:p>
    <w:p>
      <w:pPr>
        <w:pStyle w:val="ListBullet"/>
      </w:pPr>
      <w:r/>
      <w:r>
        <w:rPr>
          <w:b/>
        </w:rPr>
        <w:t>Chaîne du froid</w:t>
      </w:r>
      <w:r>
        <w:t xml:space="preserve"> : conservation à température ambiante (≤ 25 °C), dans l'emballage extérieur (protection lumière). Pas de congélation. Dilution juste avant perfusion, utilisation immédiate.</w:t>
      </w:r>
    </w:p>
    <w:p>
      <w:r/>
      <w:r>
        <w:rPr>
          <w:b/>
        </w:rPr>
        <w:t>Instructions et Conseils au Patient :</w:t>
      </w:r>
      <w:r/>
    </w:p>
    <w:p>
      <w:pPr>
        <w:pStyle w:val="ListBullet"/>
      </w:pPr>
      <w:r/>
      <w:r>
        <w:rPr>
          <w:b/>
        </w:rPr>
        <w:t>Communication au comptoir</w:t>
      </w:r>
      <w:r>
        <w:t xml:space="preserve"> :</w:t>
      </w:r>
    </w:p>
    <w:p>
      <w:pPr>
        <w:pStyle w:val="ListBullet"/>
      </w:pPr>
      <w:r>
        <w:t>"Ce traitement est un immunosuppresseur puissant, réservé aux formes très sévères de SEP résistantes aux autres traitements. Il se perfuse à l'hôpital toutes les 3 semaines en induction, puis tous les 3 mois en entretien."</w:t>
      </w:r>
    </w:p>
    <w:p>
      <w:pPr>
        <w:pStyle w:val="ListBullet"/>
      </w:pPr>
      <w:r>
        <w:t>"Le traitement expose à deux effets indésirables graves : une toxicité cardiaque (surveillance échographique avant chaque cure) et un risque de leucémie secondaire (surveillance prise de sang à long terme). Ces risques augmentent avec la dose totale reçue — c'est pourquoi le traitement est limité à une dose maximale cumulative."</w:t>
      </w:r>
    </w:p>
    <w:p>
      <w:pPr>
        <w:pStyle w:val="ListBullet"/>
      </w:pPr>
      <w:r>
        <w:t>"Signalez immédiatement à votre neurologue tout symptôme cardiaque (essoufflement, œdèmes des jambes, fatigue inhabituelle, palpitations) ou anomalie de la prise de sang (baisse des globules blancs, plaquettes)."</w:t>
      </w:r>
    </w:p>
    <w:p>
      <w:pPr>
        <w:pStyle w:val="ListBullet"/>
      </w:pPr>
      <w:r>
        <w:t>"Contraception obligatoire chez la femme en âge de procréer pendant et 6 mois après l'arrêt — ce traitement est tératogène."</w:t>
      </w:r>
    </w:p>
    <w:p>
      <w:pPr>
        <w:pStyle w:val="ListBullet"/>
      </w:pPr>
      <w:r>
        <w:t>"Ne jamais manquer une surveillance échographique ou prise de sang prescrite."</w:t>
      </w:r>
    </w:p>
    <w:p>
      <w:pPr>
        <w:pStyle w:val="ListBullet"/>
      </w:pPr>
      <w:r/>
      <w:r>
        <w:rPr>
          <w:b/>
        </w:rPr>
        <w:t>Mode d'utilisation pratique</w:t>
      </w:r>
      <w:r>
        <w:t xml:space="preserve"> : perfusion IV hospitalière. Tenir un carnet de traitement (dates de cures, doses reçues, dose cumulative). Surveillance à long terme après l'arrêt (ETT 6-12 mois, NFS à vie).</w:t>
      </w:r>
    </w:p>
    <w:p>
      <w:r/>
      <w:r>
        <w:rPr>
          <w:b/>
        </w:rPr>
        <w:t>Notes, Règles d'Or &amp; Pièges au Comptoir :</w:t>
      </w:r>
      <w:r/>
    </w:p>
    <w:p>
      <w:pPr>
        <w:pStyle w:val="ListBullet"/>
      </w:pPr>
      <w:r/>
      <w:r>
        <w:rPr>
          <w:b/>
        </w:rPr>
        <w:t>Piège classique cardiotoxicité cumulative</w:t>
      </w:r>
      <w:r>
        <w:t xml:space="preserve"> : surveillance ETT systématique avant chaque cure (FEVG &gt; 50 % obligatoire). Tenir un registre de la dose cumulative reçue. Arrêt définitif à 140 mg/m². Surveillance ETT à vie après l'arrêt (risque d'apparition tardive d'une cardiomyopathie).</w:t>
      </w:r>
    </w:p>
    <w:p>
      <w:pPr>
        <w:pStyle w:val="ListBullet"/>
      </w:pPr>
      <w:r/>
      <w:r>
        <w:rPr>
          <w:b/>
        </w:rPr>
        <w:t>Piège LAM secondaire</w:t>
      </w:r>
      <w:r>
        <w:t xml:space="preserve"> : surveillance NFS à vie après l'arrêt (cytopénie persistante, blastes circulants = suspicion LAM, hémogramme + myélogramme).</w:t>
      </w:r>
    </w:p>
    <w:p>
      <w:pPr>
        <w:pStyle w:val="ListBullet"/>
      </w:pPr>
      <w:r/>
      <w:r>
        <w:rPr>
          <w:b/>
        </w:rPr>
        <w:t>Piège non-disponibilité en Algérie</w:t>
      </w:r>
      <w:r>
        <w:t xml:space="preserve"> : la mitoxantrone n'est pratiquement plus disponible en Algérie (statut NON RENOUVELABLE). En cas de prescription exceptionnelle, orientation vers une PUI hospitalière spécialisée, procédure ATU d'importation exceptionnelle si nécessaire. Informer le patient de la rareté du produit.</w:t>
      </w:r>
    </w:p>
    <w:p>
      <w:pPr>
        <w:pStyle w:val="ListBullet"/>
      </w:pPr>
      <w:r/>
      <w:r>
        <w:rPr>
          <w:b/>
        </w:rPr>
        <w:t>Piège extravasation</w:t>
      </w:r>
      <w:r>
        <w:t xml:space="preserve"> : la mitoxantrone est vésicante — toute extravasation accidentelle expose à une nécrose tissulaire grave. Voie veineuse centrale recommandée (chamber implantable).</w:t>
      </w:r>
    </w:p>
    <w:p>
      <w:pPr>
        <w:pStyle w:val="ListBullet"/>
      </w:pPr>
      <w:r/>
      <w:r>
        <w:rPr>
          <w:b/>
        </w:rPr>
        <w:t>Piège aménorrhée / infertilité</w:t>
      </w:r>
      <w:r>
        <w:t xml:space="preserve"> : chez la femme &gt; 35 ans, risque d'aménorrhée définitive. Chez l'homme jeune, conservation de sperme préalable à discuter.</w:t>
      </w:r>
    </w:p>
    <w:p>
      <w:pPr>
        <w:pStyle w:val="ListBullet"/>
      </w:pPr>
      <w:r/>
      <w:r>
        <w:rPr>
          <w:b/>
        </w:rPr>
        <w:t>Règle de prise</w:t>
      </w:r>
      <w:r>
        <w:t xml:space="preserve"> : selon calendrier hospitalier strict (J1, J22, J43 induction puis trimestriel).</w:t>
      </w:r>
    </w:p>
    <w:p>
      <w:pPr>
        <w:pStyle w:val="ListBullet"/>
      </w:pPr>
      <w:r/>
      <w:r>
        <w:rPr>
          <w:b/>
        </w:rPr>
        <w:t>Préparation et Conservation</w:t>
      </w:r>
      <w:r>
        <w:t xml:space="preserve"> : conservation à température ambiante (≤ 25 °C), dans l'emballage extérieur (protection lumière). Dilution juste avant perfusion, utilisation immédiate.</w:t>
      </w:r>
    </w:p>
    <w:p>
      <w:pPr>
        <w:pStyle w:val="ListBullet"/>
      </w:pPr>
      <w:r/>
      <w:r>
        <w:rPr>
          <w:b/>
        </w:rPr>
        <w:t>Piège du surdosage / Substitution</w:t>
      </w:r>
      <w:r>
        <w:t xml:space="preserve"> : pas de substitution possible (pas de biosimilaire disponible). Pas de surdosage décrit (marge thérapeutique étroite, surveillance cumulative stricte). En cas de surdosage accidentel, surveillance hospitalière 24-48 h (myélosuppression majorée, surveillance NFS, traitement symptomatique — G-CSF si neutropénie sévère).</w:t>
      </w:r>
    </w:p>
    <w:p>
      <w:pPr>
        <w:pStyle w:val="Heading2"/>
      </w:pPr>
      <w:r>
        <w:t>93.7 — Sous-classe : SEP — Anti-CD20 (Ocrélizumab, Rituximab)</w:t>
      </w:r>
    </w:p>
    <w:p>
      <w:pPr>
        <w:pStyle w:val="Heading3"/>
      </w:pPr>
      <w:r>
        <w:t>Introduction à la sous-classe</w:t>
      </w:r>
    </w:p>
    <w:p>
      <w:r>
        <w:t xml:space="preserve">Les </w:t>
      </w:r>
      <w:r>
        <w:rPr>
          <w:b/>
        </w:rPr>
        <w:t>anti-CD20</w:t>
      </w:r>
      <w:r>
        <w:t xml:space="preserve"> représentent la classe thérapeutique la plus récente et la plus prometteuse des traitements de fond de la sclérose en plaques. Le ciblage thérapeutique des lymphocytes B — longtemps négligé au profit des lymphocytes T — s'est imposé à partir des années 2010-2020 comme une révolution conceptuelle dans la compréhension physiopathologique de la SEP. La démonstration de l'</w:t>
      </w:r>
      <w:r>
        <w:rPr>
          <w:b/>
        </w:rPr>
        <w:t>efficacité spectaculaire de l'ocrélizumab dans la SEP progressive primaire (SEP-PP)</w:t>
      </w:r>
      <w:r>
        <w:t xml:space="preserve"> (essai ORATORIO 2017) — première biothérapie jamais démontrée efficace dans cette forme clinique jusqu'alors orpheline de tout traitement modificateur — a marqué un tournant historique. L'arrivée des anti-CD20 a profondément modifié l'algorithme thérapeutique de la SEP, avec une tendance au </w:t>
      </w:r>
      <w:r>
        <w:rPr>
          <w:b/>
        </w:rPr>
        <w:t>switch précoce vers la haute efficacité</w:t>
      </w:r>
      <w:r>
        <w:t xml:space="preserve"> chez les patients à maladie active.</w:t>
      </w:r>
    </w:p>
    <w:p>
      <w:r/>
      <w:r>
        <w:rPr>
          <w:b/>
        </w:rPr>
        <w:t>Nature biochimique</w:t>
      </w:r>
      <w:r>
        <w:t xml:space="preserve"> : les anti-CD20 sont des </w:t>
      </w:r>
      <w:r>
        <w:rPr>
          <w:b/>
        </w:rPr>
        <w:t>anticorps monoclonaux ciblant l'antigène CD20</w:t>
      </w:r>
      <w:r>
        <w:t xml:space="preserve"> — une phosphoprotéine transmembranaire de 33-37 kDa exprimée à la surface des lymphocytes B pré-B matures jusqu'au stade B mémoire, mais </w:t>
      </w:r>
      <w:r>
        <w:rPr>
          <w:b/>
        </w:rPr>
        <w:t>absente des cellules souches hématopoïétiques, des pro-B et des plasmocytes matures</w:t>
      </w:r>
      <w:r>
        <w:t xml:space="preserve"> (cellules productrices d'anticorps). Cette spécificité d'expression permet de </w:t>
      </w:r>
      <w:r>
        <w:rPr>
          <w:b/>
        </w:rPr>
        <w:t>dépléter sélectivement les lymphocytes B CD20+ périphériques</w:t>
      </w:r>
      <w:r>
        <w:t xml:space="preserve"> tout en préservant les plasmocytes (et donc la production d'anticorps existante, l'immunité humorale acquise), et de permettre la </w:t>
      </w:r>
      <w:r>
        <w:rPr>
          <w:b/>
        </w:rPr>
        <w:t>repopulation lymphocytaire B</w:t>
      </w:r>
      <w:r>
        <w:t xml:space="preserve"> à partir des cellules souches médullaires après l'arrêt du traitement.</w:t>
      </w:r>
    </w:p>
    <w:p>
      <w:r>
        <w:t>Deux molécules sont utilisées dans la SEP :</w:t>
      </w:r>
    </w:p>
    <w:p>
      <w:pPr>
        <w:pStyle w:val="ListBullet"/>
      </w:pPr>
      <w:r/>
      <w:r>
        <w:rPr>
          <w:b/>
        </w:rPr>
        <w:t>Ocrélizumab</w:t>
      </w:r>
      <w:r>
        <w:t xml:space="preserve"> (OCREVUS, Roche) — anticorps monoclonal </w:t>
      </w:r>
      <w:r>
        <w:rPr>
          <w:b/>
        </w:rPr>
        <w:t>humanisé IgG1</w:t>
      </w:r>
      <w:r>
        <w:t xml:space="preserve"> anti-CD20, AMM dans SEP-RR et SEP-PP (2017). Posologie : 600 mg IV tous les 6 mois (après induction 300 mg J1-J15).</w:t>
      </w:r>
    </w:p>
    <w:p>
      <w:pPr>
        <w:pStyle w:val="ListBullet"/>
      </w:pPr>
      <w:r/>
      <w:r>
        <w:rPr>
          <w:b/>
        </w:rPr>
        <w:t>Rituximab</w:t>
      </w:r>
      <w:r>
        <w:t xml:space="preserve"> (MABTHERA, Roche, et biosimilaires) — anticorps monoclonal </w:t>
      </w:r>
      <w:r>
        <w:rPr>
          <w:b/>
        </w:rPr>
        <w:t>chimérique IgG1κ</w:t>
      </w:r>
      <w:r>
        <w:t xml:space="preserve"> (partie variable murine, partie constante humaine) anti-CD20, initialement développé en oncologie (lymphomes non-hodgkiniens B) et dans la polyarthrite rhumatoïde. </w:t>
      </w:r>
      <w:r>
        <w:rPr>
          <w:b/>
        </w:rPr>
        <w:t>Usage hors AMM dans la SEP</w:t>
      </w:r>
      <w:r>
        <w:t xml:space="preserve"> — mais largement utilisé en pratique, notamment dans les pays où l'ocrélizumab n'est pas disponible ou en alternative économique (rituximab moins coûteux). Posologie SEP (hors AMM) : 1000 mg IV à J1 et J15, puis 1000 mg tous les 6 mois.</w:t>
      </w:r>
    </w:p>
    <w:p>
      <w:r/>
      <w:r>
        <w:rPr>
          <w:b/>
        </w:rPr>
        <w:t>Justification physiopathologique</w:t>
      </w:r>
      <w:r>
        <w:t xml:space="preserve"> : les lymphocytes B jouent un rôle central dans la physiopathologie de la SEP, longtemps sous-estimé au profit des lymphocytes T. Plusieurs mécanismes :</w:t>
      </w:r>
    </w:p>
    <w:p>
      <w:pPr>
        <w:pStyle w:val="ListBullet"/>
      </w:pPr>
      <w:r/>
      <w:r>
        <w:rPr>
          <w:b/>
        </w:rPr>
        <w:t>Présentation antigénique aux lymphocytes T</w:t>
      </w:r>
      <w:r>
        <w:t xml:space="preserve"> : les lymphocytes B (CD20+, mais aussi les plasmocytes) agissent comme cellules présentatrices d'antigène (CPA) et présentent les autoantigènes de la myéline (MBP, PLP, MOG) aux lymphocytes T CD4+ auto-immuns, activant ainsi la réponse immune autoimmune.</w:t>
      </w:r>
    </w:p>
    <w:p>
      <w:pPr>
        <w:pStyle w:val="ListBullet"/>
      </w:pPr>
      <w:r/>
      <w:r>
        <w:rPr>
          <w:b/>
        </w:rPr>
        <w:t>Production d'auto-anticorps</w:t>
      </w:r>
      <w:r>
        <w:t xml:space="preserve"> : les lymphocytes B peuvent se différencier en plasmocytes sécréteurs d'auto-anticorps anti-myéline (anti-MBP, anti-MOG, anti-KIR4.1 — cible antigénique décrite dans certaines formes de SEP). Ces auto-anticorps contribuent à la démyélinisation anticorps-dépendante (ADCC) et à l'activation du complément.</w:t>
      </w:r>
    </w:p>
    <w:p>
      <w:pPr>
        <w:pStyle w:val="ListBullet"/>
      </w:pPr>
      <w:r/>
      <w:r>
        <w:rPr>
          <w:b/>
        </w:rPr>
        <w:t>Production de cytokines pro-inflammatoires</w:t>
      </w:r>
      <w:r>
        <w:t xml:space="preserve"> : les lymphocytes B activés sécrètent IL-6, TNFα, LTα, GM-CSF — cytokines amplifiant l'inflammation autoimmune et activant les lymphocytes T et macrophages.</w:t>
      </w:r>
    </w:p>
    <w:p>
      <w:pPr>
        <w:pStyle w:val="ListBullet"/>
      </w:pPr>
      <w:r/>
      <w:r>
        <w:rPr>
          <w:b/>
        </w:rPr>
        <w:t>Formation de follicules lymphoïdes ectopiques</w:t>
      </w:r>
      <w:r>
        <w:t xml:space="preserve"> dans les méningées cérébrales — observés dans les formes progressives de SEP, suggérant un rôle des lymphocytes B dans l'entretien chronique de l'inflammation.</w:t>
      </w:r>
    </w:p>
    <w:p>
      <w:pPr>
        <w:pStyle w:val="ListBullet"/>
      </w:pPr>
      <w:r/>
      <w:r>
        <w:rPr>
          <w:b/>
        </w:rPr>
        <w:t>Cibles thérapeutiques spécifiques</w:t>
      </w:r>
      <w:r>
        <w:t xml:space="preserve"> : la déplétion sélective des lymphocytes B CD20+ (sans affecter les plasmocytes matures) permet de réduire la présentation antigénique aux lymphocytes T, de réduire la production de cytokines pro-inflammatoires, et de réduire la production d'auto-anticorps — sans compromettre gravement l'immunité humorale acquise (les plasmocytes existants continuent à produire les anticorps préexistants, permettant le maintien de la protection vaccinale et de l'immunité anti-infectieuse acquise).</w:t>
      </w:r>
    </w:p>
    <w:p>
      <w:r/>
      <w:r>
        <w:rPr>
          <w:b/>
        </w:rPr>
        <w:t>Mécanisme d'action des anti-CD20</w:t>
      </w:r>
      <w:r>
        <w:t xml:space="preserve"> :</w:t>
      </w:r>
    </w:p>
    <w:p>
      <w:pPr>
        <w:pStyle w:val="ListBullet"/>
      </w:pPr>
      <w:r/>
      <w:r>
        <w:rPr>
          <w:b/>
        </w:rPr>
        <w:t>ADCC (Antibody-Dependent Cellular Cytotoxicity)</w:t>
      </w:r>
      <w:r>
        <w:t xml:space="preserve"> — la partie Fc de l'anticorps anti-CD20 se lie au récepteur FcγRIIIa (CD16) des cellules Natural Killer (NK) et des macrophages, qui exercent une cytotoxicité directe contre les lymphocytes B CD20+ cibles.</w:t>
      </w:r>
    </w:p>
    <w:p>
      <w:pPr>
        <w:pStyle w:val="ListBullet"/>
      </w:pPr>
      <w:r/>
      <w:r>
        <w:rPr>
          <w:b/>
        </w:rPr>
        <w:t>CDC (Complement-Dependent Cytotoxicity)</w:t>
      </w:r>
      <w:r>
        <w:t xml:space="preserve"> — la partie Fc active le complément (C1q → C4/C2 → C3 convertase → C3b → complexe d'attaque membranaire C5b-9 → lyse osmotique des lymphocytes B).</w:t>
      </w:r>
    </w:p>
    <w:p>
      <w:pPr>
        <w:pStyle w:val="ListBullet"/>
      </w:pPr>
      <w:r/>
      <w:r>
        <w:rPr>
          <w:b/>
        </w:rPr>
        <w:t>Apoptose</w:t>
      </w:r>
      <w:r>
        <w:t xml:space="preserve"> — la liaison du CD20 peut induire directement l'apoptose des lymphocytes B via activation des caspases (effet moindre que ADCC et CDC).</w:t>
      </w:r>
    </w:p>
    <w:p>
      <w:r>
        <w:t xml:space="preserve">L'ocrélizumab, anticorps humanisé IgG1, a une </w:t>
      </w:r>
      <w:r>
        <w:rPr>
          <w:b/>
        </w:rPr>
        <w:t>affinité plus élevée pour CD20 que le rituximab</w:t>
      </w:r>
      <w:r>
        <w:t xml:space="preserve"> (Kd ~0,4 nM vs ~3,5 nM) et une ADCC plus puissante (sur cellules NK activées). Le rituximab, chimérique, est plus immunogène (anticorps anti-chimérique HACA — Human Anti-Chimeric Antibody — chez 5-10 % des patients, entraînant perte d'efficacité et réactions à la perfusion).</w:t>
      </w:r>
    </w:p>
    <w:p>
      <w:r/>
      <w:r>
        <w:rPr>
          <w:b/>
        </w:rPr>
        <w:t>Efficacité</w:t>
      </w:r>
      <w:r>
        <w:t xml:space="preserve"> :</w:t>
      </w:r>
    </w:p>
    <w:p>
      <w:pPr>
        <w:pStyle w:val="ListBullet"/>
      </w:pPr>
      <w:r/>
      <w:r>
        <w:rPr>
          <w:b/>
        </w:rPr>
        <w:t>Ocrélizumab dans SEP-RR</w:t>
      </w:r>
      <w:r>
        <w:t xml:space="preserve"> (essai OPERA I/II 2017) : réduction de la fréquence des poussées de ~46 % vs IFNβ-1a, réduction de l'activité IRM (hypersignaux T2 nouveaux) de ~77-83 %, ralentissement de la progression du handicap de ~40 %. Efficacité supérieure à l'IFNβ-1a.</w:t>
      </w:r>
    </w:p>
    <w:p>
      <w:pPr>
        <w:pStyle w:val="ListBullet"/>
      </w:pPr>
      <w:r/>
      <w:r>
        <w:rPr>
          <w:b/>
        </w:rPr>
        <w:t>Ocrélizumab dans SEP-PP</w:t>
      </w:r>
      <w:r>
        <w:t xml:space="preserve"> (essai ORATORIO 2017) : réduction de la progression du handicap confirmée à 12 semaines de ~24 % vs placebo — première biothérapie jamais démontrée efficace dans SEP-PP. Efficacité modeste mais réelle dans une forme jusqu'alors orpheline de tout traitement modificateur.</w:t>
      </w:r>
    </w:p>
    <w:p>
      <w:pPr>
        <w:pStyle w:val="ListBullet"/>
      </w:pPr>
      <w:r/>
      <w:r>
        <w:rPr>
          <w:b/>
        </w:rPr>
        <w:t>Rituximab dans SEP-RR</w:t>
      </w:r>
      <w:r>
        <w:t xml:space="preserve"> (essai HERMES 2008 — usage hors AMM) : réduction de la fréquence des poussées de ~50 % vs placebo, ralentissement de la progression du handicap. Efficacité comparable à celle de l'ocrélizumab, mais données d'AMM limitées (usage hors AMM).</w:t>
      </w:r>
    </w:p>
    <w:p>
      <w:r/>
      <w:r>
        <w:rPr>
          <w:b/>
        </w:rPr>
        <w:t>Effets indésirables spécifiques anti-CD20</w:t>
      </w:r>
      <w:r>
        <w:t xml:space="preserve"> :</w:t>
      </w:r>
    </w:p>
    <w:p>
      <w:pPr>
        <w:pStyle w:val="ListBullet"/>
      </w:pPr>
      <w:r/>
      <w:r>
        <w:rPr>
          <w:b/>
        </w:rPr>
        <w:t>Réactions à la perfusion</w:t>
      </w:r>
      <w:r>
        <w:t xml:space="preserve"> (30-40 % des patients au moins une fois, surtout à la première perfusion) : fièvre, frissons, prurit, urticaire, dyspnée, hypotension, plus rarement choc anaphylactique. Mécanisme : libération massive de cytokines (TNFα, IL-6, IFNγ) par les lymphocytes B en cours de lyse (cytokine release syndrome). Prévention : prémédication par antihistaminique H1 (dexchlorphéniramine 5 mg IV) + corticothérapie (méthylprednisolone 100 mg IV) + antipyrétique (paracétamol 1 g) 30 min avant la perfusion. Surveillance continue pendant et 1-2 h après.</w:t>
      </w:r>
    </w:p>
    <w:p>
      <w:pPr>
        <w:pStyle w:val="ListBullet"/>
      </w:pPr>
      <w:r/>
      <w:r>
        <w:rPr>
          <w:b/>
        </w:rPr>
        <w:t>Infections</w:t>
      </w:r>
      <w:r>
        <w:t xml:space="preserve"> : augmentation modeste vs comparateur (40-50 % vs 30-40 %), surtout infections ORL, urinaires, grippales, herpétiques. Infections graves 1-2 %. Prévention : dépistage VHB (réactivation), VHC, tuberculose, statut vaccinal avant initiation.</w:t>
      </w:r>
    </w:p>
    <w:p>
      <w:pPr>
        <w:pStyle w:val="ListBullet"/>
      </w:pPr>
      <w:r/>
      <w:r>
        <w:rPr>
          <w:b/>
        </w:rPr>
        <w:t>Réactivation hépatite B</w:t>
      </w:r>
      <w:r>
        <w:t xml:space="preserve"> — risque majeur chez les patients porteurs chroniques ou antécédents VHB (AgHBs+ ou Ac anti-HBc+). La réactivation peut être fulminante et fatale. Prévention : dépistage systématique AgHBs + Ac anti-HBc + Ac anti-HBs pré-thérapeutique obligatoire ; prophylaxie antivirale (entécavir 0,5 mg/j ou ténofovir 245 mg/j) pendant et 12 mois après l'arrêt chez les porteurs AgHBs+ ou Ac anti-HBc+.</w:t>
      </w:r>
    </w:p>
    <w:p>
      <w:pPr>
        <w:pStyle w:val="ListBullet"/>
      </w:pPr>
      <w:r/>
      <w:r>
        <w:rPr>
          <w:b/>
        </w:rPr>
        <w:t>PML (Leucoencéphalopathie Multifocale Progressive)</w:t>
      </w:r>
      <w:r>
        <w:t xml:space="preserve"> — signal possible avec le rituximab (dans la polyarthrite rhumatoïde et les hémopathies — incidence très faible ~0,02-0,1 %), cas exceptionnels sous ocrélizumab. Mécanisme : immunosuppression chronique lymphocytaire B permettant la réactivation du virus JCV dans le SNC.</w:t>
      </w:r>
    </w:p>
    <w:p>
      <w:pPr>
        <w:pStyle w:val="ListBullet"/>
      </w:pPr>
      <w:r/>
      <w:r>
        <w:rPr>
          <w:b/>
        </w:rPr>
        <w:t>Cytopénies</w:t>
      </w:r>
      <w:r>
        <w:t xml:space="preserve"> — thrombopénie transitoire, neutropénie tardive (3-6 mois après perfusion).</w:t>
      </w:r>
    </w:p>
    <w:p>
      <w:pPr>
        <w:pStyle w:val="ListBullet"/>
      </w:pPr>
      <w:r/>
      <w:r>
        <w:rPr>
          <w:b/>
        </w:rPr>
        <w:t>Immunogénicité (rituximab)</w:t>
      </w:r>
      <w:r>
        <w:t xml:space="preserve"> — anticorps HACA (Human Anti-Chimeric Antibody) chez 5-10 % des patients, associés à une perte d'efficacité et à un risque accru de réactions à la perfusion. Détection par dosage Ac anti-rituximab en cas d'inefficacité ou de réactions.</w:t>
      </w:r>
    </w:p>
    <w:p>
      <w:pPr>
        <w:pStyle w:val="ListBullet"/>
      </w:pPr>
      <w:r/>
      <w:r>
        <w:rPr>
          <w:b/>
        </w:rPr>
        <w:t>Hypogammaglobulinémie</w:t>
      </w:r>
      <w:r>
        <w:t xml:space="preserve"> — baisse progressive des IgG, IgM, IgA à long terme (effet attendu — déplétion B répétée), augmentant le risque infectieux à long terme. Surveillance IgG semestrielle, arrêt ou espacement des cures si IgG &lt; 4-5 g/L.</w:t>
      </w:r>
    </w:p>
    <w:p>
      <w:pPr>
        <w:pStyle w:val="ListBullet"/>
      </w:pPr>
      <w:r/>
      <w:r>
        <w:rPr>
          <w:b/>
        </w:rPr>
        <w:t>Risque obstétrical</w:t>
      </w:r>
      <w:r>
        <w:t xml:space="preserve"> : IgG1 traversant le placenta (surtout 3e trimestre), cytopénie transitoire du nouveau-né (lymphopénie B) possible. À éviter pendant la grossesse si possible (selon CRAT, à évaluer cas par cas).</w:t>
      </w:r>
    </w:p>
    <w:p>
      <w:r/>
      <w:r>
        <w:rPr>
          <w:b/>
        </w:rPr>
        <w:t>Positionnement actuel</w:t>
      </w:r>
      <w:r>
        <w:t xml:space="preserve"> : les anti-CD20, en particulier l'ocrélizumab (AMM), sont devenus les </w:t>
      </w:r>
      <w:r>
        <w:rPr>
          <w:b/>
        </w:rPr>
        <w:t>biothérapies de référence de la SEP-RR active</w:t>
      </w:r>
      <w:r>
        <w:t xml:space="preserve"> et de la </w:t>
      </w:r>
      <w:r>
        <w:rPr>
          <w:b/>
        </w:rPr>
        <w:t>SEP-PP</w:t>
      </w:r>
      <w:r>
        <w:t xml:space="preserve"> (ocrélizumab uniquement). En cas de SEP-RR active d'emblée (≥2 poussées/an, IRM active), l'ocrélizumab est souvent proposé en première intention par les neurologues (haute efficacité précoce — early high-efficacy). En cas de SEP-PP active (progression + IRM active), l'ocrélizumab est le seul traitement de fond AMM. Le rituximab, moins coûteux et largement disponible (biosimilaires algériens : RITUXIMAB-SAIDAL, TRUXIMA Hikma), est utilisé hors AMM comme alternative économique à l'ocrélizumab, en particulier dans les pays à ressources limitées.</w:t>
      </w:r>
    </w:p>
    <w:p>
      <w:pPr>
        <w:pStyle w:val="Heading3"/>
      </w:pPr>
      <w:r>
        <w:t>7. DCI : Ocrélizumab (Seule)</w:t>
      </w:r>
    </w:p>
    <w:p>
      <w:r>
        <w:t>L'ocrélizumab, anticorps monoclonal humanisé IgG1 anti-CD20, est l'</w:t>
      </w:r>
      <w:r>
        <w:rPr>
          <w:b/>
        </w:rPr>
        <w:t>unique biothérapie disposant d'une AMM dans la SEP progressive primaire (SEP-PP)</w:t>
      </w:r>
      <w:r>
        <w:t xml:space="preserve">, forme clinique de la SEP jusqu'alors orpheline de tout traitement modificateur. Approuvé par la FDA et l'EMA en 2017 (essais OPERA I/II dans SEP-RR, ORATORIO dans SEP-PP), il a marqué un tournant dans la prise en charge de la maladie. Administré par voie intraveineuse à la dose de </w:t>
      </w:r>
      <w:r>
        <w:rPr>
          <w:b/>
        </w:rPr>
        <w:t>600 mg tous les 6 mois</w:t>
      </w:r>
      <w:r>
        <w:t xml:space="preserve"> (après induction 300 mg J1 et J15), il assure une </w:t>
      </w:r>
      <w:r>
        <w:rPr>
          <w:b/>
        </w:rPr>
        <w:t>déplétion sélective des lymphocytes B CD20+</w:t>
      </w:r>
      <w:r>
        <w:t xml:space="preserve"> par ADCC (cytotoxicité cellulaire anticorps-dépendante) et CDC (cytotoxicité dépendante du complément), tout en préservant les plasmocytes matures (et donc l'immunité humorale acquise). Son efficacité est supérieure à l'IFNβ-1a dans la SEP-RR (réduction des poussées de 46 %), et il ralentit significativement la progression du handicap dans la SEP-PP (réduction de 24 %). En Algérie, l'ocrélizumab est disponible sous le nom commercial </w:t>
      </w:r>
      <w:r>
        <w:rPr>
          <w:b/>
        </w:rPr>
        <w:t>OCREVUS</w:t>
      </w:r>
      <w:r>
        <w:t xml:space="preserve"> (Roche Pharma), prescription hospitalière spécialisée réservée.</w:t>
      </w:r>
    </w:p>
    <w:p>
      <w:r/>
      <w:r>
        <w:rPr>
          <w:b/>
        </w:rPr>
        <w:t>Liste des Catégories :</w:t>
      </w:r>
      <w:r>
        <w:t xml:space="preserve"> LISTE I — Biothérapie anticorps monoclonal anti-CD20 — traitement de fond de haute efficacité de la SEP-RR et SEP-PP.</w:t>
      </w:r>
    </w:p>
    <w:p>
      <w:r/>
      <w:r>
        <w:rPr>
          <w:b/>
        </w:rPr>
        <w:t>Médicaments disponibles en Algérie (Marques, Laboratoires, Formes et Dosages) :</w:t>
      </w:r>
      <w:r/>
    </w:p>
    <w:p>
      <w:pPr>
        <w:pStyle w:val="ListBullet"/>
      </w:pPr>
      <w:r/>
      <w:r>
        <w:rPr>
          <w:b/>
        </w:rPr>
        <w:t>OCREVUS</w:t>
      </w:r>
      <w:r>
        <w:t xml:space="preserve"> (ROCHE PHARMA (SCHWEIZ) LTD)</w:t>
      </w:r>
    </w:p>
    <w:p>
      <w:pPr>
        <w:pStyle w:val="ListBullet"/>
      </w:pPr>
      <w:r>
        <w:t>Formes et Dosages : Solution à diluer pour perfusion IV — 300 mg/10 mL (30 mg/mL) — Boîte de 1 flacon de 10 mL</w:t>
      </w:r>
    </w:p>
    <w:p>
      <w:pPr>
        <w:pStyle w:val="ListBullet"/>
      </w:pPr>
      <w:r>
        <w:t>Statut : Actif (Liste I) — princeps de référence, prescription hospitalière spécialisée</w:t>
      </w:r>
    </w:p>
    <w:p>
      <w:r/>
      <w:r>
        <w:rPr>
          <w:b/>
        </w:rPr>
        <w:t>Commentaire sur la disponibilité algérienne</w:t>
      </w:r>
      <w:r>
        <w:t xml:space="preserve"> : l'ocrélizumab est commercialisé en Algérie sous un nom de marque unique (</w:t>
      </w:r>
      <w:r>
        <w:rPr>
          <w:b/>
        </w:rPr>
        <w:t>OCREVUS</w:t>
      </w:r>
      <w:r>
        <w:t xml:space="preserve"> — Roche Pharma Suisse). Il n'existe pas de biosimilaire disponible à ce jour (l'ocrélizumab est un anticorps humanisé relativement récent, sans biosimilaire commercialisé mondialement). La prescription est </w:t>
      </w:r>
      <w:r>
        <w:rPr>
          <w:b/>
        </w:rPr>
        <w:t>réservée au milieu hospitalier spécialisé</w:t>
      </w:r>
      <w:r>
        <w:t xml:space="preserve"> (neurologue hospitalier, en pratique dans les CHU et services de neurologie spécialisés SEP). La délivrance se fait exclusivement par les pharmacies à usage intérieur (PUI) des établissements de santé, avec administration en day hospital de neurologie. Le pharmacien d'officine n'est généralement pas impliqué dans la délivrance directe de l'ocrélizumab, mais joue un rôle clé dans l'</w:t>
      </w:r>
      <w:r>
        <w:rPr>
          <w:b/>
        </w:rPr>
        <w:t>éducation thérapeutique du patient</w:t>
      </w:r>
      <w:r>
        <w:t xml:space="preserve"> (suivi, observance des rendez-vous de perfusion, reconnaissance des signes d'alerte infectieux), dans la </w:t>
      </w:r>
      <w:r>
        <w:rPr>
          <w:b/>
        </w:rPr>
        <w:t>coordination des soins</w:t>
      </w:r>
      <w:r>
        <w:t xml:space="preserve"> (prise en charge multidisciplinaire), et dans la </w:t>
      </w:r>
      <w:r>
        <w:rPr>
          <w:b/>
        </w:rPr>
        <w:t>gestion des interactions médicamenteuses</w:t>
      </w:r>
      <w:r>
        <w:t xml:space="preserve"> (médicaments associés pour les symptômes de la SEP). Le coût élevé de l'ocrélizumab (plus de 100 000 DA/flacon) en fait un traitement réservé aux patients disposant d'une couverture sociale ou d'un accès compassionate. Dans certains centres, le </w:t>
      </w:r>
      <w:r>
        <w:rPr>
          <w:b/>
        </w:rPr>
        <w:t>rituximab</w:t>
      </w:r>
      <w:r>
        <w:t xml:space="preserve"> (biosimilaires algériens moins coûteux — RITUXIMAB-SAIDAL, TRUXIMA) est utilisé hors AMM comme alternative économique à l'ocrélizumab.</w:t>
      </w:r>
    </w:p>
    <w:p>
      <w:r/>
      <w:r>
        <w:rPr>
          <w:b/>
        </w:rPr>
        <w:t>Sous-classe et Mécanisme d'action :</w:t>
      </w:r>
      <w:r/>
    </w:p>
    <w:p>
      <w:pPr>
        <w:pStyle w:val="ListBullet"/>
      </w:pPr>
      <w:r/>
      <w:r>
        <w:rPr>
          <w:b/>
        </w:rPr>
        <w:t>Sous-classe</w:t>
      </w:r>
      <w:r>
        <w:t xml:space="preserve"> : Biothérapie de haute efficacité — Anticorps monoclonal humanisé IgG1 anti-CD20. Première intention (haute efficacité précoce) ou deuxième intention (après échec IFNβ/glatiramer). AMM dans SEP-RR et SEP-PP (seule biothérapie AMM dans SEP-PP).</w:t>
      </w:r>
    </w:p>
    <w:p>
      <w:pPr>
        <w:pStyle w:val="ListBullet"/>
      </w:pPr>
      <w:r/>
      <w:r>
        <w:rPr>
          <w:b/>
        </w:rPr>
        <w:t>Mécanisme d'action</w:t>
      </w:r>
      <w:r>
        <w:t xml:space="preserve"> : l'ocrélizumab est un </w:t>
      </w:r>
      <w:r>
        <w:rPr>
          <w:b/>
        </w:rPr>
        <w:t>anticorps monoclonal humanisé IgG1</w:t>
      </w:r>
      <w:r>
        <w:t xml:space="preserve"> qui se lie avec une haute affinité (Kd ~0,4 nM) à l'</w:t>
      </w:r>
      <w:r>
        <w:rPr>
          <w:b/>
        </w:rPr>
        <w:t>antigène CD20</w:t>
      </w:r>
      <w:r>
        <w:t xml:space="preserve"> — une phosphoprotéine transmembranaire de 33-37 kDa exprimée à la surface des lymphocytes B pré-B matures jusqu'au stade B mémoire (B CD19+ CD20+), mais </w:t>
      </w:r>
      <w:r>
        <w:rPr>
          <w:b/>
        </w:rPr>
        <w:t>absente des cellules souches hématopoïétiques, des pro-B et des plasmocytes matures</w:t>
      </w:r>
      <w:r>
        <w:t xml:space="preserve"> (cellules productrices d'anticorps — B CD19+ CD20- CD138+). Cette spécificité d'expression permet de </w:t>
      </w:r>
      <w:r>
        <w:rPr>
          <w:b/>
        </w:rPr>
        <w:t>dépléter sélectivement les lymphocytes B CD20+ périphériques</w:t>
      </w:r>
      <w:r>
        <w:t xml:space="preserve"> (~98 % de déplétion B circulante en 2-4 semaines après la première perfusion) tout en préservant les plasmocytes (et donc la production d'anticorps existante, l'immunité humorale acquise), et de permettre la </w:t>
      </w:r>
      <w:r>
        <w:rPr>
          <w:b/>
        </w:rPr>
        <w:t>repopulation lymphocytaire B</w:t>
      </w:r>
      <w:r>
        <w:t xml:space="preserve"> à partir des cellules souches médullaires après l'arrêt du traitement (repopulation en 6-12 mois, parfois plus longue). Les mécanismes de déplétion B sont multiples :</w:t>
      </w:r>
    </w:p>
    <w:p>
      <w:r>
        <w:t xml:space="preserve">  (i) </w:t>
      </w:r>
      <w:r>
        <w:rPr>
          <w:b/>
        </w:rPr>
        <w:t>ADCC (Antibody-Dependent Cellular Cytotoxicity)</w:t>
      </w:r>
      <w:r>
        <w:t xml:space="preserve"> — la partie Fc de l'ocrélizumab (IgG1) se lie au récepteur </w:t>
      </w:r>
      <w:r>
        <w:rPr>
          <w:b/>
        </w:rPr>
        <w:t>FcγRIIIa (CD16)</w:t>
      </w:r>
      <w:r>
        <w:t xml:space="preserve"> des cellules Natural Killer (NK) et des macrophages, qui exercent une cytotoxicité directe contre les lymphocytes B CD20+ cibles. L'ocrélizumab, anticorps humanisé avec affinité optimisée pour FcγRIIIa (mutations dans le Fc pour augmenter l'ADCC), a une ADCC plus puissante que le rituximab.</w:t>
      </w:r>
    </w:p>
    <w:p>
      <w:r>
        <w:t xml:space="preserve">  (ii) </w:t>
      </w:r>
      <w:r>
        <w:rPr>
          <w:b/>
        </w:rPr>
        <w:t>CDC (Complement-Dependent Cytotoxicity)</w:t>
      </w:r>
      <w:r>
        <w:t xml:space="preserve"> — la partie Fc de l'ocrélizumab active le complément (liaison C1q → cascade C4/C2 → C3 convertase → C3b → complexe d'attaque membranaire C5b-9 → lyse osmotique des lymphocytes B).</w:t>
      </w:r>
    </w:p>
    <w:p>
      <w:r>
        <w:t xml:space="preserve">  (iii) </w:t>
      </w:r>
      <w:r>
        <w:rPr>
          <w:b/>
        </w:rPr>
        <w:t>Apoptose</w:t>
      </w:r>
      <w:r>
        <w:t xml:space="preserve"> — la liaison du CD20 peut induire directement l'apoptose des lymphocytes B via activation des caspases (effet moindre que ADCC et CDC).</w:t>
      </w:r>
    </w:p>
    <w:p>
      <w:r>
        <w:t xml:space="preserve">  (iv) </w:t>
      </w:r>
      <w:r>
        <w:rPr>
          <w:b/>
        </w:rPr>
        <w:t>Justification physiopathologique de la déplétion B dans la SEP</w:t>
      </w:r>
      <w:r>
        <w:t xml:space="preserve"> : les lymphocytes B jouent un rôle central dans la physiopathologie de la SEP :</w:t>
      </w:r>
    </w:p>
    <w:p>
      <w:pPr>
        <w:pStyle w:val="ListBullet"/>
      </w:pPr>
      <w:r/>
      <w:r>
        <w:rPr>
          <w:b/>
        </w:rPr>
        <w:t>Présentation antigénique aux lymphocytes T</w:t>
      </w:r>
      <w:r>
        <w:t xml:space="preserve"> : les lymphocytes B (CD20+, mais aussi les plasmocytes) agissent comme cellules présentatrices d'antigène (CPA) et présentent les autoantigènes de la myéline (MBP, PLP, MOG) aux lymphocytes T CD4+ auto-immuns, activant ainsi la réponse immune autoimmune.</w:t>
      </w:r>
    </w:p>
    <w:p>
      <w:pPr>
        <w:pStyle w:val="ListBullet"/>
      </w:pPr>
      <w:r/>
      <w:r>
        <w:rPr>
          <w:b/>
        </w:rPr>
        <w:t>Production d'auto-anticorps</w:t>
      </w:r>
      <w:r>
        <w:t xml:space="preserve"> : les lymphocytes B peuvent se différencier en plasmocytes sécréteurs d'auto-anticorps anti-myéline (anti-MBP, anti-MOG, anti-KIR4.1). Ces auto-anticorps contribuent à la démyélinisation anticorps-dépendante (ADCC) et à l'activation du complément.</w:t>
      </w:r>
    </w:p>
    <w:p>
      <w:pPr>
        <w:pStyle w:val="ListBullet"/>
      </w:pPr>
      <w:r/>
      <w:r>
        <w:rPr>
          <w:b/>
        </w:rPr>
        <w:t>Production de cytokines pro-inflammatoires</w:t>
      </w:r>
      <w:r>
        <w:t xml:space="preserve"> : les lymphocytes B activés sécrètent IL-6, TNFα, LTα, GM-CSF — cytokines amplifiant l'inflammation autoimmune et activant les lymphocytes T et macrophages.</w:t>
      </w:r>
    </w:p>
    <w:p>
      <w:pPr>
        <w:pStyle w:val="ListBullet"/>
      </w:pPr>
      <w:r/>
      <w:r>
        <w:rPr>
          <w:b/>
        </w:rPr>
        <w:t>Formation de follicules lymphoïdes ectopiques</w:t>
      </w:r>
      <w:r>
        <w:t xml:space="preserve"> dans les méninges cérébrales — observés dans les formes progressives de SEP, suggérant un rôle des lymphocytes B dans l'entretien chronique de l'inflammation.</w:t>
      </w:r>
    </w:p>
    <w:p>
      <w:r>
        <w:t xml:space="preserve">  La déplétion sélective des lymphocytes B CD20+ (sans affecter les plasmocytes matures) permet de réduire la présentation antigénique aux lymphocytes T, de réduire la production de cytokines pro-inflammatoires, et de réduire la production d'auto-anticorps — sans compromettre gravement l'immunité humorale acquise (les plasmocytes existants continuent à produire les anticorps préexistants, permettant le maintien de la protection vaccinale et de l'immunité anti-infectieuse acquise).</w:t>
      </w:r>
    </w:p>
    <w:p>
      <w:r>
        <w:t xml:space="preserve">  (v) </w:t>
      </w:r>
      <w:r>
        <w:rPr>
          <w:b/>
        </w:rPr>
        <w:t>Pharmacocinétique</w:t>
      </w:r>
      <w:r>
        <w:t xml:space="preserve"> : administration IV stricte. Distribution limitée au compartiment vasculaire et lymphatique (Vd ~5-7 L), forte liaison aux lymphocytes B cibles. Métabolisme protéique non enzymatique (catabolisme lysosomal par les cellules du système réticulo-endothélial). Demi-vie terminale longue ~26-35 jours (anticorps monoclonal IgG1 — protégé de la dégradation par FcRn recycling). Excrétion : pas d'élimination rénale ou hépatique pertinente. Pas d'adaptation posologique selon âge, poids, fonction rénale ou hépatique. Concentrations résiduelles détectables 6-12 mois après la dernière perfusion (demi-vie longue).</w:t>
      </w:r>
    </w:p>
    <w:p>
      <w:r/>
      <w:r>
        <w:rPr>
          <w:b/>
        </w:rPr>
        <w:t>Profil Pharmacologique :</w:t>
      </w:r>
      <w:r/>
    </w:p>
    <w:p>
      <w:pPr>
        <w:pStyle w:val="ListBullet"/>
      </w:pPr>
      <w:r/>
      <w:r>
        <w:rPr>
          <w:b/>
        </w:rPr>
        <w:t>Indications</w:t>
      </w:r>
      <w:r>
        <w:t xml:space="preserve"> :</w:t>
      </w:r>
    </w:p>
    <w:p>
      <w:pPr>
        <w:pStyle w:val="ListBullet"/>
      </w:pPr>
      <w:r/>
      <w:r>
        <w:rPr>
          <w:b/>
        </w:rPr>
        <w:t>SEP récurrente-rémittente (SEP-RR) active</w:t>
      </w:r>
      <w:r>
        <w:t xml:space="preserve"> chez l'adulte — traitement de fond de haute efficacité en monothérapie. Indications selon ECTRIMS/EAN 2018-2024 :</w:t>
      </w:r>
    </w:p>
    <w:p>
      <w:pPr>
        <w:pStyle w:val="ListBullet"/>
      </w:pPr>
      <w:r>
        <w:t xml:space="preserve">Première intention chez les patients à maladie très active d'emblée (≥2 poussées/an, IRM active avec prises de gadolinium multiples) — stratégie </w:t>
      </w:r>
      <w:r>
        <w:rPr>
          <w:b/>
        </w:rPr>
        <w:t>early high-efficacy</w:t>
      </w:r>
      <w:r/>
    </w:p>
    <w:p>
      <w:pPr>
        <w:pStyle w:val="ListBullet"/>
      </w:pPr>
      <w:r>
        <w:t>Deuxième intention après échec des IFNβ/glatiramer (≥2 poussées/an ou progression IRM)</w:t>
      </w:r>
    </w:p>
    <w:p>
      <w:pPr>
        <w:pStyle w:val="ListBullet"/>
      </w:pPr>
      <w:r>
        <w:t>Alternative au natalizumab chez les patients JCV-positifs (pas de risque PML spécifique majeur avec l'ocrélizumab)</w:t>
      </w:r>
    </w:p>
    <w:p>
      <w:pPr>
        <w:pStyle w:val="ListBullet"/>
      </w:pPr>
      <w:r/>
      <w:r>
        <w:rPr>
          <w:b/>
        </w:rPr>
        <w:t>SEP progressive primaire (SEP-PP)</w:t>
      </w:r>
      <w:r>
        <w:t xml:space="preserve"> chez l'adulte — </w:t>
      </w:r>
      <w:r>
        <w:rPr>
          <w:b/>
        </w:rPr>
        <w:t>seule biothérapie AMM dans cette indication</w:t>
      </w:r>
      <w:r>
        <w:t xml:space="preserve"> (essai ORATORIO 2017). Réduction de la progression du handicap confirmée à 12 semaines de ~24 % vs placebo. Efficacité plus marquée chez les patients avec IRM active (prise de gadolinium, hypersignaux T2) et chez les patients jeunes (&lt; 50 ans).</w:t>
      </w:r>
    </w:p>
    <w:p>
      <w:pPr>
        <w:pStyle w:val="ListBullet"/>
      </w:pPr>
      <w:r>
        <w:t>Hors AMM : SEP progressive secondaire (SEP-SP) avec activité inflammatoire résiduelle — données limitées, en cours d'évaluation.</w:t>
      </w:r>
    </w:p>
    <w:p>
      <w:pPr>
        <w:pStyle w:val="ListBullet"/>
      </w:pPr>
      <w:r/>
      <w:r>
        <w:rPr>
          <w:b/>
        </w:rPr>
        <w:t>Contre-indications</w:t>
      </w:r>
      <w:r>
        <w:t xml:space="preserve"> :</w:t>
      </w:r>
    </w:p>
    <w:p>
      <w:pPr>
        <w:pStyle w:val="ListBullet"/>
      </w:pPr>
      <w:r/>
      <w:r>
        <w:rPr>
          <w:b/>
        </w:rPr>
        <w:t>Hypersensibilité</w:t>
      </w:r>
      <w:r>
        <w:t xml:space="preserve"> à l'ocrélizumab ou à l'un des excipients</w:t>
      </w:r>
    </w:p>
    <w:p>
      <w:pPr>
        <w:pStyle w:val="ListBullet"/>
      </w:pPr>
      <w:r/>
      <w:r>
        <w:rPr>
          <w:b/>
        </w:rPr>
        <w:t>Hépatite B active</w:t>
      </w:r>
      <w:r>
        <w:t xml:space="preserve"> (AgHBs+) non traitée — risque de réactivation virale fulminante</w:t>
      </w:r>
    </w:p>
    <w:p>
      <w:pPr>
        <w:pStyle w:val="ListBullet"/>
      </w:pPr>
      <w:r/>
      <w:r>
        <w:rPr>
          <w:b/>
        </w:rPr>
        <w:t>Infections sévères actives</w:t>
      </w:r>
      <w:r>
        <w:t xml:space="preserve"> (sepsis, infections opportunistes actives)</w:t>
      </w:r>
    </w:p>
    <w:p>
      <w:pPr>
        <w:pStyle w:val="ListBullet"/>
      </w:pPr>
      <w:r/>
      <w:r>
        <w:rPr>
          <w:b/>
        </w:rPr>
        <w:t>Immunodéficience sévère</w:t>
      </w:r>
      <w:r>
        <w:t xml:space="preserve"> (sida, lymphomes, leucémies)</w:t>
      </w:r>
    </w:p>
    <w:p>
      <w:pPr>
        <w:pStyle w:val="ListBullet"/>
      </w:pPr>
      <w:r/>
      <w:r>
        <w:rPr>
          <w:b/>
        </w:rPr>
        <w:t>Grossesse</w:t>
      </w:r>
      <w:r>
        <w:t xml:space="preserve"> : à éviter par prudence (IgG1 traversant le placenta, cytopénie B du nouveau-né), sauf si maladie très active et bénéfice/risque favorable</w:t>
      </w:r>
    </w:p>
    <w:p>
      <w:pPr>
        <w:pStyle w:val="ListBullet"/>
      </w:pPr>
      <w:r/>
      <w:r>
        <w:rPr>
          <w:b/>
        </w:rPr>
        <w:t>Allaitement</w:t>
      </w:r>
      <w:r>
        <w:t xml:space="preserve"> : à éviter par prudence</w:t>
      </w:r>
    </w:p>
    <w:p>
      <w:pPr>
        <w:pStyle w:val="ListBullet"/>
      </w:pPr>
      <w:r/>
      <w:r>
        <w:rPr>
          <w:b/>
        </w:rPr>
        <w:t>Prudence</w:t>
      </w:r>
      <w:r>
        <w:t xml:space="preserve"> : antécédent d'hépatite B guérie (Ac anti-HBc+ AgHBs−) — prophylaxie antivirale ; tuberculose latente non traitée ; hypogammaglobulinémie préexistante (IgG &lt; 6 g/L) ; antécédent de cancer (effet immunomodulateur théorique)</w:t>
      </w:r>
    </w:p>
    <w:p>
      <w:pPr>
        <w:pStyle w:val="ListBullet"/>
      </w:pPr>
      <w:r/>
      <w:r>
        <w:rPr>
          <w:b/>
        </w:rPr>
        <w:t>Effets Indésirables</w:t>
      </w:r>
      <w:r>
        <w:t xml:space="preserve"> :</w:t>
      </w:r>
    </w:p>
    <w:p>
      <w:pPr>
        <w:pStyle w:val="ListBullet"/>
      </w:pPr>
      <w:r/>
      <w:r>
        <w:rPr>
          <w:b/>
        </w:rPr>
        <w:t>Réactions à la perfusion</w:t>
      </w:r>
      <w:r>
        <w:t xml:space="preserve"> (30-40 % des patients au moins une fois, surtout à la première perfusion) : fièvre, frissons, prurit, urticaire, dyspnée, hypotension, plus rarement choc anaphylactique (1-2 %). Mécanisme : libération massive de cytokines (TNFα, IL-6, IFNγ) par les lymphocytes B en cours de lyse (cytokine release syndrome). Prévention : prémédication par antihistaminique H1 (dexchlorphéniramine 5 mg IV) + corticothérapie (méthylprednisolone 100 mg IV) + antipyrétique (paracétamol 1 g) 30 min avant la perfusion. Surveillance continue pendant et 1-2 h après.</w:t>
      </w:r>
    </w:p>
    <w:p>
      <w:pPr>
        <w:pStyle w:val="ListBullet"/>
      </w:pPr>
      <w:r/>
      <w:r>
        <w:rPr>
          <w:b/>
        </w:rPr>
        <w:t>Infections</w:t>
      </w:r>
      <w:r>
        <w:t xml:space="preserve"> : augmentation modeste vs comparateur (40-50 % vs 30-40 %), surtout infections ORL, urinaires, grippales, herpétiques. Infections graves 1-2 %. Prévention : dépistage VHB/VHC/tuberculose, statut vaccinal avant initiation.</w:t>
      </w:r>
    </w:p>
    <w:p>
      <w:pPr>
        <w:pStyle w:val="ListBullet"/>
      </w:pPr>
      <w:r/>
      <w:r>
        <w:rPr>
          <w:b/>
        </w:rPr>
        <w:t>Réactivation hépatite B</w:t>
      </w:r>
      <w:r>
        <w:t xml:space="preserve"> — risque majeur chez les patients porteurs chroniques (AgHBs+) ou antécédents VHB (Ac anti-HBc+). La réactivation peut être fulminante et fatale. Prévention : dépistage systématique AgHBs + Ac anti-HBc + Ac anti-HBs pré-thérapeutique obligatoire ; prophylaxie antivirale (entécavir 0,5 mg/j ou ténofovir 245 mg/j) pendant et 12 mois après l'arrêt chez les porteurs AgHBs+ ou Ac anti-HBc+.</w:t>
      </w:r>
    </w:p>
    <w:p>
      <w:pPr>
        <w:pStyle w:val="ListBullet"/>
      </w:pPr>
      <w:r/>
      <w:r>
        <w:rPr>
          <w:b/>
        </w:rPr>
        <w:t>PML (Leucoencéphalopathie Multifocale Progressive)</w:t>
      </w:r>
      <w:r>
        <w:t xml:space="preserve"> — signal possible (incidence très faible &lt; 0,02 %), à surveiller en cas de symptômes neurologiques nouveaux. Diagnostic et prise en charge comme pour natalizumab.</w:t>
      </w:r>
    </w:p>
    <w:p>
      <w:pPr>
        <w:pStyle w:val="ListBullet"/>
      </w:pPr>
      <w:r/>
      <w:r>
        <w:rPr>
          <w:b/>
        </w:rPr>
        <w:t>Cytopénies</w:t>
      </w:r>
      <w:r>
        <w:t xml:space="preserve"> — thrombopénie transitoire, neutropénie tardive (3-6 mois après perfusion).</w:t>
      </w:r>
    </w:p>
    <w:p>
      <w:pPr>
        <w:pStyle w:val="ListBullet"/>
      </w:pPr>
      <w:r/>
      <w:r>
        <w:rPr>
          <w:b/>
        </w:rPr>
        <w:t>Hypogammaglobulinémie</w:t>
      </w:r>
      <w:r>
        <w:t xml:space="preserve"> — baisse progressive des IgG, IgM, IgA à long terme (effet attendu — déplétion B répétée), augmentant le risque infectieux à long terme. Surveillance IgG semestrielle, arrêt ou espacement des cures si IgG &lt; 4-5 g/L.</w:t>
      </w:r>
    </w:p>
    <w:p>
      <w:pPr>
        <w:pStyle w:val="ListBullet"/>
      </w:pPr>
      <w:r/>
      <w:r>
        <w:rPr>
          <w:b/>
        </w:rPr>
        <w:t>Anomalies hépatiques</w:t>
      </w:r>
      <w:r>
        <w:t xml:space="preserve"> — cytolyse transitoire (~5-10 %).</w:t>
      </w:r>
    </w:p>
    <w:p>
      <w:pPr>
        <w:pStyle w:val="ListBullet"/>
      </w:pPr>
      <w:r/>
      <w:r>
        <w:rPr>
          <w:b/>
        </w:rPr>
        <w:t>Effets rares mais graves</w:t>
      </w:r>
      <w:r>
        <w:t xml:space="preserve"> : anaphylaxie (rare, &lt;0,1 %), vascularite cutanée, syndrome de Lyell, syndrome de Stevens-Johnson (très rares).</w:t>
      </w:r>
    </w:p>
    <w:p>
      <w:pPr>
        <w:pStyle w:val="ListBullet"/>
      </w:pPr>
      <w:r/>
      <w:r>
        <w:rPr>
          <w:b/>
        </w:rPr>
        <w:t>Risque obstétrical</w:t>
      </w:r>
      <w:r>
        <w:t xml:space="preserve"> : IgG1 traversant le placenta (surtout 3e trimestre), cytopénie transitoire du nouveau-né (lymphopénie B) possible. Vaccins vivants du nourrisson (BCG, ROR) à différer si mère traitée en fin de grossesse.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NFS, transaminases, créatinine, </w:t>
      </w:r>
      <w:r>
        <w:rPr>
          <w:b/>
        </w:rPr>
        <w:t>IgG, IgM, IgA</w:t>
      </w:r>
      <w:r>
        <w:t xml:space="preserve"> (hypogammaglobulinémie préexistante), </w:t>
      </w:r>
      <w:r>
        <w:rPr>
          <w:b/>
        </w:rPr>
        <w:t>sérologie VHB complète (AgHBs, Ac anti-HBs, Ac anti-HBc)</w:t>
      </w:r>
      <w:r>
        <w:t xml:space="preserve"> obligatoire (réactivation VHB), sérologies VHC, VIH, VZV (vacciner si séronégatif avant initiation), IDR à la tuberculine ou IGRA, β-hCG chez femme en âge de procréer, examen neurologique avec EDSS, IRM cérébrale initiale (référence).</w:t>
      </w:r>
    </w:p>
    <w:p>
      <w:pPr>
        <w:pStyle w:val="ListBullet"/>
      </w:pPr>
      <w:r/>
      <w:r>
        <w:rPr>
          <w:b/>
        </w:rPr>
        <w:t>Prophylaxie VHB</w:t>
      </w:r>
      <w:r>
        <w:t xml:space="preserve"> : chez les porteurs AgHBs+ ou Ac anti-HBc+, prophylaxie antivirale par </w:t>
      </w:r>
      <w:r>
        <w:rPr>
          <w:b/>
        </w:rPr>
        <w:t>entécavir 0,5 mg/j</w:t>
      </w:r>
      <w:r>
        <w:t xml:space="preserve"> ou </w:t>
      </w:r>
      <w:r>
        <w:rPr>
          <w:b/>
        </w:rPr>
        <w:t>ténofovir 245 mg/j</w:t>
      </w:r>
      <w:r>
        <w:t xml:space="preserve"> pendant toute la durée du traitement et 12 mois après l'arrêt (surveillance mensuelle AgHBs, ALAT, charge virale VHB).</w:t>
      </w:r>
    </w:p>
    <w:p>
      <w:pPr>
        <w:pStyle w:val="ListBullet"/>
      </w:pPr>
      <w:r/>
      <w:r>
        <w:rPr>
          <w:b/>
        </w:rPr>
        <w:t>Vaccination</w:t>
      </w:r>
      <w:r>
        <w:t xml:space="preserve"> : mise à jour vaccins inactivés au moins 2-4 semaines avant initiation (grippe annuelle, pneumocoque, hépatite B si séronégatif, tétanos-polio). Vaccins vivants (ROR, BCG, fièvre jaune, varicelle, rotavirus) contre-indiqués pendant et 6 mois après l'arrêt.</w:t>
      </w:r>
    </w:p>
    <w:p>
      <w:pPr>
        <w:pStyle w:val="ListBullet"/>
      </w:pPr>
      <w:r/>
      <w:r>
        <w:rPr>
          <w:b/>
        </w:rPr>
        <w:t>Prémédication</w:t>
      </w:r>
      <w:r>
        <w:t xml:space="preserve"> : dexchlorphéniramine 5 mg IV + méthylprednisolone 100 mg IV + paracétamol 1 g 30 min avant la perfusion (prévention des réactions à la perfusion).</w:t>
      </w:r>
    </w:p>
    <w:p>
      <w:pPr>
        <w:pStyle w:val="ListBullet"/>
      </w:pPr>
      <w:r/>
      <w:r>
        <w:rPr>
          <w:b/>
        </w:rPr>
        <w:t>Surveillance pendant la perfusion</w:t>
      </w:r>
      <w:r>
        <w:t xml:space="preserve"> : perfusion IV de 2,5 h (initial 300 mg) ou 3,5 h (600 mg), surveillance continue (tension, pouls, SaO2) pendant et 1-2 h après.</w:t>
      </w:r>
    </w:p>
    <w:p>
      <w:pPr>
        <w:pStyle w:val="ListBullet"/>
      </w:pPr>
      <w:r/>
      <w:r>
        <w:rPr>
          <w:b/>
        </w:rPr>
        <w:t>Surveillance biologique</w:t>
      </w:r>
      <w:r>
        <w:t xml:space="preserve"> : NFS-plaquettes, transaminases, IgG/IgM/IgA trimestrielle première année puis semestrielle (hypogammaglobulinémie), examen neurologique semestriel avec EDSS, IRM cérébrale annuelle (référence).</w:t>
      </w:r>
    </w:p>
    <w:p>
      <w:pPr>
        <w:pStyle w:val="ListBullet"/>
      </w:pPr>
      <w:r/>
      <w:r>
        <w:rPr>
          <w:b/>
        </w:rPr>
        <w:t>Surveillance infectieuse</w:t>
      </w:r>
      <w:r>
        <w:t xml:space="preserve"> : clinique (rechercher signes infectieux), biologie (NFS), information du patient sur les signes d'alerte (fièvre, toux, dysurie, rash).</w:t>
      </w:r>
    </w:p>
    <w:p>
      <w:pPr>
        <w:pStyle w:val="ListBullet"/>
      </w:pPr>
      <w:r/>
      <w:r>
        <w:rPr>
          <w:b/>
        </w:rPr>
        <w:t>Conduite à Tenir</w:t>
      </w:r>
      <w:r>
        <w:t xml:space="preserve"> :</w:t>
      </w:r>
    </w:p>
    <w:p>
      <w:pPr>
        <w:pStyle w:val="ListBullet"/>
      </w:pPr>
      <w:r/>
      <w:r>
        <w:rPr>
          <w:b/>
        </w:rPr>
        <w:t>Réaction à la perfusion légère</w:t>
      </w:r>
      <w:r>
        <w:t xml:space="preserve"> : ralentir le débit (50%), antihistaminique, surveillance. </w:t>
      </w:r>
      <w:r>
        <w:rPr>
          <w:b/>
        </w:rPr>
        <w:t>Réaction modérée à sévère</w:t>
      </w:r>
      <w:r>
        <w:t xml:space="preserve"> : arrêt immédiat, réanimation symptomatique (antihistaminique, corticothérapie, adrénaline si choc anaphylactique), contre-indication à la reprise si anaphylaxie grave.</w:t>
      </w:r>
    </w:p>
    <w:p>
      <w:pPr>
        <w:pStyle w:val="ListBullet"/>
      </w:pPr>
      <w:r/>
      <w:r>
        <w:rPr>
          <w:b/>
        </w:rPr>
        <w:t>Infection sévère</w:t>
      </w:r>
      <w:r>
        <w:t xml:space="preserve"> : arrêt immédiat, prélèvements bactériologiques adaptés, antibiothérapie large spectre, hospitalisation si nécessaire. Ne pas reprendre avant contrôle complet.</w:t>
      </w:r>
    </w:p>
    <w:p>
      <w:pPr>
        <w:pStyle w:val="ListBullet"/>
      </w:pPr>
      <w:r/>
      <w:r>
        <w:rPr>
          <w:b/>
        </w:rPr>
        <w:t>Réactivation VHB</w:t>
      </w:r>
      <w:r>
        <w:t xml:space="preserve"> (cytolyse hépatique, AgHBs redevient positif, charge virale VHB augmentée) : arrêt immédiat, avis hépatologique urgent, traitement antiviral urgent (entécavir 1 mg/j ou ténofovir 245 mg/j), surveillance hépatique rapprochée.</w:t>
      </w:r>
    </w:p>
    <w:p>
      <w:pPr>
        <w:pStyle w:val="ListBullet"/>
      </w:pPr>
      <w:r/>
      <w:r>
        <w:rPr>
          <w:b/>
        </w:rPr>
        <w:t>Hypogammaglobulinémie IgG &lt; 4-5 g/L</w:t>
      </w:r>
      <w:r>
        <w:t xml:space="preserve"> : espacement des cures, surveillance infectieuse renforcée, discussion immunoglobulines de substitution si infections récurrentes sévères.</w:t>
      </w:r>
    </w:p>
    <w:p>
      <w:pPr>
        <w:pStyle w:val="ListBullet"/>
      </w:pPr>
      <w:r/>
      <w:r>
        <w:rPr>
          <w:b/>
        </w:rPr>
        <w:t>Poussée sous traitement</w:t>
      </w:r>
      <w:r>
        <w:t xml:space="preserve"> : évaluation de la réponse thérapeutique (≥2 poussées/an ou progression IRM = échece thérapeutique, switch selon profil patient — natalizumab si JCV-négatif, mitoxantrone en dernier recours).</w:t>
      </w:r>
    </w:p>
    <w:p>
      <w:r/>
      <w:r>
        <w:rPr>
          <w:b/>
        </w:rPr>
        <w:t>Interactions Importantes :</w:t>
      </w:r>
      <w:r/>
    </w:p>
    <w:p>
      <w:pPr>
        <w:pStyle w:val="ListBullet"/>
      </w:pPr>
      <w:r/>
      <w:r>
        <w:rPr>
          <w:b/>
        </w:rPr>
        <w:t>Ocrélizumab + vaccins vivants (BCG, ROR, fièvre jaune, varicelle, rotavirus, oral polio)</w:t>
      </w:r>
      <w:r>
        <w:t xml:space="preserve"> : contre-indication absolue — risque d'infection vaccinale généralisée. Attendre 6 mois après l'arrêt de l'ocrélizumab (récupération immunitaire B) pour vacciner.</w:t>
      </w:r>
    </w:p>
    <w:p>
      <w:pPr>
        <w:pStyle w:val="ListBullet"/>
      </w:pPr>
      <w:r/>
      <w:r>
        <w:rPr>
          <w:b/>
        </w:rPr>
        <w:t>Ocrélizumab + vaccins inactivés (grippe, pneumocoque, hépatite B, tétanos-polio)</w:t>
      </w:r>
      <w:r>
        <w:t xml:space="preserve"> : possible mais réponse vaccinale potentiellement réduite (déplétion B). Vacciner avant initiation si possible (2-4 semaines avant).</w:t>
      </w:r>
    </w:p>
    <w:p>
      <w:pPr>
        <w:pStyle w:val="ListBullet"/>
      </w:pPr>
      <w:r/>
      <w:r>
        <w:rPr>
          <w:b/>
        </w:rPr>
        <w:t>Ocrélizumab + immunosuppresseurs (azathioprine, méthotrexate, mitoxantrone, anti-TNFα, natalizumab, fingolimod, diméthyl fumarate)</w:t>
      </w:r>
      <w:r>
        <w:t xml:space="preserve"> : contre-indication absolue — risque d'immunosuppression additive majeure.</w:t>
      </w:r>
    </w:p>
    <w:p>
      <w:pPr>
        <w:pStyle w:val="ListBullet"/>
      </w:pPr>
      <w:r/>
      <w:r>
        <w:rPr>
          <w:b/>
        </w:rPr>
        <w:t>Ocrélizumab + IFNβ ou glatiramer</w:t>
      </w:r>
      <w:r>
        <w:t xml:space="preserve"> : associations déconseillées — pas de bénéfice additif démontré. Switch plutôt que combinaison.</w:t>
      </w:r>
    </w:p>
    <w:p>
      <w:pPr>
        <w:pStyle w:val="ListBullet"/>
      </w:pPr>
      <w:r/>
      <w:r>
        <w:rPr>
          <w:b/>
        </w:rPr>
        <w:t>Ocrélizumab + corticoïdes</w:t>
      </w:r>
      <w:r>
        <w:t xml:space="preserve"> : pas d'interaction pharmacocinétique majeure mais majoration du risque infectieux. Possible utilisation ponctuelle de bolus de méthylprednisolone (1 g IV J1-J3) pour poussée de SEP pendant le traitement par ocrélizumab.</w:t>
      </w:r>
    </w:p>
    <w:p>
      <w:pPr>
        <w:pStyle w:val="ListBullet"/>
      </w:pPr>
      <w:r/>
      <w:r>
        <w:rPr>
          <w:b/>
        </w:rPr>
        <w:t>Ocrélizumab + autres biothérapies (anti-TNFα, anti-IL-6, anti-BAFF)</w:t>
      </w:r>
      <w:r>
        <w:t xml:space="preserve"> : associations déconseillées — risque infectieux majoré.</w:t>
      </w:r>
    </w:p>
    <w:p>
      <w:r/>
      <w:r>
        <w:rPr>
          <w:b/>
        </w:rPr>
        <w:t>Grossesse et Allaitement :</w:t>
      </w:r>
      <w:r/>
    </w:p>
    <w:p>
      <w:pPr>
        <w:pStyle w:val="ListBullet"/>
      </w:pPr>
      <w:r/>
      <w:r>
        <w:rPr>
          <w:b/>
        </w:rPr>
        <w:t>Grossesse</w:t>
      </w:r>
      <w:r>
        <w:t xml:space="preserve"> : selon le CRAT, l'ocrélizumab est </w:t>
      </w:r>
      <w:r>
        <w:rPr>
          <w:b/>
        </w:rPr>
        <w:t>à éviter par prudence</w:t>
      </w:r>
      <w:r>
        <w:t xml:space="preserve"> pendant la grossesse, en l'absence de données suffisantes (expérience limitée à &lt; 500 grossesses exposées). Les IgG1 traversent activement le placenta (surtout 3e trimestre, transport FcRn), et peuvent induire une </w:t>
      </w:r>
      <w:r>
        <w:rPr>
          <w:b/>
        </w:rPr>
        <w:t>lymphopénie B transitoire du nouveau-né</w:t>
      </w:r>
      <w:r>
        <w:t xml:space="preserve"> (à surveiller NFS-J1 et vaccination vivante du nourrisson à différer). Les données animales (singes) ne montrent pas de tératogénicité, mais un effet sur le système immunitaire fœtal. Recommandations 2024 (CRAT, ECTRIMS/EMPG) :</w:t>
      </w:r>
    </w:p>
    <w:p>
      <w:pPr>
        <w:pStyle w:val="ListBullet"/>
      </w:pPr>
      <w:r/>
      <w:r>
        <w:rPr>
          <w:b/>
        </w:rPr>
        <w:t>Arrêt recommandé avant conception</w:t>
      </w:r>
      <w:r>
        <w:t xml:space="preserve"> en cas de maladie quiescente (wash-out de 6-12 mois, surveillance rapprochée pour poussée).</w:t>
      </w:r>
    </w:p>
    <w:p>
      <w:pPr>
        <w:pStyle w:val="ListBullet"/>
      </w:pPr>
      <w:r>
        <w:t>En cas de maladie active (poussées récentes, IRM active), maintien possible au cas par cas après information éclairée de la patiente, avec arrêt avant le 3e trimestre (dernière perfusion ~S28-S30) pour minimiser l'imprégnation fœtale.</w:t>
      </w:r>
    </w:p>
    <w:p>
      <w:pPr>
        <w:pStyle w:val="ListBullet"/>
      </w:pPr>
      <w:r>
        <w:t xml:space="preserve">En cas de </w:t>
      </w:r>
      <w:r>
        <w:rPr>
          <w:b/>
        </w:rPr>
        <w:t>grossesse sous ocrélizumab</w:t>
      </w:r>
      <w:r>
        <w:t xml:space="preserve"> : surveillance échographique rapprochée, surveillance NFS du nouveau-né (lymphopénie B transitoire), </w:t>
      </w:r>
      <w:r>
        <w:rPr>
          <w:b/>
        </w:rPr>
        <w:t>vaccins vivants du nourrisson (BCG, ROR) à différer jusqu'à 6-12 mois selon clairance de l'anticorps</w:t>
      </w:r>
      <w:r>
        <w:t>.</w:t>
      </w:r>
    </w:p>
    <w:p>
      <w:pPr>
        <w:pStyle w:val="ListBullet"/>
      </w:pPr>
      <w:r>
        <w:t>Planification de grossesse : switch vers IFNβ ou glatiramer (compatibles) avant conception si maladie quiescente ; si maladie active, maintien de l'ocrélizumab avec arrêt avant 3e trimestre.</w:t>
      </w:r>
    </w:p>
    <w:p>
      <w:pPr>
        <w:pStyle w:val="ListBullet"/>
      </w:pPr>
      <w:r/>
      <w:r>
        <w:rPr>
          <w:b/>
        </w:rPr>
        <w:t>Allaitement</w:t>
      </w:r>
      <w:r>
        <w:t xml:space="preserve"> : selon le CRAT, l'ocrélizumab est </w:t>
      </w:r>
      <w:r>
        <w:rPr>
          <w:b/>
        </w:rPr>
        <w:t>compatible avec l'allaitement</w:t>
      </w:r>
      <w:r>
        <w:t xml:space="preserve"> par prudence. Les IgG1 passent dans le lait maternel mais en quantité minimale (mécanisme FcRn inverse), et la dégradation protéique digestive chez le nourrisson rend l'absorption systémique négligeable. Décision au cas par cas avec la patiente.</w:t>
      </w:r>
    </w:p>
    <w:p>
      <w:pPr>
        <w:pStyle w:val="ListBullet"/>
      </w:pPr>
      <w:r/>
      <w:r>
        <w:rPr>
          <w:b/>
        </w:rPr>
        <w:t>Précisions</w:t>
      </w:r>
      <w:r>
        <w:t xml:space="preserve"> : la planification de la grossesse chez la femme SEP sous ocrélizumab est plus complexe que sous IFNβ/glatiramer (compatibles) ou fingolimod (tératogène, wash-out 2 mois). L'ocrélizumab a une demi-vie longue (~26-35 jours), la déplétion B persiste 6-12 mois après la dernière perfusion, et le wash-out complet est long — d'où la difficulté de la stratégie switch-before-conception. En pratique, préférence pour : (i) maintien de l'ocrélizumab pendant la grossesse si maladie active (dernière perfusion ~S28-S30) ; (ii) switch vers IFNβ/glatiramer avant conception si maladie quiescente depuis &gt; 1 an.</w:t>
      </w:r>
    </w:p>
    <w:p>
      <w:r/>
      <w:r>
        <w:rPr>
          <w:b/>
        </w:rPr>
        <w:t>Posologie et Mode d'administration (Standard) :</w:t>
      </w:r>
      <w:r/>
    </w:p>
    <w:p>
      <w:pPr>
        <w:pStyle w:val="ListBullet"/>
      </w:pPr>
      <w:r/>
      <w:r>
        <w:rPr>
          <w:b/>
        </w:rPr>
        <w:t>Adulte</w:t>
      </w:r>
      <w:r>
        <w:t xml:space="preserve"> :</w:t>
      </w:r>
    </w:p>
    <w:p>
      <w:pPr>
        <w:pStyle w:val="ListBullet"/>
      </w:pPr>
      <w:r/>
      <w:r>
        <w:rPr>
          <w:b/>
        </w:rPr>
        <w:t>Schéma d'induction</w:t>
      </w:r>
      <w:r>
        <w:t xml:space="preserve"> : 300 mg IV à J1 et J15 (deux perfusions d'induction à 2 semaines d'intervalle).</w:t>
      </w:r>
    </w:p>
    <w:p>
      <w:pPr>
        <w:pStyle w:val="ListBullet"/>
      </w:pPr>
      <w:r/>
      <w:r>
        <w:rPr>
          <w:b/>
        </w:rPr>
        <w:t>Schéma d'entretien</w:t>
      </w:r>
      <w:r>
        <w:t xml:space="preserve"> : 600 mg IV tous les 6 mois (en une perfusion unique de 600 mg à partir de M6, ou en deux perfusions de 300 mg à 2 semaines d'intervalle selon le choix du prescripteur et la tolérance).</w:t>
      </w:r>
    </w:p>
    <w:p>
      <w:pPr>
        <w:pStyle w:val="ListBullet"/>
      </w:pPr>
      <w:r/>
      <w:r>
        <w:rPr>
          <w:b/>
        </w:rPr>
        <w:t>Mode d'administration</w:t>
      </w:r>
      <w:r>
        <w:t xml:space="preserve"> : perfusion IV stricte en milieu hospitalier spécialisé (day hospital de neurologie). Dilution dans 250 mL NaCl 0,9 % (pour 300 mg) ou 500 mL NaCl 0,9 % (pour 600 mg). Perfusion sur </w:t>
      </w:r>
      <w:r>
        <w:rPr>
          <w:b/>
        </w:rPr>
        <w:t>2,5 h pour 300 mg</w:t>
      </w:r>
      <w:r>
        <w:t xml:space="preserve"> ou </w:t>
      </w:r>
      <w:r>
        <w:rPr>
          <w:b/>
        </w:rPr>
        <w:t>3,5 h pour 600 mg</w:t>
      </w:r>
      <w:r>
        <w:t xml:space="preserve"> (initial), possibilité de raccourcir à 2 h et 2,5 h respectivement après 4 perfusions bien tolérées. Ligne avec filtre 1,2 µm. Surveillance continue (tension, pouls, SaO2) pendant la perfusion et 1-2 h après.</w:t>
      </w:r>
    </w:p>
    <w:p>
      <w:pPr>
        <w:pStyle w:val="ListBullet"/>
      </w:pPr>
      <w:r/>
      <w:r>
        <w:rPr>
          <w:b/>
        </w:rPr>
        <w:t>Prémédication</w:t>
      </w:r>
      <w:r>
        <w:t xml:space="preserve"> : dexchlorphéniramine 5 mg IV + méthylprednisolone 100 mg IV + paracétamol 1 g, 30 min avant la perfusion.</w:t>
      </w:r>
    </w:p>
    <w:p>
      <w:pPr>
        <w:pStyle w:val="ListBullet"/>
      </w:pPr>
      <w:r/>
      <w:r>
        <w:rPr>
          <w:b/>
        </w:rPr>
        <w:t>Pas d'adaptation posologique</w:t>
      </w:r>
      <w:r>
        <w:t xml:space="preserve"> selon poids, âge, fonction rénale ou hépatique.</w:t>
      </w:r>
    </w:p>
    <w:p>
      <w:pPr>
        <w:pStyle w:val="ListBullet"/>
      </w:pPr>
      <w:r/>
      <w:r>
        <w:rPr>
          <w:b/>
        </w:rPr>
        <w:t>Sujet âgé</w:t>
      </w:r>
      <w:r>
        <w:t xml:space="preserve"> : pas d'adaptation posologique systématique, mais évaluation gériatrique globale requise (risque infectieux majoré, comorbidités, surveillance hypogammaglobulinémie).</w:t>
      </w:r>
    </w:p>
    <w:p>
      <w:pPr>
        <w:pStyle w:val="ListBullet"/>
      </w:pPr>
      <w:r/>
      <w:r>
        <w:rPr>
          <w:b/>
        </w:rPr>
        <w:t>Durée</w:t>
      </w:r>
      <w:r>
        <w:t xml:space="preserve"> : traitement au long cours, indéterminé. Réévaluation annuelle de la tolérance et de l'efficacité. Arrêt à discuter en cas d'inefficacité, d'intolérance grave, de projet de grossesse, d'hypogammaglobulinémie sévère (&lt; 4 g/L), d'infections récurrentes.</w:t>
      </w:r>
    </w:p>
    <w:p>
      <w:pPr>
        <w:pStyle w:val="ListBullet"/>
      </w:pPr>
      <w:r/>
      <w:r>
        <w:rPr>
          <w:b/>
        </w:rPr>
        <w:t>Moment de prise</w:t>
      </w:r>
      <w:r>
        <w:t xml:space="preserve"> : selon calendrier hospitalier, perfusion programmée (J1, J15 d'induction, puis tous les 6 mois).</w:t>
      </w:r>
    </w:p>
    <w:p>
      <w:r/>
      <w:r>
        <w:rPr>
          <w:b/>
        </w:rPr>
        <w:t>Arbitrage et Bénéfices des Formes Galéniques :</w:t>
      </w:r>
      <w:r/>
    </w:p>
    <w:p>
      <w:pPr>
        <w:pStyle w:val="ListBullet"/>
      </w:pPr>
      <w:r/>
      <w:r>
        <w:rPr>
          <w:b/>
        </w:rPr>
        <w:t>Solution à diluer pour perfusion IV 300 mg/10 mL (OCREVUS)</w:t>
      </w:r>
      <w:r>
        <w:t xml:space="preserve"> : forme unique disponible, manipulation PUI hospitalière, dilution obligatoire avant perfusion. Concentration 30 mg/mL, permettant l'administration de 300 mg en 10 mL (induction) ou 600 mg en 20 mL (entretien).</w:t>
      </w:r>
    </w:p>
    <w:p>
      <w:pPr>
        <w:pStyle w:val="ListBullet"/>
      </w:pPr>
      <w:r/>
      <w:r>
        <w:rPr>
          <w:b/>
        </w:rPr>
        <w:t>Forme IV vs alternative SC (non disponible)</w:t>
      </w:r>
      <w:r>
        <w:t xml:space="preserve"> : une formulation SC de l'ocrélizumab est en cours de développement (essais cliniques), mais non commercialisée à ce jour. La forme IV impose une administration hospitalière semestrielle (contrainte logistique, mais garantit une surveillance stricte et l'observance).</w:t>
      </w:r>
    </w:p>
    <w:p>
      <w:pPr>
        <w:pStyle w:val="ListBullet"/>
      </w:pPr>
      <w:r/>
      <w:r>
        <w:rPr>
          <w:b/>
        </w:rPr>
        <w:t>Chaîne du froid</w:t>
      </w:r>
      <w:r>
        <w:t xml:space="preserve"> : conservation à +2-8 °C (réfrigérateur PUI hospitalière, dans l'emballage extérieur), ne pas congeler, à conserver dans l'emballage extérieur (protection lumière). Transport en sac isotherme avec accumulateur de froid (de la PUI au service de perfusion). Stabilité après dilution : 24 h à +2-8 °C, à utiliser immédiatement en pratique.</w:t>
      </w:r>
    </w:p>
    <w:p>
      <w:r/>
      <w:r>
        <w:rPr>
          <w:b/>
        </w:rPr>
        <w:t>Instructions et Conseils au Patient :</w:t>
      </w:r>
      <w:r/>
    </w:p>
    <w:p>
      <w:pPr>
        <w:pStyle w:val="ListBullet"/>
      </w:pPr>
      <w:r/>
      <w:r>
        <w:rPr>
          <w:b/>
        </w:rPr>
        <w:t>Communication au comptoir</w:t>
      </w:r>
      <w:r>
        <w:t xml:space="preserve"> :</w:t>
      </w:r>
    </w:p>
    <w:p>
      <w:pPr>
        <w:pStyle w:val="ListBullet"/>
      </w:pPr>
      <w:r>
        <w:t>"Ce traitement est une biothérapie de haute efficacité administrée en perfusion IV à l'hôpital toutes les 6 mois. Il réduit fortement les poussées de SEP et ralentit la progression du handicap — il est efficace dans les formes récurrentes-rémittentes et les formes progressives primaires."</w:t>
      </w:r>
    </w:p>
    <w:p>
      <w:pPr>
        <w:pStyle w:val="ListBullet"/>
      </w:pPr>
      <w:r>
        <w:t>"Les effets indésirables principaux surviennent pendant ou juste après la perfusion : fièvre, frissons, démangeaisons, difficulté à respirer — prévenus par une prémédication (antihistaminique, corticoïde, paracétamol) administrée avant la perfusion."</w:t>
      </w:r>
    </w:p>
    <w:p>
      <w:pPr>
        <w:pStyle w:val="ListBullet"/>
      </w:pPr>
      <w:r>
        <w:t>"Surveillez les signes d'infection : fièvre, toux, brûlures urinaires, rash cutané — signalez-les immédiatement à votre neurologue."</w:t>
      </w:r>
    </w:p>
    <w:p>
      <w:pPr>
        <w:pStyle w:val="ListBullet"/>
      </w:pPr>
      <w:r>
        <w:t>"Une prise de sang régulière vérifie votre statut hépatite B, vos globules blancs et vos immunoglobulines (anticorps) — surveillance indispensable."</w:t>
      </w:r>
    </w:p>
    <w:p>
      <w:pPr>
        <w:pStyle w:val="ListBullet"/>
      </w:pPr>
      <w:r>
        <w:t>"Ne manquez pas vos rendez-vous de perfusion — l'efficacité dépend de la régularité semestrielle."</w:t>
      </w:r>
    </w:p>
    <w:p>
      <w:pPr>
        <w:pStyle w:val="ListBullet"/>
      </w:pPr>
      <w:r>
        <w:t>"Signalez tout projet de grossesse — une planification avec votre neurologue est nécessaire."</w:t>
      </w:r>
    </w:p>
    <w:p>
      <w:pPr>
        <w:pStyle w:val="ListBullet"/>
      </w:pPr>
      <w:r/>
      <w:r>
        <w:rPr>
          <w:b/>
        </w:rPr>
        <w:t>Mode d'utilisation pratique</w:t>
      </w:r>
      <w:r>
        <w:t xml:space="preserve"> : pas d'auto-administration (perfusion IV hospitalière). Le patient doit se rendre au service de neurologie / day hospital à J1, J15 (induction) puis tous les 6 mois selon le calendrier programmé. Surveillance pendant et après la perfusion. Tenir un carnet de traitement (dates de perfusion, effets ressentis).</w:t>
      </w:r>
    </w:p>
    <w:p>
      <w:r/>
      <w:r>
        <w:rPr>
          <w:b/>
        </w:rPr>
        <w:t>Notes, Règles d'Or &amp; Pièges au Comptoir :</w:t>
      </w:r>
      <w:r/>
    </w:p>
    <w:p>
      <w:pPr>
        <w:pStyle w:val="ListBullet"/>
      </w:pPr>
      <w:r/>
      <w:r>
        <w:rPr>
          <w:b/>
        </w:rPr>
        <w:t>Piège classique réaction à la perfusion</w:t>
      </w:r>
      <w:r>
        <w:t xml:space="preserve"> : première perfusion = risque majeur de réaction (cytokine release syndrome). Prémédication systématique (antihistaminique + corticoïde + paracétamol) 30 min avant. Surveillance continue pendant et 1-2 h après.</w:t>
      </w:r>
    </w:p>
    <w:p>
      <w:pPr>
        <w:pStyle w:val="ListBullet"/>
      </w:pPr>
      <w:r/>
      <w:r>
        <w:rPr>
          <w:b/>
        </w:rPr>
        <w:t>Piège réactivation VHB</w:t>
      </w:r>
      <w:r>
        <w:t xml:space="preserve"> : dépistage systématique AgHBs + Ac anti-HBc + Ac anti-HBs pré-thérapeutique obligatoire. Prophylaxie antivirale (entécavir ou ténofovir) chez les porteurs AgHBs+ ou Ac anti-HBc+. En cas de réactivation (cytolyse hépatique, AgHBs redevient positif), arrêt immédiat et avis hépatologique urgent.</w:t>
      </w:r>
    </w:p>
    <w:p>
      <w:pPr>
        <w:pStyle w:val="ListBullet"/>
      </w:pPr>
      <w:r/>
      <w:r>
        <w:rPr>
          <w:b/>
        </w:rPr>
        <w:t>Piège hypogammaglobulinémie</w:t>
      </w:r>
      <w:r>
        <w:t xml:space="preserve"> : surveillance IgG semestrielle. Si IgG &lt; 4-5 g/L, espacement des cures, surveillance infectieuse renforcée, discussion immunoglobulines de substitution.</w:t>
      </w:r>
    </w:p>
    <w:p>
      <w:pPr>
        <w:pStyle w:val="ListBullet"/>
      </w:pPr>
      <w:r/>
      <w:r>
        <w:rPr>
          <w:b/>
        </w:rPr>
        <w:t>Piège PML</w:t>
      </w:r>
      <w:r>
        <w:t xml:space="preserve"> : bien que rare (&lt;0,02 %), à surveiller en cas de symptômes neurologiques nouveaux — IRM cérébrale en urgence, ponction lombaire avec PCR JCV.</w:t>
      </w:r>
    </w:p>
    <w:p>
      <w:pPr>
        <w:pStyle w:val="ListBullet"/>
      </w:pPr>
      <w:r/>
      <w:r>
        <w:rPr>
          <w:b/>
        </w:rPr>
        <w:t>Piège vaccins vivants</w:t>
      </w:r>
      <w:r>
        <w:t xml:space="preserve"> : contre-indication absolue pendant et 6 mois après l'arrêt (récupération immunitaire B). Vaccins vivants du nourrisson (BCG, ROR) à différer si mère traitée en fin de grossesse.</w:t>
      </w:r>
    </w:p>
    <w:p>
      <w:pPr>
        <w:pStyle w:val="ListBullet"/>
      </w:pPr>
      <w:r/>
      <w:r>
        <w:rPr>
          <w:b/>
        </w:rPr>
        <w:t>Règle de prise</w:t>
      </w:r>
      <w:r>
        <w:t xml:space="preserve"> : perfusion IV semestrielle (à J1, J15 d'induction puis tous les 6 mois) à heure fixe de préférence. Ne pas décaler de plus de ± 2 semaines.</w:t>
      </w:r>
    </w:p>
    <w:p>
      <w:pPr>
        <w:pStyle w:val="ListBullet"/>
      </w:pPr>
      <w:r/>
      <w:r>
        <w:rPr>
          <w:b/>
        </w:rPr>
        <w:t>Préparation et Conservation</w:t>
      </w:r>
      <w:r>
        <w:t xml:space="preserve"> : conservation +2-8 °C (réfrigérateur PUI hospitalière, dans l'emballage extérieur), ne pas congeler, ne pas exposer à la lumière. Dilution juste avant perfusion, utilisation immédiate.</w:t>
      </w:r>
    </w:p>
    <w:p>
      <w:pPr>
        <w:pStyle w:val="ListBullet"/>
      </w:pPr>
      <w:r/>
      <w:r>
        <w:rPr>
          <w:b/>
        </w:rPr>
        <w:t>Piège du surdosage / Substitution</w:t>
      </w:r>
      <w:r>
        <w:t xml:space="preserve"> : pas de substitution possible (pas de biosimilaire disponible). Pas de surdosage décrit (anticorps monoclonal, marge thérapeutique large). Surveillance stricte des doses administrées (300 mg/flacon de 10 mL, dilution en 250 ou 500 mL NaCl 0,9 % selon la dose).</w:t>
      </w:r>
    </w:p>
    <w:p>
      <w:pPr>
        <w:pStyle w:val="Heading3"/>
      </w:pPr>
      <w:r>
        <w:t>8. DCI : Rituximab (usage SEP)</w:t>
      </w:r>
    </w:p>
    <w:p>
      <w:r>
        <w:t xml:space="preserve">Le rituximab, anticorps monoclonal chimérique IgG1κ anti-CD20, a été le </w:t>
      </w:r>
      <w:r>
        <w:rPr>
          <w:b/>
        </w:rPr>
        <w:t>premier anti-CD20 utilisé en clinique</w:t>
      </w:r>
      <w:r>
        <w:t xml:space="preserve"> (1997, oncologie — lymphomes B non-hodgkiniens). Son repositionnement dans la SEP a précédé celui de l'ocrélizumab (humanisé), avec plusieurs essais cliniques démontrant son efficacité dans la SEP-RR (essai HERMES 2008 — usage hors AMM). Bien que n'ayant pas d'AMM spécifique dans la SEP (l'ocrélizumab a été préféré en raison de sa meilleure tolérance et de son AMM dans SEP-PP), le rituximab reste largement utilisé dans la SEP en pratique, en particulier dans les pays à ressources limitées où il constitue une </w:t>
      </w:r>
      <w:r>
        <w:rPr>
          <w:b/>
        </w:rPr>
        <w:t>alternative économique à l'ocrélizumab</w:t>
      </w:r>
      <w:r>
        <w:t xml:space="preserve"> — grâce à la disponibilité de biosimilaires algériens (RITUXIMAB-SAIDAL, TRUXIMA Hikma) à coût réduit. Administré par voie intraveineuse à la posologie </w:t>
      </w:r>
      <w:r>
        <w:rPr>
          <w:b/>
        </w:rPr>
        <w:t>1000 mg à J1 et J15, puis 1000 mg tous les 6 mois</w:t>
      </w:r>
      <w:r>
        <w:t xml:space="preserve"> (hors AMM SEP), il assure une déplétion sélective des lymphocytes B CD20+ par ADCC et CDC, avec une efficacité comparable à celle de l'ocrélizumab. Les précautions d'emploi sont identiques (dépistage VHB, prémédication avant perfusion, surveillance hypogammaglobulinémie, risque infectieux). En Algérie, le rituximab est largement disponible, avec 6 spécialités actives (princeps MABTHERA Roche + 5 biosimilaires : REDDITUX Orion, RITUXIMAB-SAIDAL, RIXATHON Sandoz, RUXIENCE Pfizer, TRUXIMA Hikma) et 1 spécialité retirée (KIKUZUBAM Pharmaghreb), garantissant un accès thérapeutique large pour les patients SEP.</w:t>
      </w:r>
    </w:p>
    <w:p>
      <w:r/>
      <w:r>
        <w:rPr>
          <w:b/>
        </w:rPr>
        <w:t>Liste des Catégories :</w:t>
      </w:r>
      <w:r>
        <w:t xml:space="preserve"> LISTE I — Biothérapie anticorps monoclonal anti-CD20 (chimérique) — traitement de fond hors AMM de la SEP-RR.</w:t>
      </w:r>
    </w:p>
    <w:p>
      <w:r/>
      <w:r>
        <w:rPr>
          <w:b/>
        </w:rPr>
        <w:t>Médicaments disponibles en Algérie (Marques, Laboratoires, Formes et Dosages) :</w:t>
      </w:r>
      <w:r/>
    </w:p>
    <w:p>
      <w:r>
        <w:t>Spécialités ACTIVES :</w:t>
      </w:r>
    </w:p>
    <w:p>
      <w:pPr>
        <w:pStyle w:val="ListBullet"/>
      </w:pPr>
      <w:r/>
      <w:r>
        <w:rPr>
          <w:b/>
        </w:rPr>
        <w:t>MABTHERA</w:t>
      </w:r>
      <w:r>
        <w:t xml:space="preserve"> (ROCHE PHARMA (SCHWEIZ) LTD)</w:t>
      </w:r>
    </w:p>
    <w:p>
      <w:pPr>
        <w:pStyle w:val="ListBullet"/>
      </w:pPr>
      <w:r>
        <w:t>Formes et Dosages : Solution concentrée à diluer pour perfusion IV 10 mg/mL (100 mg/10 mL et 500 mg/50 mL) — Boîte de 2 flacons de 10 mL (100 mg) et Boîte de 1 flacon de 50 mL (500 mg)</w:t>
      </w:r>
    </w:p>
    <w:p>
      <w:pPr>
        <w:pStyle w:val="ListBullet"/>
      </w:pPr>
      <w:r>
        <w:t>Statut : Actif (Liste I) — princeps de référence, anticorps monoclonal chimérique IgG1κ anti-CD20</w:t>
      </w:r>
    </w:p>
    <w:p>
      <w:pPr>
        <w:pStyle w:val="ListBullet"/>
      </w:pPr>
      <w:r/>
      <w:r>
        <w:rPr>
          <w:b/>
        </w:rPr>
        <w:t>REDDITUX</w:t>
      </w:r>
      <w:r>
        <w:t xml:space="preserve"> (ORION LAB)</w:t>
      </w:r>
    </w:p>
    <w:p>
      <w:pPr>
        <w:pStyle w:val="ListBullet"/>
      </w:pPr>
      <w:r>
        <w:t>Formes et Dosages : Solution concentrée à diluer pour perfusion IV 10 mg/mL — 1 flacon de 10 mL (100 mg) et 1 flacon de 50 mL (500 mg)</w:t>
      </w:r>
    </w:p>
    <w:p>
      <w:pPr>
        <w:pStyle w:val="ListBullet"/>
      </w:pPr>
      <w:r>
        <w:t>Statut : Actif (Liste I) — biosimilaire de Mabthera</w:t>
      </w:r>
    </w:p>
    <w:p>
      <w:pPr>
        <w:pStyle w:val="ListBullet"/>
      </w:pPr>
      <w:r/>
      <w:r>
        <w:rPr>
          <w:b/>
        </w:rPr>
        <w:t>RITUXIMAB-SAIDAL</w:t>
      </w:r>
      <w:r>
        <w:t xml:space="preserve"> (GROUPE SAIDAL)</w:t>
      </w:r>
    </w:p>
    <w:p>
      <w:pPr>
        <w:pStyle w:val="ListBullet"/>
      </w:pPr>
      <w:r>
        <w:t>Formes et Dosages : Solution concentrée à diluer pour perfusion IV 10 mg/mL — Boîte de 1 flacon de 50 mL (500 mg/50 mL) et Boîte de 2 flacons de 10 mL (100 mg/10 mL)</w:t>
      </w:r>
    </w:p>
    <w:p>
      <w:pPr>
        <w:pStyle w:val="ListBullet"/>
      </w:pPr>
      <w:r>
        <w:t>Statut : Actif (Liste I) — biosimilaire algérien local (production Saidal — fierté nationale)</w:t>
      </w:r>
    </w:p>
    <w:p>
      <w:pPr>
        <w:pStyle w:val="ListBullet"/>
      </w:pPr>
      <w:r/>
      <w:r>
        <w:rPr>
          <w:b/>
        </w:rPr>
        <w:t>RIXATHON</w:t>
      </w:r>
      <w:r>
        <w:t xml:space="preserve"> (SANDOZ GMBH AUTRICHE)</w:t>
      </w:r>
    </w:p>
    <w:p>
      <w:pPr>
        <w:pStyle w:val="ListBullet"/>
      </w:pPr>
      <w:r>
        <w:t>Formes et Dosages : Solution concentrée à diluer pour perfusion IV 10 mg/mL — Boîte de 2 flacons de 10 mL (100 mg) et Boîte de 1 flacon de 50 mL (500 mg)</w:t>
      </w:r>
    </w:p>
    <w:p>
      <w:pPr>
        <w:pStyle w:val="ListBullet"/>
      </w:pPr>
      <w:r>
        <w:t>Statut : Actif (Liste I) — biosimilaire Sandoz</w:t>
      </w:r>
    </w:p>
    <w:p>
      <w:pPr>
        <w:pStyle w:val="ListBullet"/>
      </w:pPr>
      <w:r/>
      <w:r>
        <w:rPr>
          <w:b/>
        </w:rPr>
        <w:t>RUXIENCE</w:t>
      </w:r>
      <w:r>
        <w:t xml:space="preserve"> (PFIZER EUROPE MA EEIG)</w:t>
      </w:r>
    </w:p>
    <w:p>
      <w:pPr>
        <w:pStyle w:val="ListBullet"/>
      </w:pPr>
      <w:r>
        <w:t>Formes et Dosages : Solution concentrée à diluer pour perfusion IV 10 mg/mL — 1 flacon de 10 mL (100 mg) et 1 flacon de 50 mL (500 mg)</w:t>
      </w:r>
    </w:p>
    <w:p>
      <w:pPr>
        <w:pStyle w:val="ListBullet"/>
      </w:pPr>
      <w:r>
        <w:t>Statut : Actif (Liste I) — biosimilaire Pfizer</w:t>
      </w:r>
    </w:p>
    <w:p>
      <w:pPr>
        <w:pStyle w:val="ListBullet"/>
      </w:pPr>
      <w:r/>
      <w:r>
        <w:rPr>
          <w:b/>
        </w:rPr>
        <w:t>TRUXIMA</w:t>
      </w:r>
      <w:r>
        <w:t xml:space="preserve"> (HIKMA PHARMA ALGERIA)</w:t>
      </w:r>
    </w:p>
    <w:p>
      <w:pPr>
        <w:pStyle w:val="ListBullet"/>
      </w:pPr>
      <w:r>
        <w:t>Formes et Dosages : Solution concentrée à diluer pour perfusion IV 10 mg/mL — Boîte de 1 flacon de 50 mL (500 mg) et Boîte de 2 flacons de 10 mL (100 mg)</w:t>
      </w:r>
    </w:p>
    <w:p>
      <w:pPr>
        <w:pStyle w:val="ListBullet"/>
      </w:pPr>
      <w:r>
        <w:t>Statut : Actif (Liste I) — biosimilaire algérien local (production Hikma Algeria)</w:t>
      </w:r>
    </w:p>
    <w:p>
      <w:r>
        <w:t>Spécialités RETIRÉES du marché algérien (à titre informatif — pour historique) :</w:t>
      </w:r>
    </w:p>
    <w:p>
      <w:pPr>
        <w:pStyle w:val="ListBullet"/>
      </w:pPr>
      <w:r/>
      <w:r>
        <w:rPr>
          <w:b/>
        </w:rPr>
        <w:t>KIKUZUBAM</w:t>
      </w:r>
      <w:r>
        <w:t xml:space="preserve"> (PHARMAGHREB)</w:t>
      </w:r>
    </w:p>
    <w:p>
      <w:pPr>
        <w:pStyle w:val="ListBullet"/>
      </w:pPr>
      <w:r>
        <w:t>Formes et Dosages : Solution à diluer pour perfusion IV 10 mg/mL (100 mg/10 mL et 500 mg/50 mL) — Boîte de 2 flacons de 10 mL et Boîte de 1 flacon de 50 mL</w:t>
      </w:r>
    </w:p>
    <w:p>
      <w:pPr>
        <w:pStyle w:val="ListBullet"/>
      </w:pPr>
      <w:r>
        <w:t xml:space="preserve">Statut : </w:t>
      </w:r>
      <w:r>
        <w:rPr>
          <w:b/>
        </w:rPr>
        <w:t>Retiré (R)</w:t>
      </w:r>
      <w:r>
        <w:t xml:space="preserve"> — produit retiré du marché algérien (rappel, raison économique ou qualité)</w:t>
      </w:r>
    </w:p>
    <w:p>
      <w:r/>
      <w:r>
        <w:rPr>
          <w:b/>
        </w:rPr>
        <w:t>Commentaire sur la disponibilité algérienne</w:t>
      </w:r>
      <w:r>
        <w:t xml:space="preserve"> : le marché algérien dispose d'un </w:t>
      </w:r>
      <w:r>
        <w:rPr>
          <w:b/>
        </w:rPr>
        <w:t>panel exceptionnellement large de rituximab</w:t>
      </w:r>
      <w:r>
        <w:t xml:space="preserve"> — 6 spécialités actives (princeps MABTHERA Roche + 5 biosimilaires : REDDITUX Orion, RITUXIMAB-SAIDAL, RIXATHON Sandoz, RUXIENCE Pfizer, TRUXIMA Hikma). Cette diversité reflète l'importance du rituximab dans la stratégie thérapeutique algérienne (oncologie, polyarthrite rhumatoïde, et usage hors AMM dans la SEP et autres maladies auto-immunes). Les deux biosimilaires produits localement en Algérie — </w:t>
      </w:r>
      <w:r>
        <w:rPr>
          <w:b/>
        </w:rPr>
        <w:t>RITUXIMAB-SAIDAL</w:t>
      </w:r>
      <w:r>
        <w:t xml:space="preserve"> (Groupe Saidal, entreprise publique algérienne) et </w:t>
      </w:r>
      <w:r>
        <w:rPr>
          <w:b/>
        </w:rPr>
        <w:t>TRUXIMA</w:t>
      </w:r>
      <w:r>
        <w:t xml:space="preserve"> (Hikma Pharma Algeria) — assurent un accès thérapeutique à coût réduit, particulièrement important pour les patients SEP sans couverture sociale ou dans le cadre de programmes nationaux d'accès aux biothérapies. La prescription est </w:t>
      </w:r>
      <w:r>
        <w:rPr>
          <w:b/>
        </w:rPr>
        <w:t>réservée au milieu hospitalier spécialisé</w:t>
      </w:r>
      <w:r>
        <w:t xml:space="preserve"> (neurologue, oncologue, interniste) pour l'initiation, avec relais possible en ville pour les perfusions d'entretien dans certains centres. La délivrance se fait par les pharmacies à usage intérieur (PUI) des établissements de santé ou par pharmacies de ville autorisées pour la manipulation des biothérapies. La </w:t>
      </w:r>
      <w:r>
        <w:rPr>
          <w:b/>
        </w:rPr>
        <w:t>substitution entre biosimilaires</w:t>
      </w:r>
      <w:r>
        <w:t xml:space="preserve"> est possible (loi algérienne sur les génériques et biosimilaires), avec surveillance clinique rapprochée (3 mois) pour confirmer l'efficacité et la tolérance après switch. Le pharmacien d'officine joue un rôle clé dans l'</w:t>
      </w:r>
      <w:r>
        <w:rPr>
          <w:b/>
        </w:rPr>
        <w:t>éducation thérapeutique du patient</w:t>
      </w:r>
      <w:r>
        <w:t xml:space="preserve"> (observance des rendez-vous de perfusion, reconnaissance des signes d'alerte infectieux), la </w:t>
      </w:r>
      <w:r>
        <w:rPr>
          <w:b/>
        </w:rPr>
        <w:t>gestion de la chaîne du froid</w:t>
      </w:r>
      <w:r>
        <w:t xml:space="preserve"> (+2-8 °C), et la </w:t>
      </w:r>
      <w:r>
        <w:rPr>
          <w:b/>
        </w:rPr>
        <w:t>coordination des soins</w:t>
      </w:r>
      <w:r>
        <w:t xml:space="preserve"> (prise en charge multidisciplinaire).</w:t>
      </w:r>
    </w:p>
    <w:p>
      <w:r/>
      <w:r>
        <w:rPr>
          <w:b/>
        </w:rPr>
        <w:t>Sous-classe et Mécanisme d'action :</w:t>
      </w:r>
      <w:r/>
    </w:p>
    <w:p>
      <w:pPr>
        <w:pStyle w:val="ListBullet"/>
      </w:pPr>
      <w:r/>
      <w:r>
        <w:rPr>
          <w:b/>
        </w:rPr>
        <w:t>Sous-classe</w:t>
      </w:r>
      <w:r>
        <w:t xml:space="preserve"> : Biothérapie de haute efficacité — Anticorps monoclonal chimérique IgG1κ anti-CD20. Usage hors AMM dans la SEP-RR (alternative économique à l'ocrélizumab). Indications AMM principales : oncologie (lymphomes B non-hodgkiniens, leucémie lymphoïde chronique), polyarthrite rhumatoïde, vascularites ANCA.</w:t>
      </w:r>
    </w:p>
    <w:p>
      <w:pPr>
        <w:pStyle w:val="ListBullet"/>
      </w:pPr>
      <w:r/>
      <w:r>
        <w:rPr>
          <w:b/>
        </w:rPr>
        <w:t>Mécanisme d'action</w:t>
      </w:r>
      <w:r>
        <w:t xml:space="preserve"> : le rituximab est un </w:t>
      </w:r>
      <w:r>
        <w:rPr>
          <w:b/>
        </w:rPr>
        <w:t>anticorps monoclonal chimérique IgG1κ</w:t>
      </w:r>
      <w:r>
        <w:t xml:space="preserve"> composé de régions variables d'origine murine (anticorps anti-CD20 murin IDEC-C2B8) greffées sur une structure constante humaine IgG1κ (25 % murin, 75 % humain). Il se lie avec une haute affinité (Kd ~3,5 nM — affinité plus faible que l'ocrélizumab ~0,4 nM) à l'</w:t>
      </w:r>
      <w:r>
        <w:rPr>
          <w:b/>
        </w:rPr>
        <w:t>antigène CD20</w:t>
      </w:r>
      <w:r>
        <w:t xml:space="preserve"> — une phosphoprotéine transmembranaire de 33-37 kDa exprimée à la surface des lymphocytes B pré-B matures jusqu'au stade B mémoire (B CD19+ CD20+), mais </w:t>
      </w:r>
      <w:r>
        <w:rPr>
          <w:b/>
        </w:rPr>
        <w:t>absente des cellules souches hématopoïétiques, des pro-B et des plasmocytes matures</w:t>
      </w:r>
      <w:r>
        <w:t xml:space="preserve">. Cette spécificité d'expression permet de </w:t>
      </w:r>
      <w:r>
        <w:rPr>
          <w:b/>
        </w:rPr>
        <w:t>dépléter sélectivement les lymphocytes B CD20+ périphériques</w:t>
      </w:r>
      <w:r>
        <w:t xml:space="preserve"> (~95 % de déplétion B circulante en 2-4 semaines après la première perfusion) tout en préservant les plasmocytes (et donc la production d'anticorps existante, l'immunité humorale acquise), et de permettre la </w:t>
      </w:r>
      <w:r>
        <w:rPr>
          <w:b/>
        </w:rPr>
        <w:t>repopulation lymphocytaire B</w:t>
      </w:r>
      <w:r>
        <w:t xml:space="preserve"> à partir des cellules souches médullaires après l'arrêt du traitement (repopulation en 6-12 mois). Les mécanismes de déplétion B sont multiples :</w:t>
      </w:r>
    </w:p>
    <w:p>
      <w:r>
        <w:t xml:space="preserve">  (i) </w:t>
      </w:r>
      <w:r>
        <w:rPr>
          <w:b/>
        </w:rPr>
        <w:t>ADCC (Antibody-Dependent Cellular Cytotoxicity)</w:t>
      </w:r>
      <w:r>
        <w:t xml:space="preserve"> — la partie Fc de l'IgG1 du rituximab se lie au récepteur </w:t>
      </w:r>
      <w:r>
        <w:rPr>
          <w:b/>
        </w:rPr>
        <w:t>FcγRIIIa (CD16)</w:t>
      </w:r>
      <w:r>
        <w:t xml:space="preserve"> des cellules Natural Killer (NK) et des macrophages, qui exercent une cytotoxicité directe contre les lymphocytes B CD20+ cibles. Le rituximab a une ADCC moins puissante que l'ocrélizumab (anticorps humanisé avec Fc optimisé).</w:t>
      </w:r>
    </w:p>
    <w:p>
      <w:r>
        <w:t xml:space="preserve">  (ii) </w:t>
      </w:r>
      <w:r>
        <w:rPr>
          <w:b/>
        </w:rPr>
        <w:t>CDC (Complement-Dependent Cytotoxicity)</w:t>
      </w:r>
      <w:r>
        <w:t xml:space="preserve"> — la partie Fc du rituximab active le complément (liaison C1q → cascade C4/C2 → C3 convertase → C3b → complexe d'attaque membranaire C5b-9 → lyse osmotique des lymphocytes B). Le rituximab a une CDC plus puissante que l'ocrélizumab, ce qui explique une plus grande fréquence de réactions à la perfusion (cytokine release syndrome).</w:t>
      </w:r>
    </w:p>
    <w:p>
      <w:r>
        <w:t xml:space="preserve">  (iii) </w:t>
      </w:r>
      <w:r>
        <w:rPr>
          <w:b/>
        </w:rPr>
        <w:t>Apoptose</w:t>
      </w:r>
      <w:r>
        <w:t xml:space="preserve"> — la liaison du CD20 peut induire directement l'apoptose des lymphocytes B via activation des caspases (effet moindre que ADCC et CDC).</w:t>
      </w:r>
    </w:p>
    <w:p>
      <w:r>
        <w:t xml:space="preserve">  (iv) </w:t>
      </w:r>
      <w:r>
        <w:rPr>
          <w:b/>
        </w:rPr>
        <w:t>Justification physiopathologique de la déplétion B dans la SEP</w:t>
      </w:r>
      <w:r>
        <w:t xml:space="preserve"> (cf. fiche ocrélizumab pour le détail) : réduction de la présentation antigénique aux lymphocytes T, réduction de la production de cytokines pro-inflammatoires, réduction de la production d'auto-anticorps — sans compromettre gravement l'immunité humorale acquise.</w:t>
      </w:r>
    </w:p>
    <w:p>
      <w:r>
        <w:t xml:space="preserve">  (v) </w:t>
      </w:r>
      <w:r>
        <w:rPr>
          <w:b/>
        </w:rPr>
        <w:t>Différences avec l'ocrélizumab</w:t>
      </w:r>
      <w:r>
        <w:t xml:space="preserve"> :</w:t>
      </w:r>
    </w:p>
    <w:p>
      <w:pPr>
        <w:pStyle w:val="ListBullet"/>
      </w:pPr>
      <w:r>
        <w:t xml:space="preserve">Structure : rituximab = chimérique (25 % murin) ; ocrélizumab = humanisé (5-10 % murin). Le caractère chimérique du rituximab explique sa </w:t>
      </w:r>
      <w:r>
        <w:rPr>
          <w:b/>
        </w:rPr>
        <w:t>plus grande immunogénicité</w:t>
      </w:r>
      <w:r>
        <w:t xml:space="preserve"> (HACA — Human Anti-Chimeric Antibody — chez 5-10 % des patients, parfois responsables de perte d'efficacité et de réactions à la perfusion).</w:t>
      </w:r>
    </w:p>
    <w:p>
      <w:pPr>
        <w:pStyle w:val="ListBullet"/>
      </w:pPr>
      <w:r>
        <w:t>Affinité CD20 : rituximab Kd ~3,5 nM ; ocrélizumab Kd ~0,4 nM (10× plus élevée).</w:t>
      </w:r>
    </w:p>
    <w:p>
      <w:pPr>
        <w:pStyle w:val="ListBullet"/>
      </w:pPr>
      <w:r>
        <w:t>ADCC : ocrélizumab &gt; rituximab (Fc optimisé).</w:t>
      </w:r>
    </w:p>
    <w:p>
      <w:pPr>
        <w:pStyle w:val="ListBullet"/>
      </w:pPr>
      <w:r>
        <w:t>CDC : rituximab &gt; ocrélizumab (explique la plus grande fréquence de réactions à la perfusion sous rituximab).</w:t>
      </w:r>
    </w:p>
    <w:p>
      <w:pPr>
        <w:pStyle w:val="ListBullet"/>
      </w:pPr>
      <w:r>
        <w:t>AMM SEP : ocrélizumab AMM SEP-RR et SEP-PP ; rituximab hors AMM SEP.</w:t>
      </w:r>
    </w:p>
    <w:p>
      <w:pPr>
        <w:pStyle w:val="ListBullet"/>
      </w:pPr>
      <w:r>
        <w:t>Coût : rituximab &lt; ocrélizumab (bénéfice économique majeur dans les pays à ressources limitées).</w:t>
      </w:r>
    </w:p>
    <w:p>
      <w:r>
        <w:t xml:space="preserve">  (vi) </w:t>
      </w:r>
      <w:r>
        <w:rPr>
          <w:b/>
        </w:rPr>
        <w:t>Pharmacocinétique</w:t>
      </w:r>
      <w:r>
        <w:t xml:space="preserve"> : administration IV stricte. Distribution limitée au compartiment vasculaire et lymphatique (Vd ~4-7 L), forte liaison aux lymphocytes B cibles. Métabolisme protéique non enzymatique (catabolisme lysosomal par les cellules du système réticulo-endothélial). Demi-vie terminale longue ~18-22 jours (anticorps monoclonal IgG1 — protégé de la dégradation par FcRn recycling). Excrétion : pas d'élimination rénale ou hépatique pertinente. Pas d'adaptation posologique selon âge, poids, fonction rénale ou hépatique. Concentrations résiduelles détectables 6-12 mois après la dernière perfusion (demi-vie longue).</w:t>
      </w:r>
    </w:p>
    <w:p>
      <w:r/>
      <w:r>
        <w:rPr>
          <w:b/>
        </w:rPr>
        <w:t>Profil Pharmacologique :</w:t>
      </w:r>
      <w:r/>
    </w:p>
    <w:p>
      <w:pPr>
        <w:pStyle w:val="ListBullet"/>
      </w:pPr>
      <w:r/>
      <w:r>
        <w:rPr>
          <w:b/>
        </w:rPr>
        <w:t>Indications</w:t>
      </w:r>
      <w:r>
        <w:t xml:space="preserve"> :</w:t>
      </w:r>
    </w:p>
    <w:p>
      <w:pPr>
        <w:pStyle w:val="ListBullet"/>
      </w:pPr>
      <w:r/>
      <w:r>
        <w:rPr>
          <w:b/>
        </w:rPr>
        <w:t>SEP-RR active (usage hors AMM)</w:t>
      </w:r>
      <w:r>
        <w:t xml:space="preserve"> : alternative économique à l'ocrélizumab, en particulier dans les pays à ressources limitées. Indications selon consensus d'experts (ECTRIMS/EAN 2018-2024) :</w:t>
      </w:r>
    </w:p>
    <w:p>
      <w:pPr>
        <w:pStyle w:val="ListBullet"/>
      </w:pPr>
      <w:r>
        <w:t>SEP-RR active résistante aux IFNβ/glatiramer</w:t>
      </w:r>
    </w:p>
    <w:p>
      <w:pPr>
        <w:pStyle w:val="ListBullet"/>
      </w:pPr>
      <w:r>
        <w:t>SEP-RR active d'emblée (haute efficacité précoce), alternative au natalizumab si JCV-positif</w:t>
      </w:r>
    </w:p>
    <w:p>
      <w:pPr>
        <w:pStyle w:val="ListBullet"/>
      </w:pPr>
      <w:r>
        <w:t>SEP progressive secondaire (SEP-SP) avec activité inflammatoire résiduelle (données limitées)</w:t>
      </w:r>
    </w:p>
    <w:p>
      <w:pPr>
        <w:pStyle w:val="ListBullet"/>
      </w:pPr>
      <w:r>
        <w:t>Indications AMM principales (hors SEP) :</w:t>
      </w:r>
    </w:p>
    <w:p>
      <w:pPr>
        <w:pStyle w:val="ListBullet"/>
      </w:pPr>
      <w:r>
        <w:t>Lymphomes B non-hodgkiniens (LNH) CD20+ (folliculaires, diffus à grandes cellules B) — induction, entretien, rechute</w:t>
      </w:r>
    </w:p>
    <w:p>
      <w:pPr>
        <w:pStyle w:val="ListBullet"/>
      </w:pPr>
      <w:r>
        <w:t>Leucémie lymphoïde chronique (LLC) B — en association avec chimiothérapie</w:t>
      </w:r>
    </w:p>
    <w:p>
      <w:pPr>
        <w:pStyle w:val="ListBullet"/>
      </w:pPr>
      <w:r>
        <w:t>Polyarthrite rhumatoïde (PR) sévère active — en association au méthotrexate</w:t>
      </w:r>
    </w:p>
    <w:p>
      <w:pPr>
        <w:pStyle w:val="ListBullet"/>
      </w:pPr>
      <w:r>
        <w:t>Vascularites à ANCA (granulomatose avec polyangéite, polyangéite microscopique) — induction et entretien</w:t>
      </w:r>
    </w:p>
    <w:p>
      <w:pPr>
        <w:pStyle w:val="ListBullet"/>
      </w:pPr>
      <w:r>
        <w:t>Pemphigus vulgaire — induction et entretien</w:t>
      </w:r>
    </w:p>
    <w:p>
      <w:pPr>
        <w:pStyle w:val="ListBullet"/>
      </w:pPr>
      <w:r>
        <w:t>Hors AMM : autres maladies auto-immunes (lupus, syndrome de Sjögren, cytopénies auto-immunes, néphropathies membraneuses)</w:t>
      </w:r>
    </w:p>
    <w:p>
      <w:pPr>
        <w:pStyle w:val="ListBullet"/>
      </w:pPr>
      <w:r/>
      <w:r>
        <w:rPr>
          <w:b/>
        </w:rPr>
        <w:t>Contre-indications</w:t>
      </w:r>
      <w:r>
        <w:t xml:space="preserve"> :</w:t>
      </w:r>
    </w:p>
    <w:p>
      <w:pPr>
        <w:pStyle w:val="ListBullet"/>
      </w:pPr>
      <w:r/>
      <w:r>
        <w:rPr>
          <w:b/>
        </w:rPr>
        <w:t>Hypersensibilité</w:t>
      </w:r>
      <w:r>
        <w:t xml:space="preserve"> au rituximab ou à l'un des excipients (protéines murines incluses — réactions allergiques croisées possibles)</w:t>
      </w:r>
    </w:p>
    <w:p>
      <w:pPr>
        <w:pStyle w:val="ListBullet"/>
      </w:pPr>
      <w:r/>
      <w:r>
        <w:rPr>
          <w:b/>
        </w:rPr>
        <w:t>Hépatite B active</w:t>
      </w:r>
      <w:r>
        <w:t xml:space="preserve"> (AgHBs+) non traitée — risque de réactivation virale fulminante</w:t>
      </w:r>
    </w:p>
    <w:p>
      <w:pPr>
        <w:pStyle w:val="ListBullet"/>
      </w:pPr>
      <w:r/>
      <w:r>
        <w:rPr>
          <w:b/>
        </w:rPr>
        <w:t>Infections sévères actives</w:t>
      </w:r>
      <w:r>
        <w:t xml:space="preserve"> (sepsis, infections opportunistes actives)</w:t>
      </w:r>
    </w:p>
    <w:p>
      <w:pPr>
        <w:pStyle w:val="ListBullet"/>
      </w:pPr>
      <w:r/>
      <w:r>
        <w:rPr>
          <w:b/>
        </w:rPr>
        <w:t>Immunodéficience sévère</w:t>
      </w:r>
      <w:r>
        <w:t xml:space="preserve"> (sida, lymphomes, leucémies)</w:t>
      </w:r>
    </w:p>
    <w:p>
      <w:pPr>
        <w:pStyle w:val="ListBullet"/>
      </w:pPr>
      <w:r/>
      <w:r>
        <w:rPr>
          <w:b/>
        </w:rPr>
        <w:t>Grossesse</w:t>
      </w:r>
      <w:r>
        <w:t xml:space="preserve"> : à éviter par prudence (IgG1 traversant le placenta, cytopénie B du nouveau-né), sauf si maladie très active et bénéfice/risque favorable</w:t>
      </w:r>
    </w:p>
    <w:p>
      <w:pPr>
        <w:pStyle w:val="ListBullet"/>
      </w:pPr>
      <w:r/>
      <w:r>
        <w:rPr>
          <w:b/>
        </w:rPr>
        <w:t>Allaitement</w:t>
      </w:r>
      <w:r>
        <w:t xml:space="preserve"> : à éviter par prudence</w:t>
      </w:r>
    </w:p>
    <w:p>
      <w:pPr>
        <w:pStyle w:val="ListBullet"/>
      </w:pPr>
      <w:r/>
      <w:r>
        <w:rPr>
          <w:b/>
        </w:rPr>
        <w:t>Prudence</w:t>
      </w:r>
      <w:r>
        <w:t xml:space="preserve"> : antécédent d'hépatite B guérie (Ac anti-HBc+ AgHBs−) — prophylaxie antivirale ; tuberculose latente non traitée ; hypogammaglobulinémie préexistante (IgG &lt; 6 g/L) ; antécédent de cancer ; insuffisance cardiaque sévère (NYHA IV) — prudence avec les perfusions (surcharge volémique)</w:t>
      </w:r>
    </w:p>
    <w:p>
      <w:pPr>
        <w:pStyle w:val="ListBullet"/>
      </w:pPr>
      <w:r/>
      <w:r>
        <w:rPr>
          <w:b/>
        </w:rPr>
        <w:t>Effets Indésirables</w:t>
      </w:r>
      <w:r>
        <w:t xml:space="preserve"> :</w:t>
      </w:r>
    </w:p>
    <w:p>
      <w:pPr>
        <w:pStyle w:val="ListBullet"/>
      </w:pPr>
      <w:r/>
      <w:r>
        <w:rPr>
          <w:b/>
        </w:rPr>
        <w:t>Réactions à la perfusion</w:t>
      </w:r>
      <w:r>
        <w:t xml:space="preserve"> (30-50 % des patients au moins une fois, surtout à la première perfusion) : fièvre, frissons, prurit, urticaire, dyspnée, hypotension, plus rarement choc anaphylactique (1-2 %). Mécanisme : libération massive de cytokines (TNFα, IL-6, IFNγ) par les lymphocytes B en cours de lyse (cytokine release syndrome — plus marqué que pour l'ocrélizumab en raison de la CDC plus puissante). Prévention : prémédication par antihistaminique H1 (dexchlorphéniramine 5 mg IV) + corticothérapie (méthylprednisolone 100 mg IV) + antipyrétique (paracétamol 1 g) 30 min avant la perfusion. Surveillance continue pendant et 1-2 h après.</w:t>
      </w:r>
    </w:p>
    <w:p>
      <w:pPr>
        <w:pStyle w:val="ListBullet"/>
      </w:pPr>
      <w:r/>
      <w:r>
        <w:rPr>
          <w:b/>
        </w:rPr>
        <w:t>Infections</w:t>
      </w:r>
      <w:r>
        <w:t xml:space="preserve"> : augmentation modeste vs comparateur (30-50 %), surtout infections ORL, urinaires, grippales, herpétiques. Infections graves 2-3 %. Prévention : dépistage VHB/VHC/tuberculose, statut vaccinal avant initiation.</w:t>
      </w:r>
    </w:p>
    <w:p>
      <w:pPr>
        <w:pStyle w:val="ListBullet"/>
      </w:pPr>
      <w:r/>
      <w:r>
        <w:rPr>
          <w:b/>
        </w:rPr>
        <w:t>Réactivation hépatite B</w:t>
      </w:r>
      <w:r>
        <w:t xml:space="preserve"> — risque majeur chez les patients porteurs chroniques (AgHBs+) ou antécédents VHB (Ac anti-HBc+). La réactivation peut être fulminante et fatale. Prévention : dépistage systématique AgHBs + Ac anti-HBc + Ac anti-HBs pré-thérapeutique obligatoire ; prophylaxie antivirale (entécavir 0,5 mg/j ou ténofovir 245 mg/j) pendant et 12 mois après l'arrêt chez les porteurs AgHBs+ ou Ac anti-HBc+.</w:t>
      </w:r>
    </w:p>
    <w:p>
      <w:pPr>
        <w:pStyle w:val="ListBullet"/>
      </w:pPr>
      <w:r/>
      <w:r>
        <w:rPr>
          <w:b/>
        </w:rPr>
        <w:t>PML (Leucoencéphalopathie Multifocale Progressive)</w:t>
      </w:r>
      <w:r>
        <w:t xml:space="preserve"> — signal plus important que pour l'ocrélizumab (incidence ~0,02-0,1 % dans la polyarthrite rhumatoïde, plus faible dans la SEP), à surveiller en cas de symptômes neurologiques nouveaux.</w:t>
      </w:r>
    </w:p>
    <w:p>
      <w:pPr>
        <w:pStyle w:val="ListBullet"/>
      </w:pPr>
      <w:r/>
      <w:r>
        <w:rPr>
          <w:b/>
        </w:rPr>
        <w:t>Cytopénies</w:t>
      </w:r>
      <w:r>
        <w:t xml:space="preserve"> — thrombopénie transitoire, neutropénie tardive (3-6 mois après perfusion — "late-onset neutropenia" spécifique du rituximab).</w:t>
      </w:r>
    </w:p>
    <w:p>
      <w:pPr>
        <w:pStyle w:val="ListBullet"/>
      </w:pPr>
      <w:r/>
      <w:r>
        <w:rPr>
          <w:b/>
        </w:rPr>
        <w:t>Hypogammaglobulinémie</w:t>
      </w:r>
      <w:r>
        <w:t xml:space="preserve"> — baisse progressive des IgG, IgM, IgA à long terme (effet attendu — déplétion B répétée), augmentant le risque infectieux à long terme. Surveillance IgG semestrielle, arrêt ou espacement des cures si IgG &lt; 4-5 g/L.</w:t>
      </w:r>
    </w:p>
    <w:p>
      <w:pPr>
        <w:pStyle w:val="ListBullet"/>
      </w:pPr>
      <w:r/>
      <w:r>
        <w:rPr>
          <w:b/>
        </w:rPr>
        <w:t>Immunogénicité</w:t>
      </w:r>
      <w:r>
        <w:t xml:space="preserve"> : anticorps HACA (Human Anti-Chimeric Antibody) chez 5-10 % des patients, parfois responsables de perte d'efficacité et de réactions à la perfusion accrues. Détection par dosage Ac anti-rituximab en cas d'inefficacité ou de réactions.</w:t>
      </w:r>
    </w:p>
    <w:p>
      <w:pPr>
        <w:pStyle w:val="ListBullet"/>
      </w:pPr>
      <w:r/>
      <w:r>
        <w:rPr>
          <w:b/>
        </w:rPr>
        <w:t>Anomalies hépatiques</w:t>
      </w:r>
      <w:r>
        <w:t xml:space="preserve"> — cytolyse transitoire (~5-10 %).</w:t>
      </w:r>
    </w:p>
    <w:p>
      <w:pPr>
        <w:pStyle w:val="ListBullet"/>
      </w:pPr>
      <w:r/>
      <w:r>
        <w:rPr>
          <w:b/>
        </w:rPr>
        <w:t>Effets rares mais graves</w:t>
      </w:r>
      <w:r>
        <w:t xml:space="preserve"> : anaphylaxie (rare, &lt;0,1 %), vascularite cutanée, syndrome de Lyell, syndrome de Stevens-Johnson (très rares), syndrome de fuite capillaire (Clarkson, très rare), pneumopathie interstitielle (rare), arythmies cardiaques (rares).</w:t>
      </w:r>
    </w:p>
    <w:p>
      <w:pPr>
        <w:pStyle w:val="ListBullet"/>
      </w:pPr>
      <w:r/>
      <w:r>
        <w:rPr>
          <w:b/>
        </w:rPr>
        <w:t>Risque obstétrical</w:t>
      </w:r>
      <w:r>
        <w:t xml:space="preserve"> : IgG1 traversant le placenta (surtout 3e trimestre), cytopénie transitoire du nouveau-né (lymphopénie B) possible. Vaccins vivants du nourrisson (BCG, ROR) à différer si mère traitée en fin de grossesse.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NFS, transaminases, créatinine, </w:t>
      </w:r>
      <w:r>
        <w:rPr>
          <w:b/>
        </w:rPr>
        <w:t>IgG, IgM, IgA</w:t>
      </w:r>
      <w:r>
        <w:t xml:space="preserve"> (hypogammaglobulinémie préexistante), </w:t>
      </w:r>
      <w:r>
        <w:rPr>
          <w:b/>
        </w:rPr>
        <w:t>sérologie VHB complète (AgHBs, Ac anti-HBs, Ac anti-HBc)</w:t>
      </w:r>
      <w:r>
        <w:t xml:space="preserve"> obligatoire (réactivation VHB), sérologies VHC, VIH, VZV (vacciner si séronégatif avant initiation), IDR à la tuberculine ou IGRA, β-hCG chez femme en âge de procréer, examen neurologique avec EDSS, IRM cérébrale initiale (référence).</w:t>
      </w:r>
    </w:p>
    <w:p>
      <w:pPr>
        <w:pStyle w:val="ListBullet"/>
      </w:pPr>
      <w:r/>
      <w:r>
        <w:rPr>
          <w:b/>
        </w:rPr>
        <w:t>Prophylaxie VHB</w:t>
      </w:r>
      <w:r>
        <w:t xml:space="preserve"> : chez les porteurs AgHBs+ ou Ac anti-HBc+, prophylaxie antivirale par </w:t>
      </w:r>
      <w:r>
        <w:rPr>
          <w:b/>
        </w:rPr>
        <w:t>entécavir 0,5 mg/j</w:t>
      </w:r>
      <w:r>
        <w:t xml:space="preserve"> ou </w:t>
      </w:r>
      <w:r>
        <w:rPr>
          <w:b/>
        </w:rPr>
        <w:t>ténofovir 245 mg/j</w:t>
      </w:r>
      <w:r>
        <w:t xml:space="preserve"> pendant toute la durée du traitement et 12 mois après l'arrêt (surveillance mensuelle AgHBs, ALAT, charge virale VHB).</w:t>
      </w:r>
    </w:p>
    <w:p>
      <w:pPr>
        <w:pStyle w:val="ListBullet"/>
      </w:pPr>
      <w:r/>
      <w:r>
        <w:rPr>
          <w:b/>
        </w:rPr>
        <w:t>Vaccination</w:t>
      </w:r>
      <w:r>
        <w:t xml:space="preserve"> : mise à jour vaccins inactivés au moins 2-4 semaines avant initiation (grippe annuelle, pneumocoque, hépatite B si séronégatif, tétanos-polio). Vaccins vivants (ROR, BCG, fièvre jaune, varicelle, rotavirus) contre-indiqués pendant et 6 mois après l'arrêt.</w:t>
      </w:r>
    </w:p>
    <w:p>
      <w:pPr>
        <w:pStyle w:val="ListBullet"/>
      </w:pPr>
      <w:r/>
      <w:r>
        <w:rPr>
          <w:b/>
        </w:rPr>
        <w:t>Prémédication</w:t>
      </w:r>
      <w:r>
        <w:t xml:space="preserve"> : dexchlorphéniramine 5 mg IV + méthylprednisolone 100 mg IV + paracétamol 1 g, 30 min avant la perfusion (prévention des réactions à la perfusion — particulièrement importante pour le rituximab en raison de la CDC plus puissante que l'ocrélizumab).</w:t>
      </w:r>
    </w:p>
    <w:p>
      <w:pPr>
        <w:pStyle w:val="ListBullet"/>
      </w:pPr>
      <w:r/>
      <w:r>
        <w:rPr>
          <w:b/>
        </w:rPr>
        <w:t>Surveillance pendant la perfusion</w:t>
      </w:r>
      <w:r>
        <w:t xml:space="preserve"> : perfusion IV progressive (initial 50 mg/h, augmentation par paliers de 50 mg/h toutes les 30 min si tolérance bonne, max 400 mg/h), surveillance continue (tension, pouls, SaO2) pendant et 1-2 h après.</w:t>
      </w:r>
    </w:p>
    <w:p>
      <w:pPr>
        <w:pStyle w:val="ListBullet"/>
      </w:pPr>
      <w:r/>
      <w:r>
        <w:rPr>
          <w:b/>
        </w:rPr>
        <w:t>Surveillance biologique</w:t>
      </w:r>
      <w:r>
        <w:t xml:space="preserve"> : NFS-plaquettes, transaminases, IgG/IgM/IgA trimestrielle première année puis semestrielle (hypogammaglobulinémie), examen neurologique semestriel avec EDSS, IRM cérébrale annuelle (référence).</w:t>
      </w:r>
    </w:p>
    <w:p>
      <w:pPr>
        <w:pStyle w:val="ListBullet"/>
      </w:pPr>
      <w:r/>
      <w:r>
        <w:rPr>
          <w:b/>
        </w:rPr>
        <w:t>Surveillance infectieuse</w:t>
      </w:r>
      <w:r>
        <w:t xml:space="preserve"> : clinique (rechercher signes infectieux), biologie (NFS), information du patient sur les signes d'alerte (fièvre, toux, dysurie, rash).</w:t>
      </w:r>
    </w:p>
    <w:p>
      <w:pPr>
        <w:pStyle w:val="ListBullet"/>
      </w:pPr>
      <w:r/>
      <w:r>
        <w:rPr>
          <w:b/>
        </w:rPr>
        <w:t>Conduite à Tenir</w:t>
      </w:r>
      <w:r>
        <w:t xml:space="preserve"> :</w:t>
      </w:r>
    </w:p>
    <w:p>
      <w:pPr>
        <w:pStyle w:val="ListBullet"/>
      </w:pPr>
      <w:r/>
      <w:r>
        <w:rPr>
          <w:b/>
        </w:rPr>
        <w:t>Réaction à la perfusion légère</w:t>
      </w:r>
      <w:r>
        <w:t xml:space="preserve"> : ralentir le débit (50%), antihistaminique, surveillance. </w:t>
      </w:r>
      <w:r>
        <w:rPr>
          <w:b/>
        </w:rPr>
        <w:t>Réaction modérée à sévère</w:t>
      </w:r>
      <w:r>
        <w:t xml:space="preserve"> : arrêt immédiat, réanimation symptomatique (antihistaminique, corticothérapie, adrénaline si choc anaphylactique), contre-indication à la reprise si anaphylaxie grave. Prémédication renforcée pour la perfusion suivante.</w:t>
      </w:r>
    </w:p>
    <w:p>
      <w:pPr>
        <w:pStyle w:val="ListBullet"/>
      </w:pPr>
      <w:r/>
      <w:r>
        <w:rPr>
          <w:b/>
        </w:rPr>
        <w:t>Infection sévère</w:t>
      </w:r>
      <w:r>
        <w:t xml:space="preserve"> : arrêt immédiat, prélèvements bactériologiques adaptés, antibiothérapie large spectre, hospitalisation si nécessaire. Ne pas reprendre avant contrôle complet.</w:t>
      </w:r>
    </w:p>
    <w:p>
      <w:pPr>
        <w:pStyle w:val="ListBullet"/>
      </w:pPr>
      <w:r/>
      <w:r>
        <w:rPr>
          <w:b/>
        </w:rPr>
        <w:t>Réactivation VHB</w:t>
      </w:r>
      <w:r>
        <w:t xml:space="preserve"> (cytolyse hépatique, AgHBs redevient positif, charge virale VHB augmentée) : arrêt immédiat, avis hépatologique urgent, traitement antiviral urgent (entécavir 1 mg/j ou ténofovir 245 mg/j), surveillance hépatique rapprochée.</w:t>
      </w:r>
    </w:p>
    <w:p>
      <w:pPr>
        <w:pStyle w:val="ListBullet"/>
      </w:pPr>
      <w:r/>
      <w:r>
        <w:rPr>
          <w:b/>
        </w:rPr>
        <w:t>Hypogammaglobulinémie IgG &lt; 4-5 g/L</w:t>
      </w:r>
      <w:r>
        <w:t xml:space="preserve"> : espacement des cures, surveillance infectieuse renforcée, discussion immunoglobulines de substitution si infections récurrentes sévères.</w:t>
      </w:r>
    </w:p>
    <w:p>
      <w:pPr>
        <w:pStyle w:val="ListBullet"/>
      </w:pPr>
      <w:r/>
      <w:r>
        <w:rPr>
          <w:b/>
        </w:rPr>
        <w:t>PML suspectée</w:t>
      </w:r>
      <w:r>
        <w:t xml:space="preserve"> : IRM cérébrale en urgence, ponction lombaire avec PCR JCV.</w:t>
      </w:r>
    </w:p>
    <w:p>
      <w:pPr>
        <w:pStyle w:val="ListBullet"/>
      </w:pPr>
      <w:r/>
      <w:r>
        <w:rPr>
          <w:b/>
        </w:rPr>
        <w:t>Poussée sous traitement</w:t>
      </w:r>
      <w:r>
        <w:t xml:space="preserve"> : évaluation de la réponse thérapeutique (≥2 poussées/an ou progression IRM = échece thérapeutique, switch vers autre classe selon profil patient — natalizumab si JCV-négatif).</w:t>
      </w:r>
    </w:p>
    <w:p>
      <w:r/>
      <w:r>
        <w:rPr>
          <w:b/>
        </w:rPr>
        <w:t>Interactions Importantes :</w:t>
      </w:r>
      <w:r/>
    </w:p>
    <w:p>
      <w:pPr>
        <w:pStyle w:val="ListBullet"/>
      </w:pPr>
      <w:r/>
      <w:r>
        <w:rPr>
          <w:b/>
        </w:rPr>
        <w:t>Rituximab + vaccins vivants (BCG, ROR, fièvre jaune, varicelle, rotavirus, oral polio)</w:t>
      </w:r>
      <w:r>
        <w:t xml:space="preserve"> : contre-indication absolue — risque d'infection vaccinale généralisée. Attendre 6 mois après l'arrêt du rituximab (récupération immunitaire B) pour vacciner.</w:t>
      </w:r>
    </w:p>
    <w:p>
      <w:pPr>
        <w:pStyle w:val="ListBullet"/>
      </w:pPr>
      <w:r/>
      <w:r>
        <w:rPr>
          <w:b/>
        </w:rPr>
        <w:t>Rituximab + vaccins inactivés (grippe, pneumocoque, hépatite B, tétanos-polio)</w:t>
      </w:r>
      <w:r>
        <w:t xml:space="preserve"> : possible mais réponse vaccinale potentiellement réduite (déplétion B). Vacciner avant initiation si possible (2-4 semaines avant).</w:t>
      </w:r>
    </w:p>
    <w:p>
      <w:pPr>
        <w:pStyle w:val="ListBullet"/>
      </w:pPr>
      <w:r/>
      <w:r>
        <w:rPr>
          <w:b/>
        </w:rPr>
        <w:t>Rituximab + immunosuppresseurs (azathioprine, méthotrexate, mitoxantrone, anti-TNFα, natalizumab, fingolimod, diméthyl fumarate, ocrélizumab)</w:t>
      </w:r>
      <w:r>
        <w:t xml:space="preserve"> : contre-indication absolue — risque d'immunosuppression additive majeure.</w:t>
      </w:r>
    </w:p>
    <w:p>
      <w:pPr>
        <w:pStyle w:val="ListBullet"/>
      </w:pPr>
      <w:r/>
      <w:r>
        <w:rPr>
          <w:b/>
        </w:rPr>
        <w:t>Rituximab + IFNβ ou glatiramer</w:t>
      </w:r>
      <w:r>
        <w:t xml:space="preserve"> : associations déconseillées — pas de bénéfice additif démontré. Switch plutôt que combinaison.</w:t>
      </w:r>
    </w:p>
    <w:p>
      <w:pPr>
        <w:pStyle w:val="ListBullet"/>
      </w:pPr>
      <w:r/>
      <w:r>
        <w:rPr>
          <w:b/>
        </w:rPr>
        <w:t>Rituximab + corticoïdes</w:t>
      </w:r>
      <w:r>
        <w:t xml:space="preserve"> : pas d'interaction pharmacocinétique majeure mais majoration du risque infectieux. Possible utilisation ponctuelle de bolus de méthylprednisolone (1 g IV J1-J3) pour poussée de SEP pendant le traitement par rituximab.</w:t>
      </w:r>
    </w:p>
    <w:p>
      <w:pPr>
        <w:pStyle w:val="ListBullet"/>
      </w:pPr>
      <w:r/>
      <w:r>
        <w:rPr>
          <w:b/>
        </w:rPr>
        <w:t>Rituximab + chimiothérapies</w:t>
      </w:r>
      <w:r>
        <w:t xml:space="preserve"> (en oncologie) : synergie d'efficacité, mais surveillance hématologique accrue (myélosuppression additive).</w:t>
      </w:r>
    </w:p>
    <w:p>
      <w:pPr>
        <w:pStyle w:val="ListBullet"/>
      </w:pPr>
      <w:r/>
      <w:r>
        <w:rPr>
          <w:b/>
        </w:rPr>
        <w:t>Rituximab + méthotrexate</w:t>
      </w:r>
      <w:r>
        <w:t xml:space="preserve"> (en PR) : synergie d'efficacité, association recommandée.</w:t>
      </w:r>
    </w:p>
    <w:p>
      <w:pPr>
        <w:pStyle w:val="ListBullet"/>
      </w:pPr>
      <w:r/>
      <w:r>
        <w:rPr>
          <w:b/>
        </w:rPr>
        <w:t>Rituximab + autres biothérapies</w:t>
      </w:r>
      <w:r>
        <w:t xml:space="preserve"> : associations déconseillées — risque infectieux majoré.</w:t>
      </w:r>
    </w:p>
    <w:p>
      <w:r/>
      <w:r>
        <w:rPr>
          <w:b/>
        </w:rPr>
        <w:t>Grossesse et Allaitement :</w:t>
      </w:r>
      <w:r/>
    </w:p>
    <w:p>
      <w:pPr>
        <w:pStyle w:val="ListBullet"/>
      </w:pPr>
      <w:r/>
      <w:r>
        <w:rPr>
          <w:b/>
        </w:rPr>
        <w:t>Grossesse</w:t>
      </w:r>
      <w:r>
        <w:t xml:space="preserve"> : selon le CRAT, le rituximab est </w:t>
      </w:r>
      <w:r>
        <w:rPr>
          <w:b/>
        </w:rPr>
        <w:t>à éviter par prudence</w:t>
      </w:r>
      <w:r>
        <w:t xml:space="preserve"> pendant la grossesse, en l'absence de données suffisantes à ce jour (expérience limitée à ~1000 grossesses exposées dans les indications oncologiques et auto-immunes). Les IgG1 traversent activement le placenta (surtout 3e trimestre, transport FcRn), et peuvent induire une </w:t>
      </w:r>
      <w:r>
        <w:rPr>
          <w:b/>
        </w:rPr>
        <w:t>lymphopénie B transitoire du nouveau-né</w:t>
      </w:r>
      <w:r>
        <w:t xml:space="preserve"> (à surveiller NFS-J1 et vaccination vivante du nourrisson à différer). Les données animales (singes) ne montrent pas de tératogénicité, mais un effet sur le système immunitaire fœtal. Recommandations 2024 (CRAT, ECTRIMS/EMPG) :</w:t>
      </w:r>
    </w:p>
    <w:p>
      <w:pPr>
        <w:pStyle w:val="ListBullet"/>
      </w:pPr>
      <w:r/>
      <w:r>
        <w:rPr>
          <w:b/>
        </w:rPr>
        <w:t>Arrêt recommandé avant conception</w:t>
      </w:r>
      <w:r>
        <w:t xml:space="preserve"> en cas de maladie quiescente (wash-out de 6-12 mois, surveillance rapprochée pour poussée).</w:t>
      </w:r>
    </w:p>
    <w:p>
      <w:pPr>
        <w:pStyle w:val="ListBullet"/>
      </w:pPr>
      <w:r>
        <w:t>En cas de maladie active (poussées récentes, IRM active), maintien possible au cas par cas après information éclairée de la patiente, avec arrêt avant le 3e trimestre (dernière perfusion ~S28-S30) pour minimiser l'imprégnation fœtale.</w:t>
      </w:r>
    </w:p>
    <w:p>
      <w:pPr>
        <w:pStyle w:val="ListBullet"/>
      </w:pPr>
      <w:r>
        <w:t xml:space="preserve">En cas de </w:t>
      </w:r>
      <w:r>
        <w:rPr>
          <w:b/>
        </w:rPr>
        <w:t>grossesse sous rituximab</w:t>
      </w:r>
      <w:r>
        <w:t xml:space="preserve"> : surveillance échographique rapprochée, surveillance NFS du nouveau-né (lymphopénie B transitoire), </w:t>
      </w:r>
      <w:r>
        <w:rPr>
          <w:b/>
        </w:rPr>
        <w:t>vaccins vivants du nourrisson (BCG, ROR) à différer jusqu'à 6-12 mois selon clairance de l'anticorps</w:t>
      </w:r>
      <w:r>
        <w:t>.</w:t>
      </w:r>
    </w:p>
    <w:p>
      <w:pPr>
        <w:pStyle w:val="ListBullet"/>
      </w:pPr>
      <w:r>
        <w:t>Planification de grossesse : switch vers IFNβ ou glatiramer (compatibles) avant conception si maladie quiescente ; si maladie active, maintien du rituximab avec arrêt avant 3e trimestre.</w:t>
      </w:r>
    </w:p>
    <w:p>
      <w:pPr>
        <w:pStyle w:val="ListBullet"/>
      </w:pPr>
      <w:r/>
      <w:r>
        <w:rPr>
          <w:b/>
        </w:rPr>
        <w:t>Allaitement</w:t>
      </w:r>
      <w:r>
        <w:t xml:space="preserve"> : selon le CRAT, le rituximab est </w:t>
      </w:r>
      <w:r>
        <w:rPr>
          <w:b/>
        </w:rPr>
        <w:t>compatible avec l'allaitement</w:t>
      </w:r>
      <w:r>
        <w:t xml:space="preserve"> par prudence. Les IgG1 passent dans le lait maternel mais en quantité minimale, et la dégradation protéique digestive chez le nourrisson rend l'absorption systémique négligeable. Décision au cas par cas avec la patiente.</w:t>
      </w:r>
    </w:p>
    <w:p>
      <w:pPr>
        <w:pStyle w:val="ListBullet"/>
      </w:pPr>
      <w:r/>
      <w:r>
        <w:rPr>
          <w:b/>
        </w:rPr>
        <w:t>Précisions</w:t>
      </w:r>
      <w:r>
        <w:t xml:space="preserve"> : la planification de la grossesse chez la femme SEP sous rituximab est similaire à celle sous ocrélizumab. Le rituximab a une demi-vie longue (~18-22 jours), la déplétion B persiste 6-12 mois après la dernière perfusion, et le wash-out complet est long. En pratique, préférence pour : (i) maintien du rituximab pendant la grossesse si maladie active (dernière perfusion ~S28-S30) ; (ii) switch vers IFNβ/glatiramer avant conception si maladie quiescente depuis &gt; 1 an.</w:t>
      </w:r>
    </w:p>
    <w:p>
      <w:r/>
      <w:r>
        <w:rPr>
          <w:b/>
        </w:rPr>
        <w:t>Posologie et Mode d'administration (Standard) :</w:t>
      </w:r>
      <w:r/>
    </w:p>
    <w:p>
      <w:pPr>
        <w:pStyle w:val="ListBullet"/>
      </w:pPr>
      <w:r/>
      <w:r>
        <w:rPr>
          <w:b/>
        </w:rPr>
        <w:t>Adulte</w:t>
      </w:r>
      <w:r>
        <w:t xml:space="preserve"> (usage SEP hors AMM) :</w:t>
      </w:r>
    </w:p>
    <w:p>
      <w:pPr>
        <w:pStyle w:val="ListBullet"/>
      </w:pPr>
      <w:r/>
      <w:r>
        <w:rPr>
          <w:b/>
        </w:rPr>
        <w:t>Schéma d'induction</w:t>
      </w:r>
      <w:r>
        <w:t xml:space="preserve"> : 1000 mg IV à J1 et J15 (deux perfusions d'induction à 2 semaines d'intervalle).</w:t>
      </w:r>
    </w:p>
    <w:p>
      <w:pPr>
        <w:pStyle w:val="ListBullet"/>
      </w:pPr>
      <w:r/>
      <w:r>
        <w:rPr>
          <w:b/>
        </w:rPr>
        <w:t>Schéma d'entretien</w:t>
      </w:r>
      <w:r>
        <w:t xml:space="preserve"> : 1000 mg IV tous les 6 mois (en une perfusion unique de 1000 mg à partir de M6).</w:t>
      </w:r>
    </w:p>
    <w:p>
      <w:pPr>
        <w:pStyle w:val="ListBullet"/>
      </w:pPr>
      <w:r/>
      <w:r>
        <w:rPr>
          <w:b/>
        </w:rPr>
        <w:t>Mode d'administration</w:t>
      </w:r>
      <w:r>
        <w:t xml:space="preserve"> : perfusion IV stricte en milieu hospitalier spécialisé (day hospital de neurologie). Dilution dans 500 mL NaCl 0,9 % (concentration 1-4 mg/mL). Perfusion progressive (initial 50 mg/h, augmentation par paliers de 50 mg/h toutes les 30 min si tolérance bonne, max 400 mg/h) — première perfusion </w:t>
      </w:r>
      <w:r>
        <w:rPr>
          <w:b/>
        </w:rPr>
        <w:t>3-4 h</w:t>
      </w:r>
      <w:r>
        <w:t>, perfusions suivantes 1-2 h. Ligne avec filtre 1,2 µm. Surveillance continue (tension, pouls, SaO2) pendant la perfusion et 1-2 h après.</w:t>
      </w:r>
    </w:p>
    <w:p>
      <w:pPr>
        <w:pStyle w:val="ListBullet"/>
      </w:pPr>
      <w:r/>
      <w:r>
        <w:rPr>
          <w:b/>
        </w:rPr>
        <w:t>Prémédication</w:t>
      </w:r>
      <w:r>
        <w:t xml:space="preserve"> : dexchlorphéniramine 5 mg IV + méthylprednisolone 100 mg IV + paracétamol 1 g, 30 min avant la perfusion.</w:t>
      </w:r>
    </w:p>
    <w:p>
      <w:pPr>
        <w:pStyle w:val="ListBullet"/>
      </w:pPr>
      <w:r/>
      <w:r>
        <w:rPr>
          <w:b/>
        </w:rPr>
        <w:t>Pas d'adaptation posologique</w:t>
      </w:r>
      <w:r>
        <w:t xml:space="preserve"> selon poids, âge, fonction rénale ou hépatique.</w:t>
      </w:r>
    </w:p>
    <w:p>
      <w:pPr>
        <w:pStyle w:val="ListBullet"/>
      </w:pPr>
      <w:r/>
      <w:r>
        <w:rPr>
          <w:b/>
        </w:rPr>
        <w:t>Posologie en oncologie (LNH, LLC)</w:t>
      </w:r>
      <w:r>
        <w:t xml:space="preserve"> : 375 mg/m² IV (LNH) ou 500 mg/m² (LLC), selon protocole spécifique — non détaillé ici.</w:t>
      </w:r>
    </w:p>
    <w:p>
      <w:pPr>
        <w:pStyle w:val="ListBullet"/>
      </w:pPr>
      <w:r/>
      <w:r>
        <w:rPr>
          <w:b/>
        </w:rPr>
        <w:t>Posologie en PR</w:t>
      </w:r>
      <w:r>
        <w:t xml:space="preserve"> : 2 × 1000 mg IV à 2 semaines d'intervalle, puis tous les 6 mois.</w:t>
      </w:r>
    </w:p>
    <w:p>
      <w:pPr>
        <w:pStyle w:val="ListBullet"/>
      </w:pPr>
      <w:r/>
      <w:r>
        <w:rPr>
          <w:b/>
        </w:rPr>
        <w:t>Sujet âgé</w:t>
      </w:r>
      <w:r>
        <w:t xml:space="preserve"> : pas d'adaptation posologique systématique, mais évaluation gériatrique globale requise (risque infectieux majoré, comorbidités, surveillance hypogammaglobulinémie).</w:t>
      </w:r>
    </w:p>
    <w:p>
      <w:pPr>
        <w:pStyle w:val="ListBullet"/>
      </w:pPr>
      <w:r/>
      <w:r>
        <w:rPr>
          <w:b/>
        </w:rPr>
        <w:t>Durée</w:t>
      </w:r>
      <w:r>
        <w:t xml:space="preserve"> : traitement au long cours, indéterminé. Réévaluation annuelle de la tolérance et de l'efficacité. Arrêt à discuter en cas d'inefficacité, d'intolérance grave, de projet de grossesse, d'hypogammaglobulinémie sévère (&lt; 4 g/L), d'infections récurrentes.</w:t>
      </w:r>
    </w:p>
    <w:p>
      <w:pPr>
        <w:pStyle w:val="ListBullet"/>
      </w:pPr>
      <w:r/>
      <w:r>
        <w:rPr>
          <w:b/>
        </w:rPr>
        <w:t>Moment de prise</w:t>
      </w:r>
      <w:r>
        <w:t xml:space="preserve"> : selon calendrier hospitalier, perfusion programmée (J1, J15 d'induction, puis tous les 6 mois).</w:t>
      </w:r>
    </w:p>
    <w:p>
      <w:r/>
      <w:r>
        <w:rPr>
          <w:b/>
        </w:rPr>
        <w:t>Arbitrage et Bénéfices des Formes Galéniques :</w:t>
      </w:r>
      <w:r/>
    </w:p>
    <w:p>
      <w:pPr>
        <w:pStyle w:val="ListBullet"/>
      </w:pPr>
      <w:r/>
      <w:r>
        <w:rPr>
          <w:b/>
        </w:rPr>
        <w:t>Solution concentrée à diluer pour perfusion IV 100 mg/10 mL et 500 mg/50 mL (toutes spécialités)</w:t>
      </w:r>
      <w:r>
        <w:t xml:space="preserve"> : formulation unique, manipulation PUI hospitalière, dilution obligatoire avant perfusion. Concentration 10 mg/mL, permettant l'administration de 100 mg (10 mL) à 1000 mg (100 mL) selon la dose. Adaptation facile selon le poids (mg/m²) en oncologie pédiatrique.</w:t>
      </w:r>
    </w:p>
    <w:p>
      <w:pPr>
        <w:pStyle w:val="ListBullet"/>
      </w:pPr>
      <w:r/>
      <w:r>
        <w:rPr>
          <w:b/>
        </w:rPr>
        <w:t>Forme IV vs alternative SC</w:t>
      </w:r>
      <w:r>
        <w:t xml:space="preserve"> : une formulation SC du rituximab (MabThera SC) est disponible dans certains pays européens (1400 mg SC), mais non commercialisée en Algérie. La forme IV impose une administration hospitalière semestrielle.</w:t>
      </w:r>
    </w:p>
    <w:p>
      <w:pPr>
        <w:pStyle w:val="ListBullet"/>
      </w:pPr>
      <w:r/>
      <w:r>
        <w:rPr>
          <w:b/>
        </w:rPr>
        <w:t>Substitution entre princeps et biosimilaires (MABTHERA ↔ REDDITUX ↔ RITUXIMAB-SAIDAL ↔ RIXATHON ↔ RUXIENCE ↔ TRUXIMA)</w:t>
      </w:r>
      <w:r>
        <w:t xml:space="preserve"> : possible selon la réglementation algérienne, surveillance clinique rapprochée (3 mois) pour confirmer l'efficacité et la tolérance après switch. Particularité : pour la 1ère substitution, prémédication renforcée et surveillance stricte de la 1ère perfusion du biosimilaire (réactions à la perfusion possibles). Préférence pour les biosimilaires produits localement (RITUXIMAB-SAIDAL, TRUXIMA Hikma) pour favoriser l'industrie pharmaceutique nationale algérienne.</w:t>
      </w:r>
    </w:p>
    <w:p>
      <w:pPr>
        <w:pStyle w:val="ListBullet"/>
      </w:pPr>
      <w:r/>
      <w:r>
        <w:rPr>
          <w:b/>
        </w:rPr>
        <w:t>Chaîne du froid</w:t>
      </w:r>
      <w:r>
        <w:t xml:space="preserve"> : conservation à +2-8 °C (réfrigérateur PUI hospitalière ou pharmacie de ville autorisée, dans l'emballage extérieur), ne pas congeler, à conserver dans l'emballage extérieur (protection lumière). Transport en sac isotherme avec accumulateur de froid (de la PUI au service de perfusion). Stabilité après dilution : 24 h à +2-8 °C, à utiliser immédiatement en pratique.</w:t>
      </w:r>
    </w:p>
    <w:p>
      <w:r/>
      <w:r>
        <w:rPr>
          <w:b/>
        </w:rPr>
        <w:t>Instructions et Conseils au Patient :</w:t>
      </w:r>
      <w:r/>
    </w:p>
    <w:p>
      <w:pPr>
        <w:pStyle w:val="ListBullet"/>
      </w:pPr>
      <w:r/>
      <w:r>
        <w:rPr>
          <w:b/>
        </w:rPr>
        <w:t>Communication au comptoir</w:t>
      </w:r>
      <w:r>
        <w:t xml:space="preserve"> :</w:t>
      </w:r>
    </w:p>
    <w:p>
      <w:pPr>
        <w:pStyle w:val="ListBullet"/>
      </w:pPr>
      <w:r>
        <w:t>"Ce traitement est une biothérapie de haute efficacité administrée en perfusion IV à l'hôpital à J1 et J15, puis tous les 6 mois. Il réduit fortement les poussées de SEP et ralentit la progression du handicap."</w:t>
      </w:r>
    </w:p>
    <w:p>
      <w:pPr>
        <w:pStyle w:val="ListBullet"/>
      </w:pPr>
      <w:r>
        <w:t>"Les effets indésirables principaux surviennent pendant ou juste après la perfusion : fièvre, frissons, démangeaisons, difficulté à respirer — prévenus par une prémédication (antihistaminique, corticoïde, paracétamol) administrée avant la perfusion."</w:t>
      </w:r>
    </w:p>
    <w:p>
      <w:pPr>
        <w:pStyle w:val="ListBullet"/>
      </w:pPr>
      <w:r>
        <w:t>"Surveillez les signes d'infection : fièvre, toux, brûlures urinaires, rash cutané — signalez-les immédiatement à votre neurologue."</w:t>
      </w:r>
    </w:p>
    <w:p>
      <w:pPr>
        <w:pStyle w:val="ListBullet"/>
      </w:pPr>
      <w:r>
        <w:t>"Une prise de sang régulière vérifie votre statut hépatite B, vos globules blancs et vos immunoglobulines (anticorps) — surveillance indispensable."</w:t>
      </w:r>
    </w:p>
    <w:p>
      <w:pPr>
        <w:pStyle w:val="ListBullet"/>
      </w:pPr>
      <w:r>
        <w:t>"Ne manquez pas vos rendez-vous de perfusion — l'efficacité dépend de la régularité semestrielle."</w:t>
      </w:r>
    </w:p>
    <w:p>
      <w:pPr>
        <w:pStyle w:val="ListBullet"/>
      </w:pPr>
      <w:r>
        <w:t>"Signalez tout projet de grossesse — une planification avec votre neurologue est nécessaire."</w:t>
      </w:r>
    </w:p>
    <w:p>
      <w:pPr>
        <w:pStyle w:val="ListBullet"/>
      </w:pPr>
      <w:r>
        <w:t>"Si vous êtes sous MABTHERA et que le médecin vous propose de passer à un biosimilaire (RITUXIMAB-SAIDAL, TRUXIMA), cela est possible avec une surveillance rapprochée — ces médicaments sont équivalents."</w:t>
      </w:r>
    </w:p>
    <w:p>
      <w:pPr>
        <w:pStyle w:val="ListBullet"/>
      </w:pPr>
      <w:r/>
      <w:r>
        <w:rPr>
          <w:b/>
        </w:rPr>
        <w:t>Mode d'utilisation pratique</w:t>
      </w:r>
      <w:r>
        <w:t xml:space="preserve"> : pas d'auto-administration (perfusion IV hospitalière). Le patient doit se rendre au service de neurologie / day hospital à J1, J15 (induction) puis tous les 6 mois selon le calendrier programmé. Surveillance pendant et après la perfusion. Tenir un carnet de traitement (dates de perfusion, effets ressentis, doses reçues).</w:t>
      </w:r>
    </w:p>
    <w:p>
      <w:r/>
      <w:r>
        <w:rPr>
          <w:b/>
        </w:rPr>
        <w:t>Notes, Règles d'Or &amp; Pièges au Comptoir :</w:t>
      </w:r>
      <w:r/>
    </w:p>
    <w:p>
      <w:pPr>
        <w:pStyle w:val="ListBullet"/>
      </w:pPr>
      <w:r/>
      <w:r>
        <w:rPr>
          <w:b/>
        </w:rPr>
        <w:t>Piège classique réaction à la perfusion</w:t>
      </w:r>
      <w:r>
        <w:t xml:space="preserve"> : première perfusion = risque majeur de réaction (cytokine release syndrome). Prémédication systématique (antihistaminique + corticoïde + paracétamol) 30 min avant. Surveillance continue pendant et 1-2 h après. Le rituximab (chimérique) expose à un risque plus élevé de réaction que l'ocrélizumab (humanisé).</w:t>
      </w:r>
    </w:p>
    <w:p>
      <w:pPr>
        <w:pStyle w:val="ListBullet"/>
      </w:pPr>
      <w:r/>
      <w:r>
        <w:rPr>
          <w:b/>
        </w:rPr>
        <w:t>Piège réactivation VHB</w:t>
      </w:r>
      <w:r>
        <w:t xml:space="preserve"> : dépistage systématique AgHBs + Ac anti-HBc + Ac anti-HBs pré-thérapeutique obligatoire. Prophylaxie antivirale (entécavir ou ténofovir) chez les porteurs AgHBs+ ou Ac anti-HBc+. En cas de réactivation (cytolyse hépatique, AgHBs redevient positif), arrêt immédiat et avis hépatologique urgent.</w:t>
      </w:r>
    </w:p>
    <w:p>
      <w:pPr>
        <w:pStyle w:val="ListBullet"/>
      </w:pPr>
      <w:r/>
      <w:r>
        <w:rPr>
          <w:b/>
        </w:rPr>
        <w:t>Piège hypogammaglobulinémie</w:t>
      </w:r>
      <w:r>
        <w:t xml:space="preserve"> : surveillance IgG semestrielle. Si IgG &lt; 4-5 g/L, espacement des cures, surveillance infectieuse renforcée, discussion immunoglobulines de substitution.</w:t>
      </w:r>
    </w:p>
    <w:p>
      <w:pPr>
        <w:pStyle w:val="ListBullet"/>
      </w:pPr>
      <w:r/>
      <w:r>
        <w:rPr>
          <w:b/>
        </w:rPr>
        <w:t>Piège immunogénicité HACA</w:t>
      </w:r>
      <w:r>
        <w:t xml:space="preserve"> : anticorps anti-rituximab (HACA) chez 5-10 % des patients, associés à perte d'efficacité et à risque accru de réactions à la perfusion. Dosage en cas d'inefficacité ou de réactions répétées.</w:t>
      </w:r>
    </w:p>
    <w:p>
      <w:pPr>
        <w:pStyle w:val="ListBullet"/>
      </w:pPr>
      <w:r/>
      <w:r>
        <w:rPr>
          <w:b/>
        </w:rPr>
        <w:t>Piège PML</w:t>
      </w:r>
      <w:r>
        <w:t xml:space="preserve"> : bien que rare (&lt;0,1 %), à surveiller en cas de symptômes neurologiques nouveaux — IRM cérébrale en urgence, ponction lombaire avec PCR JCV.</w:t>
      </w:r>
    </w:p>
    <w:p>
      <w:pPr>
        <w:pStyle w:val="ListBullet"/>
      </w:pPr>
      <w:r/>
      <w:r>
        <w:rPr>
          <w:b/>
        </w:rPr>
        <w:t>Piège late-onset neutropenia</w:t>
      </w:r>
      <w:r>
        <w:t xml:space="preserve"> : neutropénie tardive (3-6 mois après perfusion) spécifique du rituximab — surveillance NFS à distance de la perfusion.</w:t>
      </w:r>
    </w:p>
    <w:p>
      <w:pPr>
        <w:pStyle w:val="ListBullet"/>
      </w:pPr>
      <w:r/>
      <w:r>
        <w:rPr>
          <w:b/>
        </w:rPr>
        <w:t>Piège vaccins vivants</w:t>
      </w:r>
      <w:r>
        <w:t xml:space="preserve"> : contre-indication absolue pendant et 6 mois après l'arrêt (récupération immunitaire B). Vaccins vivants du nourrisson (BCG, ROR) à différer si mère traitée en fin de grossesse.</w:t>
      </w:r>
    </w:p>
    <w:p>
      <w:pPr>
        <w:pStyle w:val="ListBullet"/>
      </w:pPr>
      <w:r/>
      <w:r>
        <w:rPr>
          <w:b/>
        </w:rPr>
        <w:t>Règle de prise</w:t>
      </w:r>
      <w:r>
        <w:t xml:space="preserve"> : perfusion IV semestrielle (à J1, J15 d'induction puis tous les 6 mois) à heure fixe de préférence. Ne pas décaler de plus de ± 2 semaines.</w:t>
      </w:r>
    </w:p>
    <w:p>
      <w:pPr>
        <w:pStyle w:val="ListBullet"/>
      </w:pPr>
      <w:r/>
      <w:r>
        <w:rPr>
          <w:b/>
        </w:rPr>
        <w:t>Préparation et Conservation</w:t>
      </w:r>
      <w:r>
        <w:t xml:space="preserve"> : conservation +2-8 °C (réfrigérateur PUI hospitalière ou pharmacie de ville autorisée, dans l'emballage extérieur), ne pas congeler, ne pas exposer à la lumière. Dilution juste avant perfusion, utilisation immédiate.</w:t>
      </w:r>
    </w:p>
    <w:p>
      <w:pPr>
        <w:pStyle w:val="ListBullet"/>
      </w:pPr>
      <w:r/>
      <w:r>
        <w:rPr>
          <w:b/>
        </w:rPr>
        <w:t>Piège du surdosage / Substitution</w:t>
      </w:r>
      <w:r>
        <w:t xml:space="preserve"> : substitution possible entre princeps (MABTHERA) et biosimilaires (REDDITUX, RITUXIMAB-SAIDAL, RIXATHON, RUXIENCE, TRUXIMA) sous surveillance clinique rapprochée (3 mois) pour confirmer l'efficacité et la tolérance après switch. Préférence pour les biosimilaires produits localement (RITUXIMAB-SAIDAL, TRUXIMA) pour favoriser l'industrie pharmaceutique nationale algérienne et réduire le coût. Pas de surdosage décrit (anticorps monoclonal, marge thérapeutique large). Surveillance stricte des doses administrées (100 mg/10 mL, 500 mg/50 mL, dilution en 500 mL NaCl 0,9 % selon la dose). En cas d'erreur de dose ou de substitution non anticipée, surveillance clinique rapprochée du patient (réactions à la perfusion possibles).</w:t>
      </w:r>
    </w:p>
    <w:p>
      <w:pPr>
        <w:pStyle w:val="Heading2"/>
      </w:pPr>
      <w:r>
        <w:t>Tableau Comparatif Synthétique des 8 DCI de la SEP</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w:t>
            </w:r>
          </w:p>
        </w:tc>
        <w:tc>
          <w:tcPr>
            <w:tcW w:type="dxa" w:w="1336"/>
          </w:tcPr>
          <w:p>
            <w:r>
              <w:rPr>
                <w:b/>
                <w:sz w:val="20"/>
              </w:rPr>
              <w:t>Posologie standard</w:t>
            </w:r>
          </w:p>
        </w:tc>
        <w:tc>
          <w:tcPr>
            <w:tcW w:type="dxa" w:w="1336"/>
          </w:tcPr>
          <w:p>
            <w:r>
              <w:rPr>
                <w:b/>
                <w:sz w:val="20"/>
              </w:rPr>
              <w:t>EI majeur</w:t>
            </w:r>
          </w:p>
        </w:tc>
        <w:tc>
          <w:tcPr>
            <w:tcW w:type="dxa" w:w="1336"/>
          </w:tcPr>
          <w:p>
            <w:r>
              <w:rPr>
                <w:b/>
                <w:sz w:val="20"/>
              </w:rPr>
              <w:t>CI principale</w:t>
            </w:r>
          </w:p>
        </w:tc>
        <w:tc>
          <w:tcPr>
            <w:tcW w:type="dxa" w:w="1336"/>
          </w:tcPr>
          <w:p>
            <w:r>
              <w:rPr>
                <w:b/>
                <w:sz w:val="20"/>
              </w:rPr>
              <w:t>Grossesse (CRAT)</w:t>
            </w:r>
          </w:p>
        </w:tc>
      </w:tr>
      <w:tr>
        <w:tc>
          <w:tcPr>
            <w:tcW w:type="dxa" w:w="1336"/>
          </w:tcPr>
          <w:p>
            <w:r>
              <w:rPr>
                <w:sz w:val="20"/>
              </w:rPr>
              <w:t>**Interféron β-1a/1b**</w:t>
            </w:r>
          </w:p>
        </w:tc>
        <w:tc>
          <w:tcPr>
            <w:tcW w:type="dxa" w:w="1336"/>
          </w:tcPr>
          <w:p>
            <w:r>
              <w:rPr>
                <w:sz w:val="20"/>
              </w:rPr>
              <w:t>Immunomodulateur — IFN type I</w:t>
            </w:r>
          </w:p>
        </w:tc>
        <w:tc>
          <w:tcPr>
            <w:tcW w:type="dxa" w:w="1336"/>
          </w:tcPr>
          <w:p>
            <w:r>
              <w:rPr>
                <w:sz w:val="20"/>
              </w:rPr>
              <w:t>Liaison IFNAR1/2 → JAK-STAT → gènes ISGs : antiviral, anti-prolifératif, immunomodulateur (↓IL-12/IL-23, ↑IL-10, ↓MMP-9, ↓VLA-4)</w:t>
            </w:r>
          </w:p>
        </w:tc>
        <w:tc>
          <w:tcPr>
            <w:tcW w:type="dxa" w:w="1336"/>
          </w:tcPr>
          <w:p>
            <w:r>
              <w:rPr>
                <w:sz w:val="20"/>
              </w:rPr>
              <w:t>IFNβ-1a IM 30 µg/sem (Avonex) ; IFNβ-1a SC 44 µg x3/sem (Rebif) ; IFNβ-1b SC 250 µg un jour/2 (Betaferon)</w:t>
            </w:r>
          </w:p>
        </w:tc>
        <w:tc>
          <w:tcPr>
            <w:tcW w:type="dxa" w:w="1336"/>
          </w:tcPr>
          <w:p>
            <w:r>
              <w:rPr>
                <w:sz w:val="20"/>
              </w:rPr>
              <w:t>Syndrome pseudo-grippal, réactions site injection, Nab, cytolyse hépatique, thyroidite auto-immune, dépression</w:t>
            </w:r>
          </w:p>
        </w:tc>
        <w:tc>
          <w:tcPr>
            <w:tcW w:type="dxa" w:w="1336"/>
          </w:tcPr>
          <w:p>
            <w:r>
              <w:rPr>
                <w:sz w:val="20"/>
              </w:rPr>
              <w:t>Dépression sévère, épilepsie non contrôlée, insuffisance hépatique sévère</w:t>
            </w:r>
          </w:p>
        </w:tc>
        <w:tc>
          <w:tcPr>
            <w:tcW w:type="dxa" w:w="1336"/>
          </w:tcPr>
          <w:p>
            <w:r>
              <w:rPr>
                <w:sz w:val="20"/>
              </w:rPr>
              <w:t>**Compatible** (pas de sur-risque malformatif)</w:t>
            </w:r>
          </w:p>
        </w:tc>
      </w:tr>
      <w:tr>
        <w:tc>
          <w:tcPr>
            <w:tcW w:type="dxa" w:w="1336"/>
          </w:tcPr>
          <w:p>
            <w:r>
              <w:rPr>
                <w:sz w:val="20"/>
              </w:rPr>
              <w:t>**Glatiramer acétate**</w:t>
            </w:r>
          </w:p>
        </w:tc>
        <w:tc>
          <w:tcPr>
            <w:tcW w:type="dxa" w:w="1336"/>
          </w:tcPr>
          <w:p>
            <w:r>
              <w:rPr>
                <w:sz w:val="20"/>
              </w:rPr>
              <w:t>Immunomodulateur — Polymère mimant MBP</w:t>
            </w:r>
          </w:p>
        </w:tc>
        <w:tc>
          <w:tcPr>
            <w:tcW w:type="dxa" w:w="1336"/>
          </w:tcPr>
          <w:p>
            <w:r>
              <w:rPr>
                <w:sz w:val="20"/>
              </w:rPr>
              <w:t>Mimétisme MBP → compétition MHC-II → polarisation Th2/Treg → suppression bystander intra-SNC</w:t>
            </w:r>
          </w:p>
        </w:tc>
        <w:tc>
          <w:tcPr>
            <w:tcW w:type="dxa" w:w="1336"/>
          </w:tcPr>
          <w:p>
            <w:r>
              <w:rPr>
                <w:sz w:val="20"/>
              </w:rPr>
              <w:t>40 mg SC 3x/sem (à au moins 48 h d'intervalle)</w:t>
            </w:r>
          </w:p>
        </w:tc>
        <w:tc>
          <w:tcPr>
            <w:tcW w:type="dxa" w:w="1336"/>
          </w:tcPr>
          <w:p>
            <w:r>
              <w:rPr>
                <w:sz w:val="20"/>
              </w:rPr>
              <w:t>Réactions site injection, réaction systémique post-injection (flush, dyspnée — bénigne)</w:t>
            </w:r>
          </w:p>
        </w:tc>
        <w:tc>
          <w:tcPr>
            <w:tcW w:type="dxa" w:w="1336"/>
          </w:tcPr>
          <w:p>
            <w:r>
              <w:rPr>
                <w:sz w:val="20"/>
              </w:rPr>
              <w:t>Hypersensibilité, mannitol</w:t>
            </w:r>
          </w:p>
        </w:tc>
        <w:tc>
          <w:tcPr>
            <w:tcW w:type="dxa" w:w="1336"/>
          </w:tcPr>
          <w:p>
            <w:r>
              <w:rPr>
                <w:sz w:val="20"/>
              </w:rPr>
              <w:t>**Compatible** (registre &gt; 1000 grossesses rassurant)</w:t>
            </w:r>
          </w:p>
        </w:tc>
      </w:tr>
      <w:tr>
        <w:tc>
          <w:tcPr>
            <w:tcW w:type="dxa" w:w="1336"/>
          </w:tcPr>
          <w:p>
            <w:r>
              <w:rPr>
                <w:sz w:val="20"/>
              </w:rPr>
              <w:t>**Natalizumab**</w:t>
            </w:r>
          </w:p>
        </w:tc>
        <w:tc>
          <w:tcPr>
            <w:tcW w:type="dxa" w:w="1336"/>
          </w:tcPr>
          <w:p>
            <w:r>
              <w:rPr>
                <w:sz w:val="20"/>
              </w:rPr>
              <w:t>Anti-intégrine α4 — Ac monoclonal humanisé IgG4κ</w:t>
            </w:r>
          </w:p>
        </w:tc>
        <w:tc>
          <w:tcPr>
            <w:tcW w:type="dxa" w:w="1336"/>
          </w:tcPr>
          <w:p>
            <w:r>
              <w:rPr>
                <w:sz w:val="20"/>
              </w:rPr>
              <w:t>Blocage α4β1 (VLA-4) → empêche diapédèse lymphocytes T à travers BHE</w:t>
            </w:r>
          </w:p>
        </w:tc>
        <w:tc>
          <w:tcPr>
            <w:tcW w:type="dxa" w:w="1336"/>
          </w:tcPr>
          <w:p>
            <w:r>
              <w:rPr>
                <w:sz w:val="20"/>
              </w:rPr>
              <w:t>300 mg IV toutes les 4 semaines (28 j)</w:t>
            </w:r>
          </w:p>
        </w:tc>
        <w:tc>
          <w:tcPr>
            <w:tcW w:type="dxa" w:w="1336"/>
          </w:tcPr>
          <w:p>
            <w:r>
              <w:rPr>
                <w:sz w:val="20"/>
              </w:rPr>
              <w:t>**PML** (JCV+), réactions perfusion, immunogénicité</w:t>
            </w:r>
          </w:p>
        </w:tc>
        <w:tc>
          <w:tcPr>
            <w:tcW w:type="dxa" w:w="1336"/>
          </w:tcPr>
          <w:p>
            <w:r>
              <w:rPr>
                <w:sz w:val="20"/>
              </w:rPr>
              <w:t>JCV+ persistant &gt; 2 ans, ATCD immunosuppresseur, PML history</w:t>
            </w:r>
          </w:p>
        </w:tc>
        <w:tc>
          <w:tcPr>
            <w:tcW w:type="dxa" w:w="1336"/>
          </w:tcPr>
          <w:p>
            <w:r>
              <w:rPr>
                <w:sz w:val="20"/>
              </w:rPr>
              <w:t>**Compatible** si maladie active (IgG4 traversant partiellement le placenta)</w:t>
            </w:r>
          </w:p>
        </w:tc>
      </w:tr>
      <w:tr>
        <w:tc>
          <w:tcPr>
            <w:tcW w:type="dxa" w:w="1336"/>
          </w:tcPr>
          <w:p>
            <w:r>
              <w:rPr>
                <w:sz w:val="20"/>
              </w:rPr>
              <w:t>**Fingolimod**</w:t>
            </w:r>
          </w:p>
        </w:tc>
        <w:tc>
          <w:tcPr>
            <w:tcW w:type="dxa" w:w="1336"/>
          </w:tcPr>
          <w:p>
            <w:r>
              <w:rPr>
                <w:sz w:val="20"/>
              </w:rPr>
              <w:t>Modulateur S1P — oral</w:t>
            </w:r>
          </w:p>
        </w:tc>
        <w:tc>
          <w:tcPr>
            <w:tcW w:type="dxa" w:w="1336"/>
          </w:tcPr>
          <w:p>
            <w:r>
              <w:rPr>
                <w:sz w:val="20"/>
              </w:rPr>
              <w:t>Prodrogue → fingolimod-P → agoniste S1P₁ → internalisation → séquestration lymphocytes ganglions</w:t>
            </w:r>
          </w:p>
        </w:tc>
        <w:tc>
          <w:tcPr>
            <w:tcW w:type="dxa" w:w="1336"/>
          </w:tcPr>
          <w:p>
            <w:r>
              <w:rPr>
                <w:sz w:val="20"/>
              </w:rPr>
              <w:t>0,5 mg oral 1x/jour (initiation hospitalière ECG 6 h)</w:t>
            </w:r>
          </w:p>
        </w:tc>
        <w:tc>
          <w:tcPr>
            <w:tcW w:type="dxa" w:w="1336"/>
          </w:tcPr>
          <w:p>
            <w:r>
              <w:rPr>
                <w:sz w:val="20"/>
              </w:rPr>
              <w:t>**Bradycardie et BAV initiale**, œdème maculaire, lymphopénie, infections opportunistes</w:t>
            </w:r>
          </w:p>
        </w:tc>
        <w:tc>
          <w:tcPr>
            <w:tcW w:type="dxa" w:w="1336"/>
          </w:tcPr>
          <w:p>
            <w:r>
              <w:rPr>
                <w:sz w:val="20"/>
              </w:rPr>
              <w:t>BAV 2-3 degré, bradycardie, allongement QTc, grossesse (tératogène), immunosuppresseurs associés</w:t>
            </w:r>
          </w:p>
        </w:tc>
        <w:tc>
          <w:tcPr>
            <w:tcW w:type="dxa" w:w="1336"/>
          </w:tcPr>
          <w:p>
            <w:r>
              <w:rPr>
                <w:sz w:val="20"/>
              </w:rPr>
              <w:t>**Contre-indication absolue** (tératogène)</w:t>
            </w:r>
          </w:p>
        </w:tc>
      </w:tr>
      <w:tr>
        <w:tc>
          <w:tcPr>
            <w:tcW w:type="dxa" w:w="1336"/>
          </w:tcPr>
          <w:p>
            <w:r>
              <w:rPr>
                <w:sz w:val="20"/>
              </w:rPr>
              <w:t>**Diméthyl fumarate**</w:t>
            </w:r>
          </w:p>
        </w:tc>
        <w:tc>
          <w:tcPr>
            <w:tcW w:type="dxa" w:w="1336"/>
          </w:tcPr>
          <w:p>
            <w:r>
              <w:rPr>
                <w:sz w:val="20"/>
              </w:rPr>
              <w:t>Fumarate — oral</w:t>
            </w:r>
          </w:p>
        </w:tc>
        <w:tc>
          <w:tcPr>
            <w:tcW w:type="dxa" w:w="1336"/>
          </w:tcPr>
          <w:p>
            <w:r>
              <w:rPr>
                <w:sz w:val="20"/>
              </w:rPr>
              <w:t>Activation Nrf2 (anti-oxydant) + lymphopénie partielle + polarisation Th2</w:t>
            </w:r>
          </w:p>
        </w:tc>
        <w:tc>
          <w:tcPr>
            <w:tcW w:type="dxa" w:w="1336"/>
          </w:tcPr>
          <w:p>
            <w:r>
              <w:rPr>
                <w:sz w:val="20"/>
              </w:rPr>
              <w:t>120 mg x2/j x7 j puis 240 mg x2/j (au cours des repas)</w:t>
            </w:r>
          </w:p>
        </w:tc>
        <w:tc>
          <w:tcPr>
            <w:tcW w:type="dxa" w:w="1336"/>
          </w:tcPr>
          <w:p>
            <w:r>
              <w:rPr>
                <w:sz w:val="20"/>
              </w:rPr>
              <w:t>Flush, effets digestifs (nausées, diarrhées), lymphopénie, PML exceptionnelle si lympho &lt; 0,5 G/L &gt; 6 mois</w:t>
            </w:r>
          </w:p>
        </w:tc>
        <w:tc>
          <w:tcPr>
            <w:tcW w:type="dxa" w:w="1336"/>
          </w:tcPr>
          <w:p>
            <w:r>
              <w:rPr>
                <w:sz w:val="20"/>
              </w:rPr>
              <w:t>Insuffisance hépatique sévère, insuffisance rénale sévère, grossesse</w:t>
            </w:r>
          </w:p>
        </w:tc>
        <w:tc>
          <w:tcPr>
            <w:tcW w:type="dxa" w:w="1336"/>
          </w:tcPr>
          <w:p>
            <w:r>
              <w:rPr>
                <w:sz w:val="20"/>
              </w:rPr>
              <w:t>**À éviter par prudence** (données limitées)</w:t>
            </w:r>
          </w:p>
        </w:tc>
      </w:tr>
      <w:tr>
        <w:tc>
          <w:tcPr>
            <w:tcW w:type="dxa" w:w="1336"/>
          </w:tcPr>
          <w:p>
            <w:r>
              <w:rPr>
                <w:sz w:val="20"/>
              </w:rPr>
              <w:t>**Mitoxantrone**</w:t>
            </w:r>
          </w:p>
        </w:tc>
        <w:tc>
          <w:tcPr>
            <w:tcW w:type="dxa" w:w="1336"/>
          </w:tcPr>
          <w:p>
            <w:r>
              <w:rPr>
                <w:sz w:val="20"/>
              </w:rPr>
              <w:t>Immunosuppresseur cytotoxique — intercalant ADN</w:t>
            </w:r>
          </w:p>
        </w:tc>
        <w:tc>
          <w:tcPr>
            <w:tcW w:type="dxa" w:w="1336"/>
          </w:tcPr>
          <w:p>
            <w:r>
              <w:rPr>
                <w:sz w:val="20"/>
              </w:rPr>
              <w:t>Intercalation ADN + inhibition topoisomérase II → apoptose lymphocytes T/B</w:t>
            </w:r>
          </w:p>
        </w:tc>
        <w:tc>
          <w:tcPr>
            <w:tcW w:type="dxa" w:w="1336"/>
          </w:tcPr>
          <w:p>
            <w:r>
              <w:rPr>
                <w:sz w:val="20"/>
              </w:rPr>
              <w:t>12 mg/m² IV tous les 3 mois (induction 3 cures, puis entretien trimestriel), dose max cumulative 140 mg/m²</w:t>
            </w:r>
          </w:p>
        </w:tc>
        <w:tc>
          <w:tcPr>
            <w:tcW w:type="dxa" w:w="1336"/>
          </w:tcPr>
          <w:p>
            <w:r>
              <w:rPr>
                <w:sz w:val="20"/>
              </w:rPr>
              <w:t>**Cardiotoxicité cumulative** (cardiomyopathie dilatative), **LAM secondaires** (0,7-1 % à 5 ans), myélosuppression</w:t>
            </w:r>
          </w:p>
        </w:tc>
        <w:tc>
          <w:tcPr>
            <w:tcW w:type="dxa" w:w="1336"/>
          </w:tcPr>
          <w:p>
            <w:r>
              <w:rPr>
                <w:sz w:val="20"/>
              </w:rPr>
              <w:t>Dose cumulative &gt; 140 mg/m², FEVG &lt; 50 %, myélosuppression, grossesse, allaitement</w:t>
            </w:r>
          </w:p>
        </w:tc>
        <w:tc>
          <w:tcPr>
            <w:tcW w:type="dxa" w:w="1336"/>
          </w:tcPr>
          <w:p>
            <w:r>
              <w:rPr>
                <w:sz w:val="20"/>
              </w:rPr>
              <w:t>**Contre-indication absolue** (tératogène)</w:t>
            </w:r>
          </w:p>
        </w:tc>
      </w:tr>
      <w:tr>
        <w:tc>
          <w:tcPr>
            <w:tcW w:type="dxa" w:w="1336"/>
          </w:tcPr>
          <w:p>
            <w:r>
              <w:rPr>
                <w:sz w:val="20"/>
              </w:rPr>
              <w:t>**Ocrélizumab**</w:t>
            </w:r>
          </w:p>
        </w:tc>
        <w:tc>
          <w:tcPr>
            <w:tcW w:type="dxa" w:w="1336"/>
          </w:tcPr>
          <w:p>
            <w:r>
              <w:rPr>
                <w:sz w:val="20"/>
              </w:rPr>
              <w:t>Anti-CD20 — Ac monoclonal humanisé IgG1</w:t>
            </w:r>
          </w:p>
        </w:tc>
        <w:tc>
          <w:tcPr>
            <w:tcW w:type="dxa" w:w="1336"/>
          </w:tcPr>
          <w:p>
            <w:r>
              <w:rPr>
                <w:sz w:val="20"/>
              </w:rPr>
              <w:t>Déplétion lymphocytes B CD20+ par ADCC + CDC (préserve plasmocytes)</w:t>
            </w:r>
          </w:p>
        </w:tc>
        <w:tc>
          <w:tcPr>
            <w:tcW w:type="dxa" w:w="1336"/>
          </w:tcPr>
          <w:p>
            <w:r>
              <w:rPr>
                <w:sz w:val="20"/>
              </w:rPr>
              <w:t>300 mg IV J1 + J15 (induction), puis 600 mg IV tous les 6 mois</w:t>
            </w:r>
          </w:p>
        </w:tc>
        <w:tc>
          <w:tcPr>
            <w:tcW w:type="dxa" w:w="1336"/>
          </w:tcPr>
          <w:p>
            <w:r>
              <w:rPr>
                <w:sz w:val="20"/>
              </w:rPr>
              <w:t>Réactions perfusion, infections, **réactivation VHB**, hypogammaglobulinémie, PML rare</w:t>
            </w:r>
          </w:p>
        </w:tc>
        <w:tc>
          <w:tcPr>
            <w:tcW w:type="dxa" w:w="1336"/>
          </w:tcPr>
          <w:p>
            <w:r>
              <w:rPr>
                <w:sz w:val="20"/>
              </w:rPr>
              <w:t>Hépatite B active non traitée, immunodéficience sévère</w:t>
            </w:r>
          </w:p>
        </w:tc>
        <w:tc>
          <w:tcPr>
            <w:tcW w:type="dxa" w:w="1336"/>
          </w:tcPr>
          <w:p>
            <w:r>
              <w:rPr>
                <w:sz w:val="20"/>
              </w:rPr>
              <w:t>**À éviter par prudence** (IgG1 traversant placenta, lymphopénie B nouveau-né)</w:t>
            </w:r>
          </w:p>
        </w:tc>
      </w:tr>
      <w:tr>
        <w:tc>
          <w:tcPr>
            <w:tcW w:type="dxa" w:w="1336"/>
          </w:tcPr>
          <w:p>
            <w:r>
              <w:rPr>
                <w:sz w:val="20"/>
              </w:rPr>
              <w:t>**Rituximab (usage SEP hors AMM)**</w:t>
            </w:r>
          </w:p>
        </w:tc>
        <w:tc>
          <w:tcPr>
            <w:tcW w:type="dxa" w:w="1336"/>
          </w:tcPr>
          <w:p>
            <w:r>
              <w:rPr>
                <w:sz w:val="20"/>
              </w:rPr>
              <w:t>Anti-CD20 — Ac monoclonal chimérique IgG1κ</w:t>
            </w:r>
          </w:p>
        </w:tc>
        <w:tc>
          <w:tcPr>
            <w:tcW w:type="dxa" w:w="1336"/>
          </w:tcPr>
          <w:p>
            <w:r>
              <w:rPr>
                <w:sz w:val="20"/>
              </w:rPr>
              <w:t>Déplétion lymphocytes B CD20+ par ADCC + CDC (préserve plasmocytes)</w:t>
            </w:r>
          </w:p>
        </w:tc>
        <w:tc>
          <w:tcPr>
            <w:tcW w:type="dxa" w:w="1336"/>
          </w:tcPr>
          <w:p>
            <w:r>
              <w:rPr>
                <w:sz w:val="20"/>
              </w:rPr>
              <w:t>1000 mg IV J1 + J15 (induction), puis 1000 mg IV tous les 6 mois</w:t>
            </w:r>
          </w:p>
        </w:tc>
        <w:tc>
          <w:tcPr>
            <w:tcW w:type="dxa" w:w="1336"/>
          </w:tcPr>
          <w:p>
            <w:r>
              <w:rPr>
                <w:sz w:val="20"/>
              </w:rPr>
              <w:t>Réactions perfusion (+++ vs ocrélizumab), infections, **réactivation VHB**, hypogammaglobulinémie, PML, HACA, late-onset neutropenia</w:t>
            </w:r>
          </w:p>
        </w:tc>
        <w:tc>
          <w:tcPr>
            <w:tcW w:type="dxa" w:w="1336"/>
          </w:tcPr>
          <w:p>
            <w:r>
              <w:rPr>
                <w:sz w:val="20"/>
              </w:rPr>
              <w:t>Hépatite B active non traitée, immunodéficience sévère</w:t>
            </w:r>
          </w:p>
        </w:tc>
        <w:tc>
          <w:tcPr>
            <w:tcW w:type="dxa" w:w="1336"/>
          </w:tcPr>
          <w:p>
            <w:r>
              <w:rPr>
                <w:sz w:val="20"/>
              </w:rPr>
              <w:t>**À éviter par prudence** (IgG1 traversant placenta, lymphopénie B nouveau-né)</w:t>
            </w:r>
          </w:p>
        </w:tc>
      </w:tr>
    </w:tbl>
    <w:p/>
    <w:p>
      <w:pPr>
        <w:pStyle w:val="Heading2"/>
      </w:pPr>
      <w:r>
        <w:t>Conclusion du Chapitre 93 — Implications Pratiques pour le Pharmacien d'Officine Algérien</w:t>
      </w:r>
    </w:p>
    <w:p>
      <w:r>
        <w:t xml:space="preserve">Le traitement de fond de la sclérose en plaques a connu en trois décennies une révolution thérapeutique sans précédent en neurologie. Des </w:t>
      </w:r>
      <w:r>
        <w:rPr>
          <w:b/>
        </w:rPr>
        <w:t>interférons bêta</w:t>
      </w:r>
      <w:r>
        <w:t xml:space="preserve"> (1993) et du </w:t>
      </w:r>
      <w:r>
        <w:rPr>
          <w:b/>
        </w:rPr>
        <w:t>glatiramer acétate</w:t>
      </w:r>
      <w:r>
        <w:t xml:space="preserve"> (1995) aux </w:t>
      </w:r>
      <w:r>
        <w:rPr>
          <w:b/>
        </w:rPr>
        <w:t>biothérapies de haute efficacité</w:t>
      </w:r>
      <w:r>
        <w:t xml:space="preserve"> (natalizumab 2004, fingolimod 2010, diméthyl fumarate 2013, ocrélizumab 2017), l'arsenal thérapeutique algérien couvre désormais l'ensemble du spectre mécanistique de l'immunomodulation à l'immunosuppression profonde, avec huit DCI et plus de vingt spécialités commerciales disponibles (actives, non renouvelables ou retirées).</w:t>
      </w:r>
    </w:p>
    <w:p>
      <w:r>
        <w:t xml:space="preserve">Le pharmacien d'officine algérien joue un rôle </w:t>
      </w:r>
      <w:r>
        <w:rPr>
          <w:b/>
        </w:rPr>
        <w:t>pivot</w:t>
      </w:r>
      <w:r>
        <w:t xml:space="preserve"> dans cette prise en charge au long cours, en assurant :</w:t>
      </w:r>
    </w:p>
    <w:p>
      <w:pPr>
        <w:pStyle w:val="ListNumber"/>
      </w:pPr>
      <w:r/>
      <w:r>
        <w:rPr>
          <w:b/>
        </w:rPr>
        <w:t>La coordination de la chaîne du froid</w:t>
      </w:r>
      <w:r>
        <w:t xml:space="preserve"> : la majorité des biothérapies (IFNβ, glatiramer, natalizumab, ocrélizumab, rituximab) nécessitent une conservation stricte à +2-8 °C, du circuit PUI hospitalière au domicile du patient, avec sac isotherme et accumulateur de froid pour les transports.</w:t>
      </w:r>
    </w:p>
    <w:p>
      <w:pPr>
        <w:pStyle w:val="ListNumber"/>
      </w:pPr>
      <w:r/>
      <w:r>
        <w:rPr>
          <w:b/>
        </w:rPr>
        <w:t>L'éducation thérapeutique du patient (ETP)</w:t>
      </w:r>
      <w:r>
        <w:t xml:space="preserve"> : reconnaissance des signes d'alerte infectieux (fièvre, toux, dysurie, rash), observance des rendez-vous de perfusion (natalizumab mensuel, ocrélizumab/rituximab semestriel), technique d'auto-injection SC (IFNβ, glatiramer), surveillance des effets indésirables spécifiques (syndrome pseudo-grippal IFNβ, flush DMF, bradycardie fingolimod, réactions perfusion anti-CD20).</w:t>
      </w:r>
    </w:p>
    <w:p>
      <w:pPr>
        <w:pStyle w:val="ListNumber"/>
      </w:pPr>
      <w:r/>
      <w:r>
        <w:rPr>
          <w:b/>
        </w:rPr>
        <w:t>La surveillance des interactions médicamenteuses</w:t>
      </w:r>
      <w:r>
        <w:t xml:space="preserve"> : contre-indication absolue des vaccins vivants (toutes biothérapies), associations bradycardisantes (fingolimod + β-bloquants), immunosuppresseurs cumulés (natalizumab + ATCD immunosuppresseur → risque PML majeur), cardiotoxiques cumulés (mitoxantrone + anthracyclines).</w:t>
      </w:r>
    </w:p>
    <w:p>
      <w:pPr>
        <w:pStyle w:val="ListNumber"/>
      </w:pPr>
      <w:r/>
      <w:r>
        <w:rPr>
          <w:b/>
        </w:rPr>
        <w:t>La gestion des grossesses sous traitement</w:t>
      </w:r>
      <w:r>
        <w:t xml:space="preserve"> : planification pré-conception (wash-out variable selon molécule), choix de la molécule compatible (IFNβ, glatiramer compatibles ; fingolimod, mitoxantrone CI absolue ; natalizumab, ocrélizumab, rituximab compatibles si maladie active avec arrêt avant 3e trimestre), surveillance du nouveau-né (cytopénie transitoire sous anti-CD20, vaccins vivants différés).</w:t>
      </w:r>
    </w:p>
    <w:p>
      <w:pPr>
        <w:pStyle w:val="ListNumber"/>
      </w:pPr>
      <w:r/>
      <w:r>
        <w:rPr>
          <w:b/>
        </w:rPr>
        <w:t>La reconnaissance des pièges thérapeutiques</w:t>
      </w:r>
      <w:r>
        <w:t xml:space="preserve"> : PML sous natalizumab (JCV+ persistant &gt; 2 ans), bradycardie et BAV première dose fingolimod (surveillance ECG 6 h obligatoire), nécrose cutanée sous IFNβ-1b (arrêt définitif), cardiotoxicité cumulative mitoxantrone (dose max 140 mg/m²), réaction systémique post-injection glatiramer (bénigne, à différencier de l'anaphylaxie), réactivation VHB sous anti-CD20 (dépistage pré-thérapeutique obligatoire), hypogammaglobulinémie sous anti-CD20 (surveillance IgG semestrielle).</w:t>
      </w:r>
    </w:p>
    <w:p>
      <w:pPr>
        <w:pStyle w:val="ListNumber"/>
      </w:pPr>
      <w:r/>
      <w:r>
        <w:rPr>
          <w:b/>
        </w:rPr>
        <w:t>L'orientation vers les structures spécialisées</w:t>
      </w:r>
      <w:r>
        <w:t xml:space="preserve"> : la plupart des biothérapies de la SEP (natalizumab, ocrélizumab, rituximab, mitoxantrone, fingolimod initiation) sont de prescription et d'administration hospitalières spécialisées (CHU et services de neurologie spécialisés SEP). Le pharmacien d'officine doit savoir orienter le patient vers le centre de référence le plus proche (CHU Alger, Oran, Constantine, services de neurologie spécialisés).</w:t>
      </w:r>
    </w:p>
    <w:p>
      <w:pPr>
        <w:pStyle w:val="ListNumber"/>
      </w:pPr>
      <w:r/>
      <w:r>
        <w:rPr>
          <w:b/>
        </w:rPr>
        <w:t>Le suivi à long terme de l'observance</w:t>
      </w:r>
      <w:r>
        <w:t xml:space="preserve"> : la SEP est une maladie chronique de l'adulte jeune, nécessitant un traitement de fond de plusieurs décennies. L'observance thérapeutique est un défi majeur (40 % de patients non observants à 2 ans sous IFNβ/glatiramer), justifiant un suivi pharmaceutique régulier, le repérage des ruptures d'approvisionnement (spécialités non renouvelables comme la mitoxantrone), et la gestion des switches entre biosimilaires (rituximab — 6 spécialités actives en Algérie).</w:t>
      </w:r>
    </w:p>
    <w:p>
      <w:r>
        <w:t xml:space="preserve">L'avenir thérapeutique de la SEP s'oriente vers une </w:t>
      </w:r>
      <w:r>
        <w:rPr>
          <w:b/>
        </w:rPr>
        <w:t>stratégie d'induction précoce à haute efficacité</w:t>
      </w:r>
      <w:r>
        <w:t xml:space="preserve"> (early high-efficacy), avec un switch précoce vers les anti-CD20 (ocrélizumab, rituximab) ou le natalizumab (si JCV-négatif) chez les patients à maladie active d'emblée — au détriment de la stratégie classique d'escalade thérapeutique (start low, escalate if needed). Cette évolution impose au pharmacien d'offinicen une </w:t>
      </w:r>
      <w:r>
        <w:rPr>
          <w:b/>
        </w:rPr>
        <w:t>veille scientifique constante</w:t>
      </w:r>
      <w:r>
        <w:t xml:space="preserve"> (recommandations ECTRIMS/EAN 2018-2024, essais cliniques, nouvelles AMM) pour accompagner au mieux le patient algérien atteint de SEP.</w:t>
      </w:r>
    </w:p>
    <w:p>
      <w:pPr>
        <w:pStyle w:val="Heading3"/>
      </w:pPr>
      <w:r>
        <w:t>Points-clés à retenir pour l'examen et la pratique</w:t>
      </w:r>
    </w:p>
    <w:p>
      <w:pPr>
        <w:pStyle w:val="ListNumber"/>
      </w:pPr>
      <w:r/>
      <w:r>
        <w:rPr>
          <w:b/>
        </w:rPr>
        <w:t>Interférons β et glatiramer</w:t>
      </w:r>
      <w:r>
        <w:t xml:space="preserve"> = traitement de fond de 1ère intention de la SEP-RR modérée, efficacité modeste (~30 % de réduction des poussées), profil de tolérance favorable, compatibles avec la grossesse.</w:t>
      </w:r>
    </w:p>
    <w:p>
      <w:pPr>
        <w:pStyle w:val="ListNumber"/>
      </w:pPr>
      <w:r/>
      <w:r>
        <w:rPr>
          <w:b/>
        </w:rPr>
        <w:t>Natalizumab</w:t>
      </w:r>
      <w:r>
        <w:t xml:space="preserve"> = biothérapie haute efficacité, </w:t>
      </w:r>
      <w:r>
        <w:rPr>
          <w:b/>
        </w:rPr>
        <w:t>risque PML (JCV+)</w:t>
      </w:r>
      <w:r>
        <w:t xml:space="preserve"> → dépistage JCV obligatoire avant initiation et tous les 6 mois.</w:t>
      </w:r>
    </w:p>
    <w:p>
      <w:pPr>
        <w:pStyle w:val="ListNumber"/>
      </w:pPr>
      <w:r/>
      <w:r>
        <w:rPr>
          <w:b/>
        </w:rPr>
        <w:t>Fingolimod</w:t>
      </w:r>
      <w:r>
        <w:t xml:space="preserve"> = 1er traitement oral de la SEP, </w:t>
      </w:r>
      <w:r>
        <w:rPr>
          <w:b/>
        </w:rPr>
        <w:t>surveillance ECG 6 h première dose</w:t>
      </w:r>
      <w:r>
        <w:t xml:space="preserve"> (bradycardie, BAV), </w:t>
      </w:r>
      <w:r>
        <w:rPr>
          <w:b/>
        </w:rPr>
        <w:t>tératogène</w:t>
      </w:r>
      <w:r>
        <w:t xml:space="preserve"> (CI grossesse absolue).</w:t>
      </w:r>
    </w:p>
    <w:p>
      <w:pPr>
        <w:pStyle w:val="ListNumber"/>
      </w:pPr>
      <w:r/>
      <w:r>
        <w:rPr>
          <w:b/>
        </w:rPr>
        <w:t>Diméthyl fumarate</w:t>
      </w:r>
      <w:r>
        <w:t xml:space="preserve"> = oral, </w:t>
      </w:r>
      <w:r>
        <w:rPr>
          <w:b/>
        </w:rPr>
        <w:t>flush et effets digestifs</w:t>
      </w:r>
      <w:r>
        <w:t xml:space="preserve"> fréquents en début de traitement (gérables par prise au cours du repas et escalade posologique), </w:t>
      </w:r>
      <w:r>
        <w:rPr>
          <w:b/>
        </w:rPr>
        <w:t>lymphopénie à surveiller</w:t>
      </w:r>
      <w:r>
        <w:t>.</w:t>
      </w:r>
    </w:p>
    <w:p>
      <w:pPr>
        <w:pStyle w:val="ListNumber"/>
      </w:pPr>
      <w:r/>
      <w:r>
        <w:rPr>
          <w:b/>
        </w:rPr>
        <w:t>Mitoxantrone</w:t>
      </w:r>
      <w:r>
        <w:t xml:space="preserve"> = immunosuppresseur cytotoxique, </w:t>
      </w:r>
      <w:r>
        <w:rPr>
          <w:b/>
        </w:rPr>
        <w:t>cardiotoxicité cumulative</w:t>
      </w:r>
      <w:r>
        <w:t xml:space="preserve"> (dose max 140 mg/m²) et </w:t>
      </w:r>
      <w:r>
        <w:rPr>
          <w:b/>
        </w:rPr>
        <w:t>LAM secondaires</w:t>
      </w:r>
      <w:r>
        <w:t xml:space="preserve"> → traitement de dernier recours, non renouvelable en Algérie.</w:t>
      </w:r>
    </w:p>
    <w:p>
      <w:pPr>
        <w:pStyle w:val="ListNumber"/>
      </w:pPr>
      <w:r/>
      <w:r>
        <w:rPr>
          <w:b/>
        </w:rPr>
        <w:t>Ocrélizumab</w:t>
      </w:r>
      <w:r>
        <w:t xml:space="preserve"> = </w:t>
      </w:r>
      <w:r>
        <w:rPr>
          <w:b/>
        </w:rPr>
        <w:t>seule biothérapie AMM dans la SEP progressive primaire (SEP-PP)</w:t>
      </w:r>
      <w:r>
        <w:t>, déplétion lymphocytes B CD20+, IV semestrielle.</w:t>
      </w:r>
    </w:p>
    <w:p>
      <w:pPr>
        <w:pStyle w:val="ListNumber"/>
      </w:pPr>
      <w:r/>
      <w:r>
        <w:rPr>
          <w:b/>
        </w:rPr>
        <w:t>Rituximab</w:t>
      </w:r>
      <w:r>
        <w:t xml:space="preserve"> = anti-CD20 chimérique, usage hors AMM SEP, alternative économique à l'ocrélizumab, 6 spécialités actives en Algérie (MABTHERA + 5 biosimilaires dont RITUXIMAB-SAIDAL et TRUXIMA algériens).</w:t>
      </w:r>
    </w:p>
    <w:p>
      <w:pPr>
        <w:pStyle w:val="ListNumber"/>
      </w:pPr>
      <w:r/>
      <w:r>
        <w:rPr>
          <w:b/>
        </w:rPr>
        <w:t>Anti-CD20 (ocrélizumab + rituximab)</w:t>
      </w:r>
      <w:r>
        <w:t xml:space="preserve"> : </w:t>
      </w:r>
      <w:r>
        <w:rPr>
          <w:b/>
        </w:rPr>
        <w:t>dépistage VHB pré-thérapeutique obligatoire</w:t>
      </w:r>
      <w:r>
        <w:t xml:space="preserve"> (réactivation virale fulminante possible), surveillance IgG semestrielle (hypogammaglobulinémie).</w:t>
      </w:r>
    </w:p>
    <w:p>
      <w:r/>
      <w:r>
        <w:rPr>
          <w:b/>
        </w:rPr>
        <w:t>Fin du Chapitre 93 — Fascicule XI</w:t>
      </w:r>
      <w:r/>
    </w:p>
    <w:p>
      <w:r/>
      <w:r>
        <w:rPr>
          <w:i/>
        </w:rPr>
        <w:t>Références : VIDAL, ANSM, Thériaque (CNHIM), CRAT, HAS, ECTRIMS/EAN guidelines 2018-2024, NICE NG220 (2022), AAN practice guidelines, UpToDate, Goodman &amp; Gilman's (13e éd.), Katzung (15e éd.), Stahl's Essential Psychopharmacology (5e éd.), Société Algérienne de Neurologie (SAN).</w:t>
      </w:r>
      <w:r/>
    </w:p>
    <w:p>
      <w:pPr>
        <w:pStyle w:val="Heading1"/>
      </w:pPr>
      <w:r>
        <w:t>Chapitre 94 — Maladies Neuromusculaires et Immunothérapies (IgIV)</w:t>
      </w:r>
    </w:p>
    <w:p>
      <w:pPr>
        <w:pStyle w:val="Heading2"/>
      </w:pPr>
      <w:r>
        <w:t>Fascicule XI — Neurologie / Antiépileptiques</w:t>
      </w:r>
    </w:p>
    <w:p>
      <w:pPr>
        <w:pStyle w:val="Heading2"/>
      </w:pPr>
      <w:r>
        <w:t>Introduction Générale du Chapitre 94</w:t>
      </w:r>
    </w:p>
    <w:p>
      <w:r>
        <w:t xml:space="preserve">Le chapitre 94 du Fascicule XI clôt l'analyse pharmacologique des thérapeutiques neurologiques par un ensemble de médicaments à la frontière entre la neurologie périphérique (jonction neuromusculaire, motoneurone périphérique) et l'immunothérapie clinique. Cinq DCIs y sont traitées, réparties en quatre sous-classes distinctes : (1) </w:t>
      </w:r>
      <w:r>
        <w:rPr>
          <w:b/>
        </w:rPr>
        <w:t>anticholinestérasiques de la myasthénie</w:t>
      </w:r>
      <w:r>
        <w:t xml:space="preserve"> (pyridostigmine, néostigmine) ; (2) </w:t>
      </w:r>
      <w:r>
        <w:rPr>
          <w:b/>
        </w:rPr>
        <w:t>oligonucléotide antisens de l'amyotrophie spinale (SMA)</w:t>
      </w:r>
      <w:r>
        <w:t xml:space="preserve"> (nusinersen) ; (3) </w:t>
      </w:r>
      <w:r>
        <w:rPr>
          <w:b/>
        </w:rPr>
        <w:t>modulateur de l'épissage SMN2</w:t>
      </w:r>
      <w:r>
        <w:t xml:space="preserve"> (risdiplam) ; (4) </w:t>
      </w:r>
      <w:r>
        <w:rPr>
          <w:b/>
        </w:rPr>
        <w:t>immunoglobulines humaines normales par voie intraveineuse (IgIV)</w:t>
      </w:r>
      <w:r>
        <w:t>. Ces médicaments ont en commun d'être tous prescrits en milieu spécialisé (centre de référence neuromusculaire, service de neurologie, réanimation neurologique) et d'exiger du pharmacien d'officine une vigilance accrue quant à leurs conditions de conservation (chaîne du froid pour IgIV), à leurs voies d'administration inhabituelles (intrathécale pour nusinersen), à leur index thérapeutique étroit (pyridostigmine — risque de crise cholinergique) et à leurs effets indésirables potentiellement vitaux (thrombose, insuffisance rénale aiguë, méningite aseptique pour IgIV).</w:t>
      </w:r>
    </w:p>
    <w:p>
      <w:r>
        <w:t xml:space="preserve">La myasthénie autoimmune (Maladie de Erb-Goldflam, 1901) reste le paradigme historique de la maladie auto-immune avec anticorps anti-récepteurs de l'acétylcholine (anti-AChR, 85 % des cas, décrits par Patrick et Lindström en 1973) ou anti-MuSK (4-8 %, anticorps anti-tyrosine-kinase musculaire spécifique, Hoch et al. 2001). Le traitement symptomatique de fond repose sur les anticholinestérasiques inhibiteurs réversibles de l'acétylcholinestérase (pyridostigmine, néostigmine), dont l'action consiste à augmenter la concentration synaptique d'acétylcholine au niveau de la fente synaptique neuromusculaire, permettant de compenser le bloc de transmission produit par les auto-anticorps circulants. La place du pharmacien d'officine est ici essentielle pour distinguer la </w:t>
      </w:r>
      <w:r>
        <w:rPr>
          <w:b/>
        </w:rPr>
        <w:t>crise myasthénique</w:t>
      </w:r>
      <w:r>
        <w:t xml:space="preserve"> (aggravation par défaut de traitement — asthénie, dysphagie, faiblesse respiratoire, hyporéflexie, myosis et fasciculations absentes) de la </w:t>
      </w:r>
      <w:r>
        <w:rPr>
          <w:b/>
        </w:rPr>
        <w:t>crise cholinergique</w:t>
      </w:r>
      <w:r>
        <w:t xml:space="preserve"> (surdosage — bradycardie, hypersialorrhée, bronchospasme, diarrhée, myosis, fasciculations) — deux situations cliniquement opposées mais parfois difficiles à différencier en pratique, et dont la prise en charge diverge radicalement (réanimation respiratoire + néostigmine IV dans un cas ; atropine + arrêt des anticholinestérasiques dans l'autre).</w:t>
      </w:r>
    </w:p>
    <w:p>
      <w:r>
        <w:t xml:space="preserve">L'amyotrophie spinale (SMA, maladie de Werdnig-Hoffmann infantile sévère ou Kugelberg-Welander juvénile) a connu une révolution thérapeutique sans précédent entre 2016 et 2020, passant du statut de maladie neurogénétique incurable de l'enfant (mortalité avant 2 ans pour le type I, délétion homozygote du gène </w:t>
      </w:r>
      <w:r>
        <w:rPr>
          <w:i/>
        </w:rPr>
        <w:t>SMN1</w:t>
      </w:r>
      <w:r>
        <w:t xml:space="preserve"> en 5q13) à celui de maladie accessible à une thérapeutique modifiant l'histoire naturelle — un cas quasiment unique en neurogénétique. Deux mécanismes thérapeutiques sont représentés dans la nomenclature algérienne : le </w:t>
      </w:r>
      <w:r>
        <w:rPr>
          <w:b/>
        </w:rPr>
        <w:t>nusinersen</w:t>
      </w:r>
      <w:r>
        <w:t xml:space="preserve"> (SPINRAZA, Biogen, AMM européenne 2017), oligonucléotide antisens modifiant l'épissage alternatif de l'ARNm du gène </w:t>
      </w:r>
      <w:r>
        <w:rPr>
          <w:i/>
        </w:rPr>
        <w:t>SMN2</w:t>
      </w:r>
      <w:r>
        <w:t xml:space="preserve"> pour restaurer la production de protéine SMN complète fonctionnelle, administré par injection intrathécale (bolus lombaire répété, 4 doses de charge puis 1 dose d'entretien tous les 4 mois à vie) ; et le </w:t>
      </w:r>
      <w:r>
        <w:rPr>
          <w:b/>
        </w:rPr>
        <w:t>risdiplam</w:t>
      </w:r>
      <w:r>
        <w:t xml:space="preserve"> (EVRYSDI, Roche, AMM européenne 2020), première petite molécule administrée par voie orale modulant le même épissage SMN2 (stabilisation du pré-ARNm SMN2 par interaction avec les motifs ISS-N1 et U1 snRNP), avec une autorisation élargie aux patients prétraités par nusinersen ou onasemnogène (thérapie génique, non disponible en Algérie). Ces deux médicaments constituent une avancée thérapeutique capitale et doivent être connus du pharmacien d'officine même s'ils ne sont pas délivrés en ville : ils peuvent faire l'objet de demande d'avis, de validation d'ordonnance hospitalière, ou de conseils aux familles.</w:t>
      </w:r>
    </w:p>
    <w:p>
      <w:r>
        <w:t xml:space="preserve">Les </w:t>
      </w:r>
      <w:r>
        <w:rPr>
          <w:b/>
        </w:rPr>
        <w:t>immunoglobulines humaines normales par voie intraveineuse (IgIV)</w:t>
      </w:r>
      <w:r>
        <w:t xml:space="preserve"> occupent une place transversale majeure en neurologie immunologique. Sept spécialités sont actives dans la nomenclature algérienne (KIOVIG, PRIVIGEN, FLEBOGAMMA DIF, CLAIRYG, INTRATECT, OCTAGAM, TELGENE), correspondant à des préparations polyvalentes purifiées à partir de plasma de donneurs sains (≥ 3 000 donneurs par lot), contenant un large éventail d'anticorps IgG dirigés contre de multiples antigènes viraux et bactériens, avec une distribution de sous-classes d'IgG proche de celle du plasma humain normal. Leurs indications neurologiques reposent sur un mécanisme immunomodulateur complexe (modulation du récepteur néonatal Fc — FcRn — entraînant une accélération de la dégradation des auto-anticorps pathogènes ; neutralisation directe des auto-anticorps par anti-idiotypes ; blocage des récepteurs Fc des macrophages ; modulation de la cascade du complément ; induction de Treg) et couvrent : le syndrome de </w:t>
      </w:r>
      <w:r>
        <w:rPr>
          <w:b/>
        </w:rPr>
        <w:t>Guillain-Barré</w:t>
      </w:r>
      <w:r>
        <w:t xml:space="preserve"> (forme aiguë dysimmunitaire, IgIV 0,4 g/kg/j × 5 jours en première intention selon les recommandations EAN/PNS 2019), la </w:t>
      </w:r>
      <w:r>
        <w:rPr>
          <w:b/>
        </w:rPr>
        <w:t>polyradiculonévrite chronique inflammatoire démyélinisante (CIDP)</w:t>
      </w:r>
      <w:r>
        <w:t xml:space="preserve"> (IgIV 2 g/kg en charge puis 1 g/kg d'entretien toutes les 3 semaines selon EAN/PNS 2021), la </w:t>
      </w:r>
      <w:r>
        <w:rPr>
          <w:b/>
        </w:rPr>
        <w:t>myasthénie autoimmune sévère</w:t>
      </w:r>
      <w:r>
        <w:t xml:space="preserve"> ou en poussée (IgIV 0,4 g/kg/j × 5 jours, alternative au plasma-échange selon MGFA 2020), le </w:t>
      </w:r>
      <w:r>
        <w:rPr>
          <w:b/>
        </w:rPr>
        <w:t>syndrome de Lambert-Eaton</w:t>
      </w:r>
      <w:r>
        <w:t xml:space="preserve"> (paraneoplasique, IgIV 0,4 g/kg/j × 5 jours en cas d'échec de l'amifampridine) et certaines </w:t>
      </w:r>
      <w:r>
        <w:rPr>
          <w:b/>
        </w:rPr>
        <w:t>myopathies inflammatoires</w:t>
      </w:r>
      <w:r>
        <w:t xml:space="preserve"> (dermatomyosiate réfractaire). En dehors de la neurologie, les IgIV sont indiquées en hématologie (purpura thrombopénique immunologique, ITP), en infectiologie (septicémies à streptocoque ou staphylocoque avec toxines sur-réactives, hypogammaglobulinémie secondaire), en dermatologie (kawasaki, pemphigoïde, dermatomyosiate) et en immunologie clinique (déficits immunitaires primitifs humoraux — hypogammaglobulinémie congénitale, déficit immunitaire commun variable DICV, agammaglobulinémie de Bruton X-liée).</w:t>
      </w:r>
    </w:p>
    <w:p>
      <w:r>
        <w:t>Le pharmacien d'officine algérien doit être en mesure d'identifier ces médicaments d'exception, de comprendre leur place dans l'arsenal thérapeutique neurologique, de surveiller la chaîne du froid pour les IgIV (conservation +2-8°C, ne pas congeler, perfusion dans les 24 heures suivant la reconstitution), et de reconnaître les principales interactions et contre-indications de chaque DCI.</w:t>
      </w:r>
    </w:p>
    <w:p>
      <w:pPr>
        <w:pStyle w:val="Heading2"/>
      </w:pPr>
      <w:r>
        <w:t>Sous-classe 1 — Myasthénie : Anticholinestérasiques</w:t>
      </w:r>
    </w:p>
    <w:p>
      <w:pPr>
        <w:pStyle w:val="Heading3"/>
      </w:pPr>
      <w:r>
        <w:t>Introduction de la sous-classe</w:t>
      </w:r>
    </w:p>
    <w:p>
      <w:r>
        <w:t>La myasthénie autoimmune est la maladie auto-immune spécifique d'organe la plus comprise sur le plan physiopathologique : la transmission cholinergique à la jonction neuromusculaire est bloquée par des auto-anticorps dirigés contre un composant du récepteur postsynaptique de l'acétylcholine (anti-AChR dans 85 % des cas, anti-MuSK dans 4-8 %, anti-LRP4 dans 1-3 %). Le traitement symptomatique de fond repose sur les inhibiteurs réversibles de l'acétylcholinestérase (AChE), enzyme localisée dans la fente synaptique qui hydrolyse l'acétylcholine (ACh) en choline et acétate. En bloquant cette hydrolyse, on augmente la concentration synaptique d'ACh, qui vient alors en compétition avec les auto-anticorps anti-AChR pour la liaison aux récepteurs postsynaptiques disponibles, restaurant ainsi une partie de la transmission neuromusculaire.</w:t>
      </w:r>
    </w:p>
    <w:p>
      <w:r>
        <w:t>Deux DCIs appartiennent à cette sous-classe dans la nomenclature algérienne :</w:t>
      </w:r>
    </w:p>
    <w:p>
      <w:pPr>
        <w:pStyle w:val="ListBullet"/>
      </w:pPr>
      <w:r/>
      <w:r>
        <w:rPr>
          <w:b/>
        </w:rPr>
        <w:t>Pyridostigmine (MESTINON)</w:t>
      </w:r>
      <w:r>
        <w:t xml:space="preserve"> : anticholinestérasique de référence, amine quaternaire (bromure de pyridostigmine), administrée par voie orale (comprimés 60 mg), à durée d'action intermédiaire (3-6 heures), pic d'action à 1-2 heures, démarrage progressif à 30-60 minutes. Sa structure quaternaire empêche le passage de la barrière hémato-encéphalique (BHE), expliquant l'absence d'effets centraux (à la différence de la physostigmine, alcaloïde tertiaire qui passe la BHE). La pyridostigmine est le traitement de première intention de la myasthénie autoimmune dans toutes les recommandations internationales (MGFA 2020, EAN 2020) ; elle est également indiquée dans le syndrome de Lambert-Eaton paraneoplasique (en association avec l'amifampridine, non disponible en Algérie) et en prophylaxie de l'intoxication par les gaz neurotoxiques organophosphorés (usage militaire, AMM FDA à 30 mg x3/jour).</w:t>
      </w:r>
    </w:p>
    <w:p>
      <w:pPr>
        <w:pStyle w:val="ListBullet"/>
      </w:pPr>
      <w:r/>
      <w:r>
        <w:rPr>
          <w:b/>
        </w:rPr>
        <w:t>Néostigmine</w:t>
      </w:r>
      <w:r>
        <w:t xml:space="preserve"> : anticholinestérasique de structure proche (bromure ou méthylsulfate de néostigmine), également amine quaternaire non traversant la BHE. La forme injectable (néostigmine méthylsulfate 0,5 mg/mL, solution injectable) est disponible en Algérie mais classée </w:t>
      </w:r>
      <w:r>
        <w:rPr>
          <w:b/>
        </w:rPr>
        <w:t>NON RENOUVELABLE</w:t>
      </w:r>
      <w:r>
        <w:t xml:space="preserve"> dans la nomenclature d'avril 2026 — elle reste utilisée en milieu hospitalier pour : le reversal du bloc neuromusculaire induit par curares non dépolarisants (en association avec l'atropine pour prévenir la bradycardie), le traitement curatif de la crise myasthénique en réanimation, le traitement de l'iléus paralytique post-opératoire, et l'épreuve diagnostique au Tensilon® (édrophonium) — désormais remplacée par la néostigmine test en pratique. La forme orale (néostigmine bromure 15 mg comprimés) n'est PAS commercialisée en Algérie.</w:t>
      </w:r>
    </w:p>
    <w:p>
      <w:r>
        <w:t>Ces deux médicaments partagent le même mécanisme et la même toxicité cholinergique ; ils diffèrent par leur pharmacocinétique (pyridostigmine plus longue durée, néostigmine plus courte et plus rapide), par leur voie d'administration privilégiée (orale pour l'une, parentérale pour l'autre) et par leur index thérapeutique étroit qui impose une éducation thérapeutique rigoureuse du patient myasthénique et de son entourage sur la reconnaissance des signes de surdosage cholinergique.</w:t>
      </w:r>
    </w:p>
    <w:p>
      <w:pPr>
        <w:pStyle w:val="Heading3"/>
      </w:pPr>
      <w:r>
        <w:t>1. DCI : Pyridostigmine (Seule)</w:t>
      </w:r>
    </w:p>
    <w:p>
      <w:r/>
      <w:r>
        <w:rPr>
          <w:b/>
        </w:rPr>
        <w:t>Liste des Catégories :</w:t>
      </w:r>
      <w:r>
        <w:t xml:space="preserve"> Myasthénie — Anticholinestérasiques ; Inhibiteurs réversibles de l'acétylcholinestérase ; Amines quaternaires.</w:t>
      </w:r>
    </w:p>
    <w:p>
      <w:r>
        <w:t>La pyridostigmine est l'anticholinestérasique de référence de la myasthénie autoimmune. Sa durée d'action intermédiaire (3-6 heures, pic à 1-2 heures, début d'action à 30-60 minutes) en fait le médicament de choix pour le traitement symptomatique oral au long cours du patient myasthénique. Son caractère d'amine quaternaire (charge électrique permanente) l'empêche de traverser la barrière hémato-encéphalique, ce qui limite sa toxicité centrale. L'absorption orale est incomplète (10-20 %) et très variable d'un sujet à l'autre, expliquant la grande variabilité interindividuelle des doses requises (de 120 mg/jour à plus de 1 200 mg/jour dans les formes sévères).</w:t>
      </w:r>
    </w:p>
    <w:p>
      <w:r/>
      <w:r>
        <w:rPr>
          <w:b/>
        </w:rPr>
        <w:t>Médicaments disponibles en Algérie (Marques, Laboratoires, Formes et Dosages) :</w:t>
      </w:r>
      <w:r/>
    </w:p>
    <w:p>
      <w:pPr>
        <w:pStyle w:val="ListBullet"/>
      </w:pPr>
      <w:r/>
      <w:r>
        <w:rPr>
          <w:b/>
        </w:rPr>
        <w:t>MESTINON</w:t>
      </w:r>
      <w:r>
        <w:t xml:space="preserve"> (MEDA PHARMACEUTICALS SWITZERLAND GMBH)</w:t>
      </w:r>
    </w:p>
    <w:p>
      <w:pPr>
        <w:pStyle w:val="ListBullet"/>
      </w:pPr>
      <w:r>
        <w:t>Formes et Dosages : Dragées 60 mg</w:t>
      </w:r>
    </w:p>
    <w:p>
      <w:pPr>
        <w:pStyle w:val="ListBullet"/>
      </w:pPr>
      <w:r>
        <w:t>Conditionnements : Boîtes de 20 et 150 dragées</w:t>
      </w:r>
    </w:p>
    <w:p>
      <w:pPr>
        <w:pStyle w:val="ListBullet"/>
      </w:pPr>
      <w:r>
        <w:t xml:space="preserve">Statut : </w:t>
      </w:r>
      <w:r>
        <w:rPr>
          <w:b/>
        </w:rPr>
        <w:t>ACTIF</w:t>
      </w:r>
      <w:r/>
    </w:p>
    <w:p>
      <w:r>
        <w:t>Le MESTINON est l'unique spécialité anticholinestérasique orale disponible en Algérie. Initialement développée par Hoffmann-La Roche (Bâle) dans les années 1950 à partir des travaux de Mary Walker (1934, qui avait démontré l'efficacité de la physostigmine dans la myasthénie), la marque a été transférée successivement à MEDA Pharmaceuticals, puis Mylan (devenue Viatris en 2020). La spécialité est commercialisée en Algérie par MEDA PHARMACEUTICALS SWITZERLAND GMBH. Il n'existe pas de forme générique ou de sirop pédiatrique commercialisé en Algérie (contrairement à la France où le sirop de pyridostigmine à 60 mg/5 mL est disponible à l'hôpital pour les formes pédiatriques de myasthénie congénitale).</w:t>
      </w:r>
    </w:p>
    <w:p>
      <w:r/>
      <w:r>
        <w:rPr>
          <w:b/>
        </w:rPr>
        <w:t>Sous-classe et Mécanisme d'action :</w:t>
      </w:r>
      <w:r/>
    </w:p>
    <w:p>
      <w:pPr>
        <w:pStyle w:val="ListBullet"/>
      </w:pPr>
      <w:r>
        <w:t>Sous-classe : Inhibiteur réversible de l'acétylcholinestérase, amine quaternaire, anticholinestérasique de la jonction neuromusculaire. Positionnement : traitement symptomatique de première intention de la myasthénie autoimmune ; traitement de fond au long cours en association avec l'immunothérapie (corticostéroïdes, azathioprine, IgIV).</w:t>
      </w:r>
    </w:p>
    <w:p>
      <w:pPr>
        <w:pStyle w:val="ListBullet"/>
      </w:pPr>
      <w:r>
        <w:t>Mécanisme d'action : La pyridostigmine inhibe de manière compétitive et réversible l'acétylcholinestérase (AChE, EC 3.1.1.7), enzyme localisée dans la fente synaptique de la jonction neuromusculaire, qui hydrolyse normalement l'acétylcholine (ACh) en choline et acétate (constante de Michaelis Km ≈ 9 × 10⁻⁵ M, vitesse de catalyse kcat ≈ 1,4 × 10⁴ s⁻¹ — l'une des enzymes les plus rapides du métabolisme). En inhibant l'AChE, la pyridostigmine augmente la concentration synaptique d'ACh, qui se lie alors aux récepteurs postsynaptiques nicotiniques de type muscle (AChR N1, pentamère α2βγδ) non occupés par les auto-anticorps, restaurant une partie de la transmission neuromusculaire. Le blocage est purement périphérique (pas de passage de la BHE — pas d'effets centraux). La réversibilité distingue la pyridostigmine des inhibiteurs irréversibles (organophosphorés gazeux ou pesticides, qui phosphorylent de manière covalente la sérine du site actif — Ser203 — résistant aux oximes).</w:t>
      </w:r>
    </w:p>
    <w:p>
      <w:r/>
      <w:r>
        <w:rPr>
          <w:b/>
        </w:rPr>
        <w:t>Profil Pharmacologique :</w:t>
      </w:r>
      <w:r/>
    </w:p>
    <w:p>
      <w:pPr>
        <w:pStyle w:val="ListBullet"/>
      </w:pPr>
      <w:r>
        <w:t>Indications :</w:t>
      </w:r>
    </w:p>
    <w:p>
      <w:pPr>
        <w:pStyle w:val="ListBullet"/>
      </w:pPr>
      <w:r>
        <w:t>Myasthénie autoimmune (maladie d'Erb-Goldflam) — traitement symptomatique de première intention, toutes formes confondues (oculaires pures 50 % des patients, généralisées modérées à sévères 50 %). Efficacité variable selon le phénotype anti-anticorps : efficace dans 70-80 % des myasthénies anti-AChR ; moins efficace voire inefficace dans les myasthénies anti-MuSK (où les anticholinestérasiques peuvent même aggraver les symptômes par hypersensibilité cholinergique musculaire, fibrillations et fasciculations).</w:t>
      </w:r>
    </w:p>
    <w:p>
      <w:pPr>
        <w:pStyle w:val="ListBullet"/>
      </w:pPr>
      <w:r>
        <w:t>Syndrome de Lambert-Eaton (paraneoplasique à petit cellulaire pulmonaire, anticorps anti-canal calcique voltage-dépendant P/Q-type) — traitement adjuvant en association avec l'amifampridine (3,4-DAP, non disponible en Algérie). Efficacité modeste (50 % d'amélioration).</w:t>
      </w:r>
    </w:p>
    <w:p>
      <w:pPr>
        <w:pStyle w:val="ListBullet"/>
      </w:pPr>
      <w:r>
        <w:t>Prophylaxie de l'intoxication par les gaz neurotoxiques organophosphorés (soman, sarin, tabun, VX) — usage militaire autorisé par FDA à 30 mg × 3/jour en pré-exposition, en association à l'atropine et à la pralidoxime en post-exposition (AMM spécifique FDA 2003).</w:t>
      </w:r>
    </w:p>
    <w:p>
      <w:pPr>
        <w:pStyle w:val="ListBullet"/>
      </w:pPr>
      <w:r>
        <w:t>Œsophagie sévère, dysphonie ou troubles de la déglutition — cas isolés.</w:t>
      </w:r>
    </w:p>
    <w:p>
      <w:pPr>
        <w:pStyle w:val="ListBullet"/>
      </w:pPr>
      <w:r>
        <w:t>Contre-indications :</w:t>
      </w:r>
    </w:p>
    <w:p>
      <w:pPr>
        <w:pStyle w:val="ListBullet"/>
      </w:pPr>
      <w:r>
        <w:t>Asthma bronchique non contrôlé (risque de bronchospasme cholinergique).</w:t>
      </w:r>
    </w:p>
    <w:p>
      <w:pPr>
        <w:pStyle w:val="ListBullet"/>
      </w:pPr>
      <w:r>
        <w:t>Occlusion intestinale ou urinaire mécanique (péristaltisme cholinergique contre-productif).</w:t>
      </w:r>
    </w:p>
    <w:p>
      <w:pPr>
        <w:pStyle w:val="ListBullet"/>
      </w:pPr>
      <w:r>
        <w:t>Bradycardie sévère (&lt; 50 bpm), bloc auriculo-ventriculaire de haut grade non appareillé.</w:t>
      </w:r>
    </w:p>
    <w:p>
      <w:pPr>
        <w:pStyle w:val="ListBullet"/>
      </w:pPr>
      <w:r>
        <w:t>Hyperthyroïdie non contrôlée (risque de crise thyréotoxique potentialisé par cholinergique).</w:t>
      </w:r>
    </w:p>
    <w:p>
      <w:pPr>
        <w:pStyle w:val="ListBullet"/>
      </w:pPr>
      <w:r>
        <w:t>Allergie à la pyridostigmine ou au bromure (rare).</w:t>
      </w:r>
    </w:p>
    <w:p>
      <w:pPr>
        <w:pStyle w:val="ListBullet"/>
      </w:pPr>
      <w:r>
        <w:t>Prudence : épilepsie (baisse du seuil), parkinsonisme (aggravation), ulcère gastro-duodénal (sécrétion acide stimulée).</w:t>
      </w:r>
    </w:p>
    <w:p>
      <w:pPr>
        <w:pStyle w:val="ListBullet"/>
      </w:pPr>
      <w:r>
        <w:t>Effets Indésirables : tous liés à la stimulation cholinergique muscarinique (périphérique) et nicotinique (musculaire) :</w:t>
      </w:r>
    </w:p>
    <w:p>
      <w:pPr>
        <w:pStyle w:val="ListBullet"/>
      </w:pPr>
      <w:r/>
      <w:r>
        <w:rPr>
          <w:b/>
        </w:rPr>
        <w:t>Muscariniques cardiaques</w:t>
      </w:r>
      <w:r>
        <w:t xml:space="preserve"> : bradycardie sinusale, hypotension, bloc auriculo-ventriculaire, allongement du PR (réversible par atropine).</w:t>
      </w:r>
    </w:p>
    <w:p>
      <w:pPr>
        <w:pStyle w:val="ListBullet"/>
      </w:pPr>
      <w:r/>
      <w:r>
        <w:rPr>
          <w:b/>
        </w:rPr>
        <w:t>Muscariniques respiratoires</w:t>
      </w:r>
      <w:r>
        <w:t xml:space="preserve"> : bronchoconstriction, hypersécrétion bronchique, dyspnée (CI relative absolue asthme).</w:t>
      </w:r>
    </w:p>
    <w:p>
      <w:pPr>
        <w:pStyle w:val="ListBullet"/>
      </w:pPr>
      <w:r/>
      <w:r>
        <w:rPr>
          <w:b/>
        </w:rPr>
        <w:t>Muscariniques digestifs</w:t>
      </w:r>
      <w:r>
        <w:t xml:space="preserve"> : hypersialorrhée, nausées, vomissements, crampes abdominales, diarrhée cholinergique, péristaltisme accru.</w:t>
      </w:r>
    </w:p>
    <w:p>
      <w:pPr>
        <w:pStyle w:val="ListBullet"/>
      </w:pPr>
      <w:r/>
      <w:r>
        <w:rPr>
          <w:b/>
        </w:rPr>
        <w:t>Muscariniques urinaires</w:t>
      </w:r>
      <w:r>
        <w:t xml:space="preserve"> : mictions impérieuses, pollakiurie.</w:t>
      </w:r>
    </w:p>
    <w:p>
      <w:pPr>
        <w:pStyle w:val="ListBullet"/>
      </w:pPr>
      <w:r/>
      <w:r>
        <w:rPr>
          <w:b/>
        </w:rPr>
        <w:t>Muscariniques oculaires</w:t>
      </w:r>
      <w:r>
        <w:t xml:space="preserve"> : myosis, spasme d'accommodation, hypersecrétion lacrymale.</w:t>
      </w:r>
    </w:p>
    <w:p>
      <w:pPr>
        <w:pStyle w:val="ListBullet"/>
      </w:pPr>
      <w:r/>
      <w:r>
        <w:rPr>
          <w:b/>
        </w:rPr>
        <w:t>Nicotiniques musculaires (crise cholinergique — surdosage)</w:t>
      </w:r>
      <w:r>
        <w:t xml:space="preserve"> : fasciculations, crampes musculaires, faiblesse musculaire paradoxale (déplétion d'AChR par stimulation excessive — dépolarisation persistante), tremblements, paralysie respiratoire.</w:t>
      </w:r>
    </w:p>
    <w:p>
      <w:pPr>
        <w:pStyle w:val="ListBullet"/>
      </w:pPr>
      <w:r/>
      <w:r>
        <w:rPr>
          <w:b/>
        </w:rPr>
        <w:t>Cutanés</w:t>
      </w:r>
      <w:r>
        <w:t xml:space="preserve"> : rash (rare), sueurs profuses.</w:t>
      </w:r>
    </w:p>
    <w:p>
      <w:pPr>
        <w:pStyle w:val="ListBullet"/>
      </w:pPr>
      <w:r/>
      <w:r>
        <w:rPr>
          <w:b/>
        </w:rPr>
        <w:t>Endocriniens</w:t>
      </w:r>
      <w:r>
        <w:t xml:space="preserve"> : stimulation de la sécrétion gastrique (acidité), bronchique et sudorale.</w:t>
      </w:r>
    </w:p>
    <w:p>
      <w:r/>
      <w:r>
        <w:rPr>
          <w:b/>
        </w:rPr>
        <w:t>Prévention et Gestion des Effets Indésirables :</w:t>
      </w:r>
      <w:r/>
    </w:p>
    <w:p>
      <w:pPr>
        <w:pStyle w:val="ListBullet"/>
      </w:pPr>
      <w:r>
        <w:t>Mesures Préventives :</w:t>
      </w:r>
    </w:p>
    <w:p>
      <w:pPr>
        <w:pStyle w:val="ListBullet"/>
      </w:pPr>
      <w:r>
        <w:t>Surveillance clinique : fréquence cardiaque (FC) et tension artérielle (TA) au début du traitement et à chaque titration.</w:t>
      </w:r>
    </w:p>
    <w:p>
      <w:pPr>
        <w:pStyle w:val="ListBullet"/>
      </w:pPr>
      <w:r>
        <w:t>Éducation thérapeutique du patient et de l'entourage : reconnaissance des signes de crise myasthénique (faiblesse, dyspnée, dysphagie, voix nasonnée, fatigabilité) versus crise cholinergique (bradycardie, myosis, hypersialorrhée, diarrhée, crampes, fasciculations, bronchospasme) — le test diagnostique est l'administration d'une faible dose de néostigmine IV en réanimation (ou édrophonium/Tensilon® — non disponible), avec amélioration = myasthénique, aggravation = cholinergique.</w:t>
      </w:r>
    </w:p>
    <w:p>
      <w:pPr>
        <w:pStyle w:val="ListBullet"/>
      </w:pPr>
      <w:r>
        <w:t>Adaptation posologique progressive : débuter 30 mg (1/2 dragée) × 3/jour, augmenter par paliers de 15-30 mg tous les 3-7 jours selon réponse et tolérance, jusqu'à dose minimale efficace (souvent 60 mg × 3-4/jour, parfois jusqu'à 120 mg × 5/jour dans formes sévères).</w:t>
      </w:r>
    </w:p>
    <w:p>
      <w:pPr>
        <w:pStyle w:val="ListBullet"/>
      </w:pPr>
      <w:r>
        <w:t>Fractionnement des prises selon les activités (matinées, repas, efforts) ; prise 30-45 min avant les repas pour faciliter la déglutition.</w:t>
      </w:r>
    </w:p>
    <w:p>
      <w:pPr>
        <w:pStyle w:val="ListBullet"/>
      </w:pPr>
      <w:r>
        <w:t>Tenue d'un agenda thérapeutique par le patient (horaires, doses, signes ressentis) pour optimiser la titration avec le neurologue.</w:t>
      </w:r>
    </w:p>
    <w:p>
      <w:pPr>
        <w:pStyle w:val="ListBullet"/>
      </w:pPr>
      <w:r>
        <w:t>Dépistage d'une tuberculose latente et d'une infection intercurrente avant initiation (les anticholinestérasiques peuvent masquer les symptômes).</w:t>
      </w:r>
    </w:p>
    <w:p>
      <w:pPr>
        <w:pStyle w:val="ListBullet"/>
      </w:pPr>
      <w:r>
        <w:t>Conduite à Tenir :</w:t>
      </w:r>
    </w:p>
    <w:p>
      <w:pPr>
        <w:pStyle w:val="ListBullet"/>
      </w:pPr>
      <w:r/>
      <w:r>
        <w:rPr>
          <w:b/>
        </w:rPr>
        <w:t>Crise myasthénique</w:t>
      </w:r>
      <w:r>
        <w:t xml:space="preserve"> (déficit de traitement) : hospitalisation en réanimation neurologique, surveillance spirométrique (CVF &lt; 20 mL/kg ou débit expiratoire maximal &lt; 200 L/min = indication de ventilation non invasive ou intubation), administration de néostigmine IV 0,5-1 mg répétés, IgIV 0,4 g/kg/j × 5 jours ou plasma-échange. Ne jamais arrêter brutalement la pyridostigmine (risque d'aggravation).</w:t>
      </w:r>
    </w:p>
    <w:p>
      <w:pPr>
        <w:pStyle w:val="ListBullet"/>
      </w:pPr>
      <w:r/>
      <w:r>
        <w:rPr>
          <w:b/>
        </w:rPr>
        <w:t>Crise cholinergique</w:t>
      </w:r>
      <w:r>
        <w:t xml:space="preserve"> (surdosage) : arrêt immédiat de la pyridostigmine, atropine IV 0,5-1 mg (antagoniste muscarinique), ventilation mécanique si paralysie respiratoire, surveillance ECG (risque de bradycardie sévère et trouble du rythme). Reprise à dose réduite 50 % après 24-48 heures de stabilisation, puis titration prudente.</w:t>
      </w:r>
    </w:p>
    <w:p>
      <w:pPr>
        <w:pStyle w:val="ListBullet"/>
      </w:pPr>
      <w:r>
        <w:t>Effets muscariniques mineurs (hypersialorrhée, diarrhée) : adjonction d'atropine orale 0,5 mg ou de sulfate d'atropine 0,25-1 mg/jour — mais attention au masquage des signes de surdosage (à éviter si possible).</w:t>
      </w:r>
    </w:p>
    <w:p>
      <w:r/>
      <w:r>
        <w:rPr>
          <w:b/>
        </w:rPr>
        <w:t>Interactions Importantes :</w:t>
      </w:r>
      <w:r/>
    </w:p>
    <w:p>
      <w:pPr>
        <w:pStyle w:val="ListBullet"/>
      </w:pPr>
      <w:r/>
      <w:r>
        <w:rPr>
          <w:b/>
        </w:rPr>
        <w:t>Pyridostigmine + autres cholinestérasiques</w:t>
      </w:r>
      <w:r>
        <w:t xml:space="preserve"> (néostigmine, édrophonium, donépézil, rivastigmine, galantamine) : addition des effets cholinergiques — risque de crise cholinergique. CI ou surveillance stricte.</w:t>
      </w:r>
    </w:p>
    <w:p>
      <w:pPr>
        <w:pStyle w:val="ListBullet"/>
      </w:pPr>
      <w:r/>
      <w:r>
        <w:rPr>
          <w:b/>
        </w:rPr>
        <w:t>Pyridostigmine + anticholinergiques</w:t>
      </w:r>
      <w:r>
        <w:t xml:space="preserve"> (atropine, scopolamine, tropicamide, ipratropium, oxybutynine, toltérodine, solifénacine, trihexyphénidyle, bipéridène) : antagonisme pharmacodynamique — diminution de l'efficacité de la pyridostigmine sur la myasthénie. Réserver l'atropine au traitement curatif de la crise cholinergique.</w:t>
      </w:r>
    </w:p>
    <w:p>
      <w:pPr>
        <w:pStyle w:val="ListBullet"/>
      </w:pPr>
      <w:r/>
      <w:r>
        <w:rPr>
          <w:b/>
        </w:rPr>
        <w:t>Pyridostigmine + curares non dépolarisants</w:t>
      </w:r>
      <w:r>
        <w:t xml:space="preserve"> (pancuronium, rocuronium, vécuronium, cisatracurium, atracurium) : antagonisme — levée du bloc neuromusculaire. La néostigmine est utilisée en anesthésie pour reversal (avec atropine).</w:t>
      </w:r>
    </w:p>
    <w:p>
      <w:pPr>
        <w:pStyle w:val="ListBullet"/>
      </w:pPr>
      <w:r/>
      <w:r>
        <w:rPr>
          <w:b/>
        </w:rPr>
        <w:t>Pyridostigmine + succinylcholine (suxaméthonium)</w:t>
      </w:r>
      <w:r>
        <w:t xml:space="preserve"> : potentialisation du bloc dépolarisant — prolongation de l'apnée curare (risque vital en anesthésie).</w:t>
      </w:r>
    </w:p>
    <w:p>
      <w:pPr>
        <w:pStyle w:val="ListBullet"/>
      </w:pPr>
      <w:r/>
      <w:r>
        <w:rPr>
          <w:b/>
        </w:rPr>
        <w:t>Pyridostigmine + bêtabloquants</w:t>
      </w:r>
      <w:r>
        <w:t xml:space="preserve"> (propranolol, métoprolol, bisoprolol) : potentialisation bradycardisante — surveillance ECG, contre-indication relative aux bêtabloquants non cardio-sélectifs.</w:t>
      </w:r>
    </w:p>
    <w:p>
      <w:pPr>
        <w:pStyle w:val="ListBullet"/>
      </w:pPr>
      <w:r/>
      <w:r>
        <w:rPr>
          <w:b/>
        </w:rPr>
        <w:t>Pyridostigmine + aminoglycosides</w:t>
      </w:r>
      <w:r>
        <w:t xml:space="preserve"> (gentamicine, néomycine, streptomycine) : antagonisme pharmacodynamique — les aminoglycosides inhibent la libération présynaptique d'ACh (blocage des canaux calciques), aggravant la faiblesse myasthénique.</w:t>
      </w:r>
    </w:p>
    <w:p>
      <w:pPr>
        <w:pStyle w:val="ListBullet"/>
      </w:pPr>
      <w:r/>
      <w:r>
        <w:rPr>
          <w:b/>
        </w:rPr>
        <w:t>Pyridostigmine + fluoroquinolones</w:t>
      </w:r>
      <w:r>
        <w:t xml:space="preserve"> (ciprofloxacine, ofloxacine, lévofloxacine) : potentialisation de la faiblesse musculaire (les fluoroquinolones ont un effet myorelaxant propre).</w:t>
      </w:r>
    </w:p>
    <w:p>
      <w:pPr>
        <w:pStyle w:val="ListBullet"/>
      </w:pPr>
      <w:r/>
      <w:r>
        <w:rPr>
          <w:b/>
        </w:rPr>
        <w:t>Pyridostigmine + polymyxine B, colistine</w:t>
      </w:r>
      <w:r>
        <w:t xml:space="preserve"> : potentialisation du bloc neuromusculaire (effet myorelaxant).</w:t>
      </w:r>
    </w:p>
    <w:p>
      <w:pPr>
        <w:pStyle w:val="ListBullet"/>
      </w:pPr>
      <w:r/>
      <w:r>
        <w:rPr>
          <w:b/>
        </w:rPr>
        <w:t>Pyridostigmine + quinine, quinidine, procaïnamide</w:t>
      </w:r>
      <w:r>
        <w:t xml:space="preserve"> : potentialisation de la faiblesse myasthénique (blocage des canaux sodiques musculaires) — CI relative.</w:t>
      </w:r>
    </w:p>
    <w:p>
      <w:pPr>
        <w:pStyle w:val="ListBullet"/>
      </w:pPr>
      <w:r/>
      <w:r>
        <w:rPr>
          <w:b/>
        </w:rPr>
        <w:t>Pyridostigmine + magnésium IV</w:t>
      </w:r>
      <w:r>
        <w:t xml:space="preserve"> (éclampsie) : antagonisme — le magnésium inhibe la libération d'ACh et majore la faiblesse myasthénique.</w:t>
      </w:r>
    </w:p>
    <w:p>
      <w:pPr>
        <w:pStyle w:val="ListBullet"/>
      </w:pPr>
      <w:r/>
      <w:r>
        <w:rPr>
          <w:b/>
        </w:rPr>
        <w:t>Pyridostigmine + corticoïdes</w:t>
      </w:r>
      <w:r>
        <w:t xml:space="preserve"> : association courante et bénéfique dans la myasthénie (immunosuppression), mais risque d'aggravation initiale transitoire (jours 1-14) — surveillance clinique stricte à l'initiation de la corticothérapie.</w:t>
      </w:r>
    </w:p>
    <w:p>
      <w:pPr>
        <w:pStyle w:val="ListBullet"/>
      </w:pPr>
      <w:r/>
      <w:r>
        <w:rPr>
          <w:b/>
        </w:rPr>
        <w:t>Pyridostigmine + vaccins vivants atténués</w:t>
      </w:r>
      <w:r>
        <w:t xml:space="preserve"> (BCG, fièvre jaune, ROR) : non CI, mais la corticothérapie associée peut contre-indiquer le vaccin vivant.</w:t>
      </w:r>
    </w:p>
    <w:p>
      <w:pPr>
        <w:pStyle w:val="ListBullet"/>
      </w:pPr>
      <w:r/>
      <w:r>
        <w:rPr>
          <w:b/>
        </w:rPr>
        <w:t>Pyridostigmine + IMATINIB</w:t>
      </w:r>
      <w:r>
        <w:t xml:space="preserve"> : augmentation de l'exposition à la pyridostigmine (inhibition du transporteur OCT1 hépatique).</w:t>
      </w:r>
    </w:p>
    <w:p>
      <w:r/>
      <w:r>
        <w:rPr>
          <w:b/>
        </w:rPr>
        <w:t>Grossesse et Allaitement :</w:t>
      </w:r>
      <w:r/>
    </w:p>
    <w:p>
      <w:pPr>
        <w:pStyle w:val="ListBullet"/>
      </w:pPr>
      <w:r>
        <w:t xml:space="preserve">Grossesse : Pyridostigmine </w:t>
      </w:r>
      <w:r>
        <w:rPr>
          <w:b/>
        </w:rPr>
        <w:t>compatible</w:t>
      </w:r>
      <w:r>
        <w:t xml:space="preserve"> selon CRAT et EMA (catégorie C FDA — ancienne). La pyasthénie peut s'aggraver, s'améliorer ou rester stable pendant la grossesse (3 phénotypes évolutifs), avec un risque d'exacerbation au 1er trimestre, au post-partum (30 % d'aggravation dans les 6 semaines après accouchement). La pyridostigmine reste le traitement de fond de la myasthénie gravidique (absorption maternelle inchangée, dose souvent à augmenter au 3e trimestre en raison de l'augmentation du volume de distribution et de la clairance rénale). Risque de </w:t>
      </w:r>
      <w:r>
        <w:rPr>
          <w:b/>
        </w:rPr>
        <w:t>myasthénie néonatale transitoire</w:t>
      </w:r>
      <w:r>
        <w:t xml:space="preserve"> chez 10-20 % des nouveau-nés (passage transplacentaire des anticorps anti-AChR maternels — IgG) : surveillance néonatale obligatoire 48-72 h (tonus, succion, cri, fréquence respiratoire) en maternité de niveau 3 ; traitement par néostigmine IM ou exchanges plasmatiques si nécessaire.</w:t>
      </w:r>
    </w:p>
    <w:p>
      <w:pPr>
        <w:pStyle w:val="ListBullet"/>
      </w:pPr>
      <w:r>
        <w:t xml:space="preserve">Allaitement : Pyridostigmine </w:t>
      </w:r>
      <w:r>
        <w:rPr>
          <w:b/>
        </w:rPr>
        <w:t>compatible</w:t>
      </w:r>
      <w:r>
        <w:t xml:space="preserve"> selon CRAT, EMA et Académie Américaine de Pédiatrie (AAP). Faible passage dans le lait maternel (&lt; 0,1 % de la dose maternelle par kg), faible biodisponibilité orale chez le nourrisson (5-10 %). Allaitement autorisé en surveillant la survenue éventuelle de signes cholinergiques chez le nouveau-né (hypersialorrhée, diarrhée, myosis).</w:t>
      </w:r>
    </w:p>
    <w:p>
      <w:pPr>
        <w:pStyle w:val="ListBullet"/>
      </w:pPr>
      <w:r>
        <w:t>Précisions : Éviter les autres immunosuppresseurs tératogènes (méthotrexate, mycophénolate CI absolue — tératogénicité), privilégier la pyridostigmine seule ou associée à la corticothérapie. Anesthésie locorégionale (péridurale) préférentielle pour l'accouchement. Pas d'urgence à la césarienne en dehors des indications obstétricales. Éviter le sulfate de magnésium en cas de prééclampsie (CI absolue — risque de décompensation myasthénique sévère ; préférer nicardipine ou labétalol).</w:t>
      </w:r>
    </w:p>
    <w:p>
      <w:r/>
      <w:r>
        <w:rPr>
          <w:b/>
        </w:rPr>
        <w:t>Posologie et Mode d'administration (Standard) :</w:t>
      </w:r>
      <w:r/>
    </w:p>
    <w:p>
      <w:pPr>
        <w:pStyle w:val="ListBullet"/>
      </w:pPr>
      <w:r>
        <w:t>Adulte : Posologie initiale 60 mg × 3/jour (1 dragée matin, midi, soir 30-45 min avant les repas), à augmenter par paliers de 30-60 mg tous les 3-7 jours selon réponse clinique et tolérance. Posologie moyenne d'entretien : 60-120 mg × 4-5/jour (240-600 mg/jour), répartis toutes les 3-6 heures pendant la période d'éveil. Dose maximale recommandée : 1 200 mg/jour (au-delà, l'efficacité diminue — désensibilisation AChR, et la toxicité cholinergique augmente). Une forme à libération prolongée (Timespan 180 mg) existe aux USA et en France (non disponible en Algérie) pour la couverture nocturne des myasthénies sévères avec faiblesse matinale.</w:t>
      </w:r>
    </w:p>
    <w:p>
      <w:pPr>
        <w:pStyle w:val="ListBullet"/>
      </w:pPr>
      <w:r>
        <w:t>Sujet âgé : Posologie initiale réduite à 30 mg × 3/jour (1/2 dragée), titration plus lente (paliers de 15-30 mg tous les 7 jours), surveillance ECG (bradycardie), tension artérielle (hypotension orthostatique), transit (diarrhée cholinergique), fonction rénale (clairance réduite). Risque majoré de syndrome cholinergique masqué (présentation atypique avec confusion).</w:t>
      </w:r>
    </w:p>
    <w:p>
      <w:pPr>
        <w:pStyle w:val="ListBullet"/>
      </w:pPr>
      <w:r>
        <w:t>Insuffisance rénale : Diminution de la clairance rénale de la pyridostigmine (50-70 % de la dose éliminée par le rein sous forme inchangée) — adapter : ClCr 30-50 mL/min : 75 % de la dose standard ; ClCr 10-30 mL/min : 50 % de la dose ; ClCr &lt; 10 mL/min : 25-30 % de la dose, espacement des prises toutes les 6-8 heures.</w:t>
      </w:r>
    </w:p>
    <w:p>
      <w:pPr>
        <w:pStyle w:val="ListBullet"/>
      </w:pPr>
      <w:r>
        <w:t>Insuffisance hépatique : Pas d'adaptation posologique systématique (métabolisme hépatique minoritaire), mais surveillance accrue en cas d'insuffisance sévère (risque d'accumulation).</w:t>
      </w:r>
    </w:p>
    <w:p>
      <w:pPr>
        <w:pStyle w:val="ListBullet"/>
      </w:pPr>
      <w:r>
        <w:t>Enfant (myasthénie juvenile ou congénitale) : 1-2 mg/kg/jour en 4-6 prises, max 7 mg/kg/jour. Nécessite le sirop de pyridostigmine (non disponible en Algérie — recours à la néostigmine sirop ou au MESTINON écrasé en suspension magistrale).</w:t>
      </w:r>
    </w:p>
    <w:p>
      <w:pPr>
        <w:pStyle w:val="ListBullet"/>
      </w:pPr>
      <w:r>
        <w:t>Durée : Traitement au long cours à vie (myasthénie autoimmune chronique). Adaptation selon l'évolution clinique (exacerbations, rémissions). L'arrêt brutal est dangereux (risque de crise myasthénique). En cas d'arrêt programmé (rémission durable sous immunothérapie), décroissance très lente sur plusieurs semaines.</w:t>
      </w:r>
    </w:p>
    <w:p>
      <w:pPr>
        <w:pStyle w:val="ListBullet"/>
      </w:pPr>
      <w:r>
        <w:t>Moment de la prise : Pendant ou 30-45 minutes avant les repas pour faciliter la déglutition et la mastication. Répartition des prises selon les activités (matin, midi, soir, coucher — parfois 2-3 h du matin pour réveil). Dernière prise vers 22-23 h pour couverture nocturne.</w:t>
      </w:r>
    </w:p>
    <w:p>
      <w:r/>
      <w:r>
        <w:rPr>
          <w:b/>
        </w:rPr>
        <w:t>Arbitrage et Bénéfices des Formes Galéniques :</w:t>
      </w:r>
      <w:r/>
    </w:p>
    <w:p>
      <w:pPr>
        <w:pStyle w:val="ListBullet"/>
      </w:pPr>
      <w:r>
        <w:t>Dragée 60 mg (MESTINON) : Forme de référence, sécable, per-os, durée 3-6 h. Permet titration fine par 30 mg. Inconvénient : délai d'action 30-60 min, pic à 1-2 h, nécessité de prises multiples (4-6/jour).</w:t>
      </w:r>
    </w:p>
    <w:p>
      <w:pPr>
        <w:pStyle w:val="ListBullet"/>
      </w:pPr>
      <w:r>
        <w:t>Forme LP (Timespan 180 mg — non disponible en Algérie) : Avantage pour la couverture nocturne et matinale ; inconvénient : absorption moins prévisible, impossibilité de titration fine, risque de pic matinal cholinergique.</w:t>
      </w:r>
    </w:p>
    <w:p>
      <w:pPr>
        <w:pStyle w:val="ListBullet"/>
      </w:pPr>
      <w:r>
        <w:t>Sirop (pyridostigmine 60 mg/5 mL — non disponible en Algérie) : Réservé pédiatrie (myasthénie congénitale ou juvenile), sujet âgé dysphagique, sonde naso-gastrique.</w:t>
      </w:r>
    </w:p>
    <w:p>
      <w:pPr>
        <w:pStyle w:val="ListBullet"/>
      </w:pPr>
      <w:r>
        <w:t>Forme IV (néostigmine — voir fiche séparée) : Réanimation neurologique et anesthésie.</w:t>
      </w:r>
    </w:p>
    <w:p>
      <w:r/>
      <w:r>
        <w:rPr>
          <w:b/>
        </w:rPr>
        <w:t>Instructions et Conseils au Patient :</w:t>
      </w:r>
      <w:r/>
    </w:p>
    <w:p>
      <w:pPr>
        <w:pStyle w:val="ListBullet"/>
      </w:pPr>
      <w:r>
        <w:t>Communication au comptoir : « Ce médicament combat la faiblesse musculaire de la myasthénie en augmentant la transmission nerveuse vers vos muscles. Prenez-le strictement aux heures fixées par votre neurologue — la régularité est aussi importante que la dose. Ne l'arrêtez JAMAIS brutalement, même si vous vous sentez mieux. Signalez tout symptôme nouveau : faiblesse respiratoire, difficulté à avaler, voix nasonnée (signes de crise myasthénique — URGENCE) ; ou à l'inverse bradycardie, diarrhée, crampes musculaires, myosis (signes de surdosage — crise cholinergique). »</w:t>
      </w:r>
    </w:p>
    <w:p>
      <w:pPr>
        <w:pStyle w:val="ListBullet"/>
      </w:pPr>
      <w:r>
        <w:t>Mode d'utilisation pratique :</w:t>
      </w:r>
    </w:p>
    <w:p>
      <w:pPr>
        <w:pStyle w:val="ListBullet"/>
      </w:pPr>
      <w:r>
        <w:t>Prendre les dragées à heure fixe (programmation alarme téléphone) — l'oubli d'une prise peut déclencher une faiblesse.</w:t>
      </w:r>
    </w:p>
    <w:p>
      <w:pPr>
        <w:pStyle w:val="ListBullet"/>
      </w:pPr>
      <w:r>
        <w:t>En cas d'oubli &lt; 1 h : prendre la dose ; si &gt; 1 h : sauter et reprendre à l'heure suivante (ne jamais doubler).</w:t>
      </w:r>
    </w:p>
    <w:p>
      <w:pPr>
        <w:pStyle w:val="ListBullet"/>
      </w:pPr>
      <w:r>
        <w:t>Tenir un agenda (date, heure, dose, signes ressentis, activité).</w:t>
      </w:r>
    </w:p>
    <w:p>
      <w:pPr>
        <w:pStyle w:val="ListBullet"/>
      </w:pPr>
      <w:r>
        <w:t>Reconnaître les signes d'alarme : dyspnée, dysphagie, voix nasonnée = crise myasthénique (urgences médicales, hospitalisation).</w:t>
      </w:r>
    </w:p>
    <w:p>
      <w:pPr>
        <w:pStyle w:val="ListBullet"/>
      </w:pPr>
      <w:r>
        <w:t>Reconnaître les signes de surdosage : myosis (pupilles très serrées), hypersialorrhée, crampes abdominales, diarrhée, fasciculations musculaires, bradycardie = crise cholinergique (arrêt transitoire et contact médecin).</w:t>
      </w:r>
    </w:p>
    <w:p>
      <w:pPr>
        <w:pStyle w:val="ListBullet"/>
      </w:pPr>
      <w:r>
        <w:t>Prévoir un brassard ou carte de poche mentionnant « patient myasthénique sous pyridostigmine » en cas d'urgence.</w:t>
      </w:r>
    </w:p>
    <w:p>
      <w:pPr>
        <w:pStyle w:val="ListBullet"/>
      </w:pPr>
      <w:r>
        <w:t>Éviter les efforts physiques intenses, la chaleur extrême, le stress et les infections (facteurs déclenchants d'exacerbation).</w:t>
      </w:r>
    </w:p>
    <w:p>
      <w:pPr>
        <w:pStyle w:val="ListBullet"/>
      </w:pPr>
      <w:r>
        <w:t>Signaler tout autre traitement en cours (notamment antibiotiques : aminoglycosides, fluoroquinolones, macrolides — CI ou surveillance).</w:t>
      </w:r>
    </w:p>
    <w:p>
      <w:r/>
      <w:r>
        <w:rPr>
          <w:b/>
        </w:rPr>
        <w:t>Notes, Règles d'Or &amp; Pièges au Comptoir :</w:t>
      </w:r>
      <w:r/>
    </w:p>
    <w:p>
      <w:pPr>
        <w:pStyle w:val="ListBullet"/>
      </w:pPr>
      <w:r>
        <w:t>Piège classique : Confondre crise myasthénique (faible dose — faiblesse respiratoire, dysphagie, VOIX NASALE — REQUÉRANT PLUS de pyridostigmine / néostigmine + IgIV) et crise cholinergique (surdosage — BRADYCARDIE, MYOSIS, FASCICULATIONS, DIARRHÉE — REQUÉRANT MOINS de pyridostigmine + atropine). Un surdosage par erreur peut précipiter une insuffisance respiratoire aiguë par paralysie dépolarisante.</w:t>
      </w:r>
    </w:p>
    <w:p>
      <w:pPr>
        <w:pStyle w:val="ListBullet"/>
      </w:pPr>
      <w:r>
        <w:t>Règle de prise : Stricte régularité horaire. Tenue d'agenda thérapeutique obligatoire. Adaptation par le neurologue seul.</w:t>
      </w:r>
    </w:p>
    <w:p>
      <w:pPr>
        <w:pStyle w:val="ListBullet"/>
      </w:pPr>
      <w:r>
        <w:t>Préparation et Conservation : MESTINON à température &lt; 25°C, à l'abri de l'humidité, dans son emballage d'origine. Durée de conservation 3-5 ans selon lot. Pas de chaîne du froid.</w:t>
      </w:r>
    </w:p>
    <w:p>
      <w:pPr>
        <w:pStyle w:val="ListBullet"/>
      </w:pPr>
      <w:r>
        <w:t>Piège du surdosage / Substitution :</w:t>
      </w:r>
    </w:p>
    <w:p>
      <w:pPr>
        <w:pStyle w:val="ListBullet"/>
      </w:pPr>
      <w:r>
        <w:t>Risque majeur d'auto-augmentation par le patient en cas de faiblesse perçue (lui apprendre à NE PAS augmenter seul — risque d'engagement dans un cercle vicieux d'aggravation paradoxale par surdosage cholinergique dépolarisant).</w:t>
      </w:r>
    </w:p>
    <w:p>
      <w:pPr>
        <w:pStyle w:val="ListBullet"/>
      </w:pPr>
      <w:r>
        <w:t>En cas de substitution MESTINON → générique (non disponible en Algérie mais surveillance si importation), surveillance clinique 2-4 semaines (variabilité de biodisponibilité interformulation jusqu'à 20 %).</w:t>
      </w:r>
    </w:p>
    <w:p>
      <w:pPr>
        <w:pStyle w:val="ListBullet"/>
      </w:pPr>
      <w:r>
        <w:t>Vérifier systématiquement à l'officine l'absence d'interaction avec antibiotiques nouveaux (aminosides, fluoroquinolones), anti-arythmiques, magnésium IV.</w:t>
      </w:r>
    </w:p>
    <w:p>
      <w:pPr>
        <w:pStyle w:val="ListBullet"/>
      </w:pPr>
      <w:r>
        <w:t>Information systématique de la carte d'urgence myasthénique.</w:t>
      </w:r>
    </w:p>
    <w:p>
      <w:pPr>
        <w:pStyle w:val="Heading3"/>
      </w:pPr>
      <w:r>
        <w:t>2. DCI : Néostigmine (Seule)</w:t>
      </w:r>
    </w:p>
    <w:p>
      <w:r/>
      <w:r>
        <w:rPr>
          <w:b/>
        </w:rPr>
        <w:t>Liste des Catégories :</w:t>
      </w:r>
      <w:r>
        <w:t xml:space="preserve"> Myasthénie — Anticholinestérasiques ; Inhibiteurs réversibles de l'acétylcholinestérase ; Amines quaternaires.</w:t>
      </w:r>
    </w:p>
    <w:p>
      <w:r>
        <w:t xml:space="preserve">La néostigmine se distingue de la pyridostigmine par une durée d'action plus courte (2-4 h versus 3-6 h), un délai d'action plus rapide (10-30 minutes en IM/IV, 30-60 minutes per os) et une puissance légèrement supérieure ( rapport 1:4 néostigmine:pyridostigmine en équivalent clinique). Sa forme injectable (néostigmine méthylsulfate 0,5 mg/mL) est utilisée en anesthésiologie pour le reversal du bloc neuromusculaire induit par les curares non dépolarisants (en association systématique avec l'atropine pour prévenir la bradycardie cholinergique), en réanimation neurologique pour le traitement de la crise myasthénique avérée, et en gastro-entérologie pour le traitement de l'iléus paralytique post-opératoire. La nomenclature algérienne classe cette spécialité en </w:t>
      </w:r>
      <w:r>
        <w:rPr>
          <w:b/>
        </w:rPr>
        <w:t>NON RENOUVELABLE</w:t>
      </w:r>
      <w:r>
        <w:t xml:space="preserve"> — ce qui signifie que les renouvellements d'ordonnance ne sont pas possibles en officine et que la délivrance ne se fait que sur prescription initiale hospitalière, mais la spécialité reste commercialisée et disponible.</w:t>
      </w:r>
    </w:p>
    <w:p>
      <w:r/>
      <w:r>
        <w:rPr>
          <w:b/>
        </w:rPr>
        <w:t>Médicaments disponibles en Algérie (Marques, Laboratoires, Formes et Dosages) :</w:t>
      </w:r>
      <w:r/>
    </w:p>
    <w:p>
      <w:pPr>
        <w:pStyle w:val="ListBullet"/>
      </w:pPr>
      <w:r/>
      <w:r>
        <w:rPr>
          <w:b/>
        </w:rPr>
        <w:t>NEOSTIGMINE METHYLSULFATE</w:t>
      </w:r>
      <w:r>
        <w:t xml:space="preserve"> (BIOLOGICI ITALIA)</w:t>
      </w:r>
    </w:p>
    <w:p>
      <w:pPr>
        <w:pStyle w:val="ListBullet"/>
      </w:pPr>
      <w:r>
        <w:t>Formes et Dosages : Solution injectable 0,5 mg/mL</w:t>
      </w:r>
    </w:p>
    <w:p>
      <w:pPr>
        <w:pStyle w:val="ListBullet"/>
      </w:pPr>
      <w:r>
        <w:t>Conditionnement : Boîte de 10 ampoules</w:t>
      </w:r>
    </w:p>
    <w:p>
      <w:pPr>
        <w:pStyle w:val="ListBullet"/>
      </w:pPr>
      <w:r>
        <w:t>Liste : Liste I</w:t>
      </w:r>
    </w:p>
    <w:p>
      <w:pPr>
        <w:pStyle w:val="ListBullet"/>
      </w:pPr>
      <w:r>
        <w:t xml:space="preserve">Statut : </w:t>
      </w:r>
      <w:r>
        <w:rPr>
          <w:b/>
        </w:rPr>
        <w:t>NON RENOUVELABLE</w:t>
      </w:r>
      <w:r/>
    </w:p>
    <w:p>
      <w:r>
        <w:t xml:space="preserve">La néostigmine commercialisée en Algérie est le </w:t>
      </w:r>
      <w:r>
        <w:rPr>
          <w:b/>
        </w:rPr>
        <w:t>méthylsulfate de néostigmine</w:t>
      </w:r>
      <w:r>
        <w:t xml:space="preserve"> (et non le bromure de néostigmine, qui est la forme orale). La spécialité est importée d'Italie par BIOLOGICI ITALIA. La forme orale (néostigmine bromure 15 mg comprimés, commercialisée sous le nom PROSTIGMIN en France et autres pays) n'est PAS disponible dans la nomenclature algérienne — la pyridostigmine (MESTINON) est utilisée par défaut pour le traitement oral de la myasthénie. La non-renouvelabilité implique qu'à chaque prescription hospitalière nouvelle, le patient doit revenir avec une nouvelle ordonnance — il n'y a pas de renouvellement possible en officine de ville. Cette mesure vise à limiter les mésusages (notamment en anesthésie) et à garantir la traçabilité hospitalière du produit.</w:t>
      </w:r>
    </w:p>
    <w:p>
      <w:r/>
      <w:r>
        <w:rPr>
          <w:b/>
        </w:rPr>
        <w:t>Sous-classe et Mécanisme d'action :</w:t>
      </w:r>
      <w:r/>
    </w:p>
    <w:p>
      <w:pPr>
        <w:pStyle w:val="ListBullet"/>
      </w:pPr>
      <w:r>
        <w:t>Sous-classe : Inhibiteur réversible de l'acétylcholinestérase, amine quaternaire, anticholinestérasique de la jonction neuromusculaire. Positionnement : traitement parentéral de la crise myasthénique en réanimation ; reversal du bloc neuromusculaire en anesthésie ; test diagnostique de la myasthénie ; traitement de l'iléus paralytique post-opératoire.</w:t>
      </w:r>
    </w:p>
    <w:p>
      <w:pPr>
        <w:pStyle w:val="ListBullet"/>
      </w:pPr>
      <w:r>
        <w:t>Mécanisme d'action : Identique à la pyridostigmine — inhibition compétitive et réversible de l'acétylcholinestérase (AChE), augmentant la concentration synaptique d'acétylcholine (ACh) à la jonction neuromusculaire et au niveau des récepteurs nicotiniques ganglionnaires et muscariniques. La néostigmine a une affinité légèrement supérieure à la pyridostigmine pour l'AChE (Ki ≈ 0,1-0,5 µM vs 0,5-1 µM) et une cinétique plus rapide. Son caractère d'amine quaternaire l'empêche de traverser la barrière hémato-encéphalique (pas d'effets centraux). Métabolisme hépatique partiel par les estérases plasmatiques et rénales (60-70 % éliminée sous forme inchangée dans les urines en 24 h).</w:t>
      </w:r>
    </w:p>
    <w:p>
      <w:r/>
      <w:r>
        <w:rPr>
          <w:b/>
        </w:rPr>
        <w:t>Profil Pharmacologique :</w:t>
      </w:r>
      <w:r/>
    </w:p>
    <w:p>
      <w:pPr>
        <w:pStyle w:val="ListBullet"/>
      </w:pPr>
      <w:r>
        <w:t>Indications :</w:t>
      </w:r>
    </w:p>
    <w:p>
      <w:pPr>
        <w:pStyle w:val="ListBullet"/>
      </w:pPr>
      <w:r/>
      <w:r>
        <w:rPr>
          <w:b/>
        </w:rPr>
        <w:t>Crise myasthénique</w:t>
      </w:r>
      <w:r>
        <w:t xml:space="preserve"> en réanimation neurologique : néostigmine IM/IV 0,5-1 mg répétés toutes les 30-60 minutes selon réponse clinique (force musculaire, capacité vitale), avec surveillance spirométrique continue. Association systématique avec atropine IV 0,5 mg pour prévenir la bradycardie et le bronchospasme cholinergiques.</w:t>
      </w:r>
    </w:p>
    <w:p>
      <w:pPr>
        <w:pStyle w:val="ListBullet"/>
      </w:pPr>
      <w:r/>
      <w:r>
        <w:rPr>
          <w:b/>
        </w:rPr>
        <w:t>Reversal du bloc neuromusculaire</w:t>
      </w:r>
      <w:r>
        <w:t xml:space="preserve"> induit par les curares non dépolarisants en anesthésie (pancuronium, vécuronium, rocuronium, cisatracurium, atracurium) : néostigmine IV 0,04-0,07 mg/kg (soit 2,5-5 mg adulte), en association avec atropine IV 0,01-0,02 mg/kg ou glycopyrrolate 0,005-0,01 mg/kg, pour antagoniser la bradycardie. L'association néostigmine + sugammadex (cyclodextrine encapsulant le rocuronium) est en cours de remplacement du sugammadex seul (Bridion, non disponible en Algérie) en raison de la meilleure tolérance du sugammadex.</w:t>
      </w:r>
    </w:p>
    <w:p>
      <w:pPr>
        <w:pStyle w:val="ListBullet"/>
      </w:pPr>
      <w:r/>
      <w:r>
        <w:rPr>
          <w:b/>
        </w:rPr>
        <w:t>Iléus paralytique post-opératoire</w:t>
      </w:r>
      <w:r>
        <w:t xml:space="preserve"> : néostigmine IV 0,5-2 mg en perfusion lente (sur 5-10 min), en association avec atropine, pour stimuler le péristaltisme intestinal.</w:t>
      </w:r>
    </w:p>
    <w:p>
      <w:pPr>
        <w:pStyle w:val="ListBullet"/>
      </w:pPr>
      <w:r/>
      <w:r>
        <w:rPr>
          <w:b/>
        </w:rPr>
        <w:t>Rétention urinaire post-opératoire</w:t>
      </w:r>
      <w:r>
        <w:t xml:space="preserve"> : néostigmine IM 0,5-1 mg + atropine.</w:t>
      </w:r>
    </w:p>
    <w:p>
      <w:pPr>
        <w:pStyle w:val="ListBullet"/>
      </w:pPr>
      <w:r/>
      <w:r>
        <w:rPr>
          <w:b/>
        </w:rPr>
        <w:t>Test diagnostique de la myasthénie</w:t>
      </w:r>
      <w:r>
        <w:t xml:space="preserve"> (alternative à l'édrophonium/Tensilon®, non disponible en Algérie) : néostigmine IM 1,5 mg + atropine 0,5 mg, évaluation clinique à 30 minutes (amélioration transitoire de la faiblesse = test positif en faveur d'une myasthénie). Ce test est désormais largement remplacé par les anticorps sériques anti-AChR et anti-MuSK, plus spécifiques.</w:t>
      </w:r>
    </w:p>
    <w:p>
      <w:pPr>
        <w:pStyle w:val="ListBullet"/>
      </w:pPr>
      <w:r/>
      <w:r>
        <w:rPr>
          <w:b/>
        </w:rPr>
        <w:t>Myasthénie congénitale</w:t>
      </w:r>
      <w:r>
        <w:t xml:space="preserve"> pédiatrique (syndromes génétiques du récepteur ACh, mutation DOK7, rapsyn, COLQ) — néostigmine orale si la pyridostigmine n'est pas disponible en sirop.</w:t>
      </w:r>
    </w:p>
    <w:p>
      <w:pPr>
        <w:pStyle w:val="ListBullet"/>
      </w:pPr>
      <w:r>
        <w:t>Contre-indications :</w:t>
      </w:r>
    </w:p>
    <w:p>
      <w:pPr>
        <w:pStyle w:val="ListBullet"/>
      </w:pPr>
      <w:r>
        <w:t>Asthma bronchique non contrôlé.</w:t>
      </w:r>
    </w:p>
    <w:p>
      <w:pPr>
        <w:pStyle w:val="ListBullet"/>
      </w:pPr>
      <w:r>
        <w:t>Occlusion intestinale ou urinaire mécanique (non paralytique).</w:t>
      </w:r>
    </w:p>
    <w:p>
      <w:pPr>
        <w:pStyle w:val="ListBullet"/>
      </w:pPr>
      <w:r>
        <w:t>Bradycardie sévère, bloc auriculo-ventriculaire de haut grade non appareillé.</w:t>
      </w:r>
    </w:p>
    <w:p>
      <w:pPr>
        <w:pStyle w:val="ListBullet"/>
      </w:pPr>
      <w:r>
        <w:t>Peritonite diffuse (risque de perforation sur péristaltisme accru).</w:t>
      </w:r>
    </w:p>
    <w:p>
      <w:pPr>
        <w:pStyle w:val="ListBullet"/>
      </w:pPr>
      <w:r>
        <w:t>Grossesse (prudence, voir ci-dessous).</w:t>
      </w:r>
    </w:p>
    <w:p>
      <w:pPr>
        <w:pStyle w:val="ListBullet"/>
      </w:pPr>
      <w:r>
        <w:t>Allergie à la néostigmine ou au sulfite (conservateur).</w:t>
      </w:r>
    </w:p>
    <w:p>
      <w:pPr>
        <w:pStyle w:val="ListBullet"/>
      </w:pPr>
      <w:r>
        <w:t>Effets Indésirables : identiques à la pyridostigmine, plus marqués en raison de la voie parentérale (pic rapide intense) :</w:t>
      </w:r>
    </w:p>
    <w:p>
      <w:pPr>
        <w:pStyle w:val="ListBullet"/>
      </w:pPr>
      <w:r/>
      <w:r>
        <w:rPr>
          <w:b/>
        </w:rPr>
        <w:t>Bradycardie sévère, bloc sino-auriculaire, arrêt sinusalgique</w:t>
      </w:r>
      <w:r>
        <w:t xml:space="preserve"> (jusqu'à 30 bpm — atropine systématique associée).</w:t>
      </w:r>
    </w:p>
    <w:p>
      <w:pPr>
        <w:pStyle w:val="ListBullet"/>
      </w:pPr>
      <w:r/>
      <w:r>
        <w:rPr>
          <w:b/>
        </w:rPr>
        <w:t>Bronchospasme, hypersécrétion bronchique</w:t>
      </w:r>
      <w:r>
        <w:t xml:space="preserve"> (CI asthme).</w:t>
      </w:r>
    </w:p>
    <w:p>
      <w:pPr>
        <w:pStyle w:val="ListBullet"/>
      </w:pPr>
      <w:r/>
      <w:r>
        <w:rPr>
          <w:b/>
        </w:rPr>
        <w:t>Hypersialorrhée, nausées, vomissements, crampes, diarrhée cholinergique</w:t>
      </w:r>
      <w:r>
        <w:t>.</w:t>
      </w:r>
    </w:p>
    <w:p>
      <w:pPr>
        <w:pStyle w:val="ListBullet"/>
      </w:pPr>
      <w:r/>
      <w:r>
        <w:rPr>
          <w:b/>
        </w:rPr>
        <w:t>Miosis, spasme d'accommodation, hypersecrétion lacrymale</w:t>
      </w:r>
      <w:r>
        <w:t>.</w:t>
      </w:r>
    </w:p>
    <w:p>
      <w:pPr>
        <w:pStyle w:val="ListBullet"/>
      </w:pPr>
      <w:r/>
      <w:r>
        <w:rPr>
          <w:b/>
        </w:rPr>
        <w:t>Fasciculations musculaires, crampes</w:t>
      </w:r>
      <w:r>
        <w:t xml:space="preserve"> (effets nicotiniques).</w:t>
      </w:r>
    </w:p>
    <w:p>
      <w:pPr>
        <w:pStyle w:val="ListBullet"/>
      </w:pPr>
      <w:r/>
      <w:r>
        <w:rPr>
          <w:b/>
        </w:rPr>
        <w:t>Hypotension, flush</w:t>
      </w:r>
      <w:r>
        <w:t>.</w:t>
      </w:r>
    </w:p>
    <w:p>
      <w:pPr>
        <w:pStyle w:val="ListBullet"/>
      </w:pPr>
      <w:r/>
      <w:r>
        <w:rPr>
          <w:b/>
        </w:rPr>
        <w:t>Crise cholinergique</w:t>
      </w:r>
      <w:r>
        <w:t xml:space="preserve"> en cas de surdosage — paralysie respiratoire dépolarisante.</w:t>
      </w:r>
    </w:p>
    <w:p>
      <w:pPr>
        <w:pStyle w:val="ListBullet"/>
      </w:pPr>
      <w:r/>
      <w:r>
        <w:rPr>
          <w:b/>
        </w:rPr>
        <w:t>Réactions allergiques</w:t>
      </w:r>
      <w:r>
        <w:t xml:space="preserve"> (rash, urticaire, choc anaphylactique exceptionnel).</w:t>
      </w:r>
    </w:p>
    <w:p>
      <w:r/>
      <w:r>
        <w:rPr>
          <w:b/>
        </w:rPr>
        <w:t>Prévention et Gestion des Effets Indésirables :</w:t>
      </w:r>
      <w:r/>
    </w:p>
    <w:p>
      <w:pPr>
        <w:pStyle w:val="ListBullet"/>
      </w:pPr>
      <w:r>
        <w:t>Mesures Préventives :</w:t>
      </w:r>
    </w:p>
    <w:p>
      <w:pPr>
        <w:pStyle w:val="ListBullet"/>
      </w:pPr>
      <w:r/>
      <w:r>
        <w:rPr>
          <w:b/>
        </w:rPr>
        <w:t>Association systématique avec atropine</w:t>
      </w:r>
      <w:r>
        <w:t xml:space="preserve"> IV 0,5 mg (1 ampoule) par mg de néostigmine administré en IV ou IM, pour prévenir la bradycardie, le bronchospasme et l'hypersécrétion (atropine antagonise les effets muscariniques sans lever le bloc nicotinique moteur bénéfique).</w:t>
      </w:r>
    </w:p>
    <w:p>
      <w:pPr>
        <w:pStyle w:val="ListBullet"/>
      </w:pPr>
      <w:r>
        <w:t>Surveillance ECG continue en réanimation et en anesthésie.</w:t>
      </w:r>
    </w:p>
    <w:p>
      <w:pPr>
        <w:pStyle w:val="ListBullet"/>
      </w:pPr>
      <w:r>
        <w:t>Surveillance spirométrique (CVF, débit expiratoire maximal) en cas de crise myasthénique.</w:t>
      </w:r>
    </w:p>
    <w:p>
      <w:pPr>
        <w:pStyle w:val="ListBullet"/>
      </w:pPr>
      <w:r>
        <w:t>Surveillance hémodynamique (TA, FC) pendant 30 minutes après administration IV.</w:t>
      </w:r>
    </w:p>
    <w:p>
      <w:pPr>
        <w:pStyle w:val="ListBullet"/>
      </w:pPr>
      <w:r>
        <w:t>Aspiration oropharyngée préventive en raison de l'hypersécrétion salivaire.</w:t>
      </w:r>
    </w:p>
    <w:p>
      <w:pPr>
        <w:pStyle w:val="ListBullet"/>
      </w:pPr>
      <w:r>
        <w:t>Vérification de la vacuité vésicale (sonde urinaire en décubitus).</w:t>
      </w:r>
    </w:p>
    <w:p>
      <w:pPr>
        <w:pStyle w:val="ListBullet"/>
      </w:pPr>
      <w:r>
        <w:t>Conduite à Tenir :</w:t>
      </w:r>
    </w:p>
    <w:p>
      <w:pPr>
        <w:pStyle w:val="ListBullet"/>
      </w:pPr>
      <w:r/>
      <w:r>
        <w:rPr>
          <w:b/>
        </w:rPr>
        <w:t>Bradycardie sévère (&lt; 40 bpm) ou trouble du rythme</w:t>
      </w:r>
      <w:r>
        <w:t xml:space="preserve"> : atropine IV 0,5-1 mg répétés jusqu'à 3 mg, massage cardiaque externe si arrêt.</w:t>
      </w:r>
    </w:p>
    <w:p>
      <w:pPr>
        <w:pStyle w:val="ListBullet"/>
      </w:pPr>
      <w:r/>
      <w:r>
        <w:rPr>
          <w:b/>
        </w:rPr>
        <w:t>Bronchospasme</w:t>
      </w:r>
      <w:r>
        <w:t xml:space="preserve"> : salbutamol nébulisé, oxygène, atropine IV.</w:t>
      </w:r>
    </w:p>
    <w:p>
      <w:pPr>
        <w:pStyle w:val="ListBullet"/>
      </w:pPr>
      <w:r/>
      <w:r>
        <w:rPr>
          <w:b/>
        </w:rPr>
        <w:t>Crise cholinergique (surdosage)</w:t>
      </w:r>
      <w:r>
        <w:t xml:space="preserve"> : arrêt immédiat de la néostigmine, atropine IV titrée, ventilation mécanique si paralysie respiratoire, surveillance ECG continue.</w:t>
      </w:r>
    </w:p>
    <w:p>
      <w:pPr>
        <w:pStyle w:val="ListBullet"/>
      </w:pPr>
      <w:r/>
      <w:r>
        <w:rPr>
          <w:b/>
        </w:rPr>
        <w:t>Hypersécrétion salivaire majeure</w:t>
      </w:r>
      <w:r>
        <w:t xml:space="preserve"> : aspiration, atropine.</w:t>
      </w:r>
    </w:p>
    <w:p>
      <w:r/>
      <w:r>
        <w:rPr>
          <w:b/>
        </w:rPr>
        <w:t>Interactions Importantes :</w:t>
      </w:r>
      <w:r/>
    </w:p>
    <w:p>
      <w:pPr>
        <w:pStyle w:val="ListBullet"/>
      </w:pPr>
      <w:r/>
      <w:r>
        <w:rPr>
          <w:b/>
        </w:rPr>
        <w:t>Néostigmine + atropine</w:t>
      </w:r>
      <w:r>
        <w:t xml:space="preserve"> : association systématique — l'atropine bloque les effets muscariniques indésirables (bradycardie, bronchospasme, sécrétions) tout en préservant les effets nicotiniques moteurs bénéfiques (reversal du bloc neuromusculaire, amélioration de la force musculaire dans la crise myasthénique).</w:t>
      </w:r>
    </w:p>
    <w:p>
      <w:pPr>
        <w:pStyle w:val="ListBullet"/>
      </w:pPr>
      <w:r/>
      <w:r>
        <w:rPr>
          <w:b/>
        </w:rPr>
        <w:t>Néostigmine + autres cholinestérasiques</w:t>
      </w:r>
      <w:r>
        <w:t xml:space="preserve"> (pyridostigmine, édrophonium, donépézil, rivastigmine) : addition des effets — risque de crise cholinergique.</w:t>
      </w:r>
    </w:p>
    <w:p>
      <w:pPr>
        <w:pStyle w:val="ListBullet"/>
      </w:pPr>
      <w:r/>
      <w:r>
        <w:rPr>
          <w:b/>
        </w:rPr>
        <w:t>Néostigmine + anticholinergiques</w:t>
      </w:r>
      <w:r>
        <w:t xml:space="preserve"> (atropine exceptée en association délibérée, scopolamine, ipratropium, oxybutynine) : antagonisme — baisse d'efficacité.</w:t>
      </w:r>
    </w:p>
    <w:p>
      <w:pPr>
        <w:pStyle w:val="ListBullet"/>
      </w:pPr>
      <w:r/>
      <w:r>
        <w:rPr>
          <w:b/>
        </w:rPr>
        <w:t>Néostigmine + curares non dépolarisants</w:t>
      </w:r>
      <w:r>
        <w:t xml:space="preserve"> : antagonisme — levée du bloc neuromusculaire (effet recherché en anesthésie).</w:t>
      </w:r>
    </w:p>
    <w:p>
      <w:pPr>
        <w:pStyle w:val="ListBullet"/>
      </w:pPr>
      <w:r/>
      <w:r>
        <w:rPr>
          <w:b/>
        </w:rPr>
        <w:t>Néostigmine + succinylcholine</w:t>
      </w:r>
      <w:r>
        <w:t xml:space="preserve"> : potentialisation du bloc dépolarisant — prolongation de l'apnée.</w:t>
      </w:r>
    </w:p>
    <w:p>
      <w:pPr>
        <w:pStyle w:val="ListBullet"/>
      </w:pPr>
      <w:r/>
      <w:r>
        <w:rPr>
          <w:b/>
        </w:rPr>
        <w:t>Néostigmine + aminoglycosides, fluoroquinolones, polymyxine, colistine, magnésium IV</w:t>
      </w:r>
      <w:r>
        <w:t xml:space="preserve"> : potentialisation de la faiblesse musculaire, antagonisme pharmacodynamique.</w:t>
      </w:r>
    </w:p>
    <w:p>
      <w:pPr>
        <w:pStyle w:val="ListBullet"/>
      </w:pPr>
      <w:r/>
      <w:r>
        <w:rPr>
          <w:b/>
        </w:rPr>
        <w:t>Néostigmine + bêtabloquants</w:t>
      </w:r>
      <w:r>
        <w:t xml:space="preserve"> : potentialisation bradycardisante — surveillance ECG stricte.</w:t>
      </w:r>
    </w:p>
    <w:p>
      <w:pPr>
        <w:pStyle w:val="ListBullet"/>
      </w:pPr>
      <w:r/>
      <w:r>
        <w:rPr>
          <w:b/>
        </w:rPr>
        <w:t>Néostigmine + corticoïdes</w:t>
      </w:r>
      <w:r>
        <w:t xml:space="preserve"> : association bénéfique dans la myasthénie (immunosuppression), mais risque d'aggravation initiale transitoire.</w:t>
      </w:r>
    </w:p>
    <w:p>
      <w:pPr>
        <w:pStyle w:val="ListBullet"/>
      </w:pPr>
      <w:r/>
      <w:r>
        <w:rPr>
          <w:b/>
        </w:rPr>
        <w:t>Néostigmine + digoxine</w:t>
      </w:r>
      <w:r>
        <w:t xml:space="preserve"> : baisse de la digoxinémie par diminution de l'absorption (interaction mineure).</w:t>
      </w:r>
    </w:p>
    <w:p>
      <w:r/>
      <w:r>
        <w:rPr>
          <w:b/>
        </w:rPr>
        <w:t>Grossesse et Allaitement :</w:t>
      </w:r>
      <w:r/>
    </w:p>
    <w:p>
      <w:pPr>
        <w:pStyle w:val="ListBullet"/>
      </w:pPr>
      <w:r>
        <w:t xml:space="preserve">Grossesse : Néostigmine </w:t>
      </w:r>
      <w:r>
        <w:rPr>
          <w:b/>
        </w:rPr>
        <w:t>compatible</w:t>
      </w:r>
      <w:r>
        <w:t xml:space="preserve"> selon CRAT (catégorie C FDA). Utilisation rare chez la femme enceinte (anesthésie césarienne chez patiente myasthénique, traitement de la rétention urinaire post-césarienne). Prudence en raison du risque de contraction utérine (effet muscarinique) — préférer la pyridostigmine en cas de traitement prolongé. Le sulfate de magnésium (prééclampsie) est à éviter (antagonisme).</w:t>
      </w:r>
    </w:p>
    <w:p>
      <w:pPr>
        <w:pStyle w:val="ListBullet"/>
      </w:pPr>
      <w:r>
        <w:t xml:space="preserve">Allaitement : Néostigmine </w:t>
      </w:r>
      <w:r>
        <w:rPr>
          <w:b/>
        </w:rPr>
        <w:t>compatible</w:t>
      </w:r>
      <w:r>
        <w:t xml:space="preserve"> selon CRAT et AAP (faible passage lacté, biodisponibilité orale faible chez le nourrisson). Allaitement autorisé en surveillant le nouveau-né (signes cholinergiques).</w:t>
      </w:r>
    </w:p>
    <w:p>
      <w:pPr>
        <w:pStyle w:val="ListBullet"/>
      </w:pPr>
      <w:r>
        <w:t>Précisions : En cas de césarienne chez patiente myasthénique, préférer anesthésie locorégionale (péridurale) ; si anesthésie générale nécessaire, reversal soigneux par néostigmine + atropine en fin d'intervention. Surveillance néonatale 48-72 h (myasthénie néonatale transitoire par passage transplacentaire des IgG anti-AChR maternels).</w:t>
      </w:r>
    </w:p>
    <w:p>
      <w:r/>
      <w:r>
        <w:rPr>
          <w:b/>
        </w:rPr>
        <w:t>Posologie et Mode d'administration (Standard) :</w:t>
      </w:r>
      <w:r/>
    </w:p>
    <w:p>
      <w:pPr>
        <w:pStyle w:val="ListBullet"/>
      </w:pPr>
      <w:r>
        <w:t>Adulte (IV) : 0,5-2,5 mg par injection, à répéter toutes les 30-60 minutes selon réponse clinique (reversal anesthésie : 0,04-0,07 mg/kg = 2,5-5 mg ; crise myasthénique : 0,5-1 mg répétés ; iléus paralytique : 0,5-2 mg en perfusion lente sur 5-10 min). Dose maximale 5 mg/jour. Association systématique avec atropine IV 0,5 mg par mg de néostigmine.</w:t>
      </w:r>
    </w:p>
    <w:p>
      <w:pPr>
        <w:pStyle w:val="ListBullet"/>
      </w:pPr>
      <w:r>
        <w:t>Adulte (IM) : 0,5-1 mg, à répéter toutes les 1-3 heures selon réponse (test diagnostique myasthénie : 1,5 mg IM + atropine 0,5 mg).</w:t>
      </w:r>
    </w:p>
    <w:p>
      <w:pPr>
        <w:pStyle w:val="ListBullet"/>
      </w:pPr>
      <w:r>
        <w:t>Adulte (SC) : 0,5-1 mg, équivalent à l'IM.</w:t>
      </w:r>
    </w:p>
    <w:p>
      <w:pPr>
        <w:pStyle w:val="ListBullet"/>
      </w:pPr>
      <w:r>
        <w:t>Sujet âgé : Réduction de 25-50 % de la dose initiale, surveillance ECG continue (bradycardie), titration prudente.</w:t>
      </w:r>
    </w:p>
    <w:p>
      <w:pPr>
        <w:pStyle w:val="ListBullet"/>
      </w:pPr>
      <w:r>
        <w:t>Insuffisance rénale : Adapter la dose — ClCr 10-50 mL/min : 50 % de la dose standard ; ClCr &lt; 10 mL/min : 25 % de la dose.</w:t>
      </w:r>
    </w:p>
    <w:p>
      <w:pPr>
        <w:pStyle w:val="ListBullet"/>
      </w:pPr>
      <w:r>
        <w:t>Enfant (IV) : 0,02-0,04 mg/kg par injection, max 1 mg par dose, à répéter selon réponse (avec atropine 0,01 mg/kg).</w:t>
      </w:r>
    </w:p>
    <w:p>
      <w:pPr>
        <w:pStyle w:val="ListBullet"/>
      </w:pPr>
      <w:r>
        <w:t>Durée : Usage ponctuel (anesthésie, crise myasthénique aiguë, iléus post-op) — pas de traitement au long cours par voie parentérale (préférer pyridostigmine orale).</w:t>
      </w:r>
    </w:p>
    <w:p>
      <w:pPr>
        <w:pStyle w:val="ListBullet"/>
      </w:pPr>
      <w:r>
        <w:t>Moment de la prise : Horaire selon indication (en fin d'anesthésie pour reversal ; à la demande en réanimation).</w:t>
      </w:r>
    </w:p>
    <w:p>
      <w:r/>
      <w:r>
        <w:rPr>
          <w:b/>
        </w:rPr>
        <w:t>Arbitrage et Bénéfices des Formes Galéniques :</w:t>
      </w:r>
      <w:r/>
    </w:p>
    <w:p>
      <w:pPr>
        <w:pStyle w:val="ListBullet"/>
      </w:pPr>
      <w:r>
        <w:t>Solution injectable 0,5 mg/mL (IM/IV/SC) : Forme unique disponible en Algérie. Avantages : rapidité d'action (5-10 min IV, 20-30 min IM), titration possible, association aisée avec atropine. Inconvénients : nécessité d'un milieu médicalisé, surveillance continue, effets cholinergiques intenses, durée d'action courte (2-4 h).</w:t>
      </w:r>
    </w:p>
    <w:p>
      <w:pPr>
        <w:pStyle w:val="ListBullet"/>
      </w:pPr>
      <w:r>
        <w:t>Forme orale (néostigmine bromure 15 mg comprimé, PROSTIGMIN — non disponible en Algérie) : Equivalent à 60 mg de pyridostigmine orale, durée 3-4 h. Avantage pour pédiatrie (myasthénie congénitale) si sirop pyridostigmine indisponible.</w:t>
      </w:r>
    </w:p>
    <w:p>
      <w:pPr>
        <w:pStyle w:val="ListBullet"/>
      </w:pPr>
      <w:r>
        <w:t>Forme vétérinaire : à ne pas confondre (le PROSTIGMIN vétérinaire existe pour chevaux et chiens).</w:t>
      </w:r>
    </w:p>
    <w:p>
      <w:r/>
      <w:r>
        <w:rPr>
          <w:b/>
        </w:rPr>
        <w:t>Instructions et Conseils au Patient :</w:t>
      </w:r>
      <w:r/>
    </w:p>
    <w:p>
      <w:pPr>
        <w:pStyle w:val="ListBullet"/>
      </w:pPr>
      <w:r>
        <w:t>Communication au comptoir : « Ce médicament est utilisé en milieu hospitalier pour les urgences myasthéniques ou en anesthésie. Il n'est pas délivré en renouvellement : chaque prescription hospitalière doit être originale. Il s'administre uniquement par voie injectable par un médecin ou une infirmière. Une surveillance cardiaque est obligatoire pendant et après l'injection. »</w:t>
      </w:r>
    </w:p>
    <w:p>
      <w:pPr>
        <w:pStyle w:val="ListBullet"/>
      </w:pPr>
      <w:r>
        <w:t>Mode d'utilisation pratique :</w:t>
      </w:r>
    </w:p>
    <w:p>
      <w:pPr>
        <w:pStyle w:val="ListBullet"/>
      </w:pPr>
      <w:r>
        <w:t>Hospitalisation obligatoire pour administration IV (réanimation ou bloc opératoire).</w:t>
      </w:r>
    </w:p>
    <w:p>
      <w:pPr>
        <w:pStyle w:val="ListBullet"/>
      </w:pPr>
      <w:r>
        <w:t>Avis du médecin anesthésiste ou réanimateur systématique avant toute anesthésie programmée.</w:t>
      </w:r>
    </w:p>
    <w:p>
      <w:pPr>
        <w:pStyle w:val="ListBullet"/>
      </w:pPr>
      <w:r>
        <w:t>Pas d'auto-administration (à l'inverse de la pyridostigmine orale).</w:t>
      </w:r>
    </w:p>
    <w:p>
      <w:pPr>
        <w:pStyle w:val="ListBullet"/>
      </w:pPr>
      <w:r>
        <w:t>Information du patient sur l'association à l'atropine (prévention bradycardie).</w:t>
      </w:r>
    </w:p>
    <w:p>
      <w:pPr>
        <w:pStyle w:val="ListBullet"/>
      </w:pPr>
      <w:r>
        <w:t>Surveillance post-injection 30 min (FC, TA, respiration).</w:t>
      </w:r>
    </w:p>
    <w:p>
      <w:pPr>
        <w:pStyle w:val="ListBullet"/>
      </w:pPr>
      <w:r>
        <w:t>En cas de sortie d'hôpital après administration, surveillance à domicile par l'entourage (signes cholinergiques : myosis, diarrhée, crampes, fasciculations).</w:t>
      </w:r>
    </w:p>
    <w:p>
      <w:r/>
      <w:r>
        <w:rPr>
          <w:b/>
        </w:rPr>
        <w:t>Notes, Règles d'Or &amp; Pièges au Comptoir :</w:t>
      </w:r>
      <w:r/>
    </w:p>
    <w:p>
      <w:pPr>
        <w:pStyle w:val="ListBullet"/>
      </w:pPr>
      <w:r>
        <w:t>Piège classique : Délivrance d'une ordonnance de néostigmine sans vérification de son origine hospitalière — la non-renouvelabilité implique qu'à chaque fois, l'ordonnance doit être nouvelle, datée, signée, mentionnant clairement le contexte (anesthésie programmée, crise myasthénique, iléus post-op). Refus de délivrance en cas d'ordonnance ancienne ou non conforme.</w:t>
      </w:r>
    </w:p>
    <w:p>
      <w:pPr>
        <w:pStyle w:val="ListBullet"/>
      </w:pPr>
      <w:r>
        <w:t>Règle de prise : Voie injectable stricte — jamais en auto-administration. Toujours avec surveillance ECG et atropine associée.</w:t>
      </w:r>
    </w:p>
    <w:p>
      <w:pPr>
        <w:pStyle w:val="ListBullet"/>
      </w:pPr>
      <w:r>
        <w:t>Préparation et Conservation : Ampoules à température &lt; 25°C, à l'abri de la lumière. Pas de chaîne du froid. Conservation 3-5 ans selon lot.</w:t>
      </w:r>
    </w:p>
    <w:p>
      <w:pPr>
        <w:pStyle w:val="ListBullet"/>
      </w:pPr>
      <w:r>
        <w:t>Piège du surdosage / Substitution :</w:t>
      </w:r>
    </w:p>
    <w:p>
      <w:pPr>
        <w:pStyle w:val="ListBullet"/>
      </w:pPr>
      <w:r>
        <w:t>Risque de bradycardie sévère non anticipée (à 30-40 bpm) si l'atropine n'est pas associée systématiquement — surveillance ECG continue.</w:t>
      </w:r>
    </w:p>
    <w:p>
      <w:pPr>
        <w:pStyle w:val="ListBullet"/>
      </w:pPr>
      <w:r>
        <w:t>Confusion possible entre néostigmine et pyridostigmine (1 mg néostigmine IV ≈ 60 mg pyridostigmine orale — erreur de dose majeure si confusion).</w:t>
      </w:r>
    </w:p>
    <w:p>
      <w:pPr>
        <w:pStyle w:val="ListBullet"/>
      </w:pPr>
      <w:r>
        <w:t>Risque de surdosage par cumul néostigmine IV + pyridostigmine orale continue chez le patient myasthénique hospitalisé — coordination avec le neurologue pour adaptation de la posologie orale pendant la crise.</w:t>
      </w:r>
    </w:p>
    <w:p>
      <w:pPr>
        <w:pStyle w:val="ListBullet"/>
      </w:pPr>
      <w:r>
        <w:t>Vérification systématique de l'absence d'interaction avec aminoglycosides, fluoroquinolones, magnésium (cumul pharmacodynamique grave).</w:t>
      </w:r>
    </w:p>
    <w:p>
      <w:pPr>
        <w:pStyle w:val="ListBullet"/>
      </w:pPr>
      <w:r>
        <w:t>Information de l'anesthésiste du statut myasthénique du patient pour choix du protocole anesthésique.</w:t>
      </w:r>
    </w:p>
    <w:p>
      <w:pPr>
        <w:pStyle w:val="Heading2"/>
      </w:pPr>
      <w:r>
        <w:t>Sous-classe 2 — Amyotrophie Spinale : Antisens ARN</w:t>
      </w:r>
    </w:p>
    <w:p>
      <w:pPr>
        <w:pStyle w:val="Heading3"/>
      </w:pPr>
      <w:r>
        <w:t>Introduction de la sous-classe</w:t>
      </w:r>
    </w:p>
    <w:p>
      <w:r>
        <w:t xml:space="preserve">L'amyotrophie spinale (SMA, spinal muscular atrophy) est une maladie neurodégénérative héréditaire récessive autosomique causée par des mutations du gène </w:t>
      </w:r>
      <w:r>
        <w:rPr>
          <w:i/>
        </w:rPr>
        <w:t>SMN1</w:t>
      </w:r>
      <w:r>
        <w:t xml:space="preserve"> (Survival Motor Neuron 1) situé sur le chromosome 5q13. La délétion homozygote ou les mutations composites de </w:t>
      </w:r>
      <w:r>
        <w:rPr>
          <w:i/>
        </w:rPr>
        <w:t>SMN1</w:t>
      </w:r>
      <w:r>
        <w:t xml:space="preserve"> sont responsables d'une dégénérescence des motoneurones α de la corne antérieure de la moelle épinière, conduisant à une atrophie musculaire progressive, une hypotonie, une paralysie et (sans traitement) au décès précoce — avant l'âge de 2 ans dans la forme la plus sévère (type I, maladie de Werdnig-Hoffmann, incidence 1/10 000 naissances). L'homme possède un gène parologue, </w:t>
      </w:r>
      <w:r>
        <w:rPr>
          <w:i/>
        </w:rPr>
        <w:t>SMN2</w:t>
      </w:r>
      <w:r>
        <w:t xml:space="preserve">, présent en 2-4 copies chez la plupart des individus et différant de </w:t>
      </w:r>
      <w:r>
        <w:rPr>
          <w:i/>
        </w:rPr>
        <w:t>SMN1</w:t>
      </w:r>
      <w:r>
        <w:t xml:space="preserve"> par une substitution C→T en position 6 du codon 7 (exon 7). Cette substitution silencieuse active un motif ESS (Exonic Splicing Silencer) et désactive un motif ESE (Exonic Splicing Enhancer), conduisant à l'exclusion de l'exon 7 dans 80-90 % des transcrits SMN2 : la protéine SMNΔ7 tronquée est instable et dégradée rapidement par le protéasome. Seuls 10-20 % des transcrits SMN2 produisent une protéine SMN complète (full-length) fonctionnelle, suffisante pour la survie des motoneurones chez les individus sains porteurs de mutations SMN1 mais insuffisante chez les patients SMA qui dépendent entièrement de SMN2.</w:t>
      </w:r>
    </w:p>
    <w:p>
      <w:r>
        <w:t xml:space="preserve">Cette compréhension moléculaire a permis le développement de stratégies thérapeutiques ciblant l'épissage du pré-ARNm SMN2 pour restaurer la production de protéine SMN complète. La première stratégie mise en œuvre avec succès a été celle des oligonucléotides antisens (ASO, antisense oligonucleotides) modifiant l'épissage — représentée par le </w:t>
      </w:r>
      <w:r>
        <w:rPr>
          <w:b/>
        </w:rPr>
        <w:t>nusinersen</w:t>
      </w:r>
      <w:r>
        <w:t xml:space="preserve"> (SPINRAZA, Biogen/Ionis Pharmaceuticals, AMM FDA décembre 2016, AMM européenne mai 2017). Le nusinersen est un oligonucléotide antisens de 18 nucléotides, modifié chimiquement (2'-O-méthoxy-éthyl — 2'-MOE — et lien phosphorothioate pour stabiliser contre les nucléases), qui se lie par complémentarité de séquence à un motif spécifique de l'intron 7 du pré-ARNm SMN2 appelé </w:t>
      </w:r>
      <w:r>
        <w:rPr>
          <w:b/>
        </w:rPr>
        <w:t>ISS-N1</w:t>
      </w:r>
      <w:r>
        <w:t xml:space="preserve"> (Intronic Splicing Silencer N1, positions 10-27 de l'intron 7). La liaison du nusinersen à ISS-N1 masque ce signal de silencing, permettant l'inclusion de l'exon 7 dans 50-70 % des transcrits SMN2 — soit une multiplication par 3-4 de la production de protéine SMN complète. L'effet thérapeutique a été démontré dans les essais pivot ENDEAR (type I, n=121,Publication NEJM 2017 — 41 % des enfants sous nusinersen vs 0 % sous placebo ont atteint le moteur-riadissement, baisse mortalité de 50 %) et CHERISH (type II, n=126, NEJM 2017 — amélioration score HFMSE de 4 points vs déclin de -1,9 points sous placebo).</w:t>
      </w:r>
    </w:p>
    <w:p>
      <w:r>
        <w:t xml:space="preserve">L'administration du nusinersen est </w:t>
      </w:r>
      <w:r>
        <w:rPr>
          <w:b/>
        </w:rPr>
        <w:t>intrathécale lombaire</w:t>
      </w:r>
      <w:r>
        <w:t xml:space="preserve"> (bolus de 12 mg/5 mL en 1-3 minutes, avec rachianesthésie ou sédation légère chez l'enfant), car la molécule est trop grande (PM 7 100 Da) et trop hydrophile pour traverser la barrière hémato-encéphalique par voie systémique. Le schéma comprend 4 doses de charge à J0, J14, J28, J63 puis une dose d'entretien tous les 4 mois à vie — soit 3 injections par an en moyenne en entretien. Les indications AMM européennes couvrent les patients pédiatriques et adultes présentant une SMA confirmée génétiquement (délétion homozygote SMN1 ou mutation composite), quels que soient le type clinique (I, II, III, IV) et le nombre de copies SMN2 — sans restriction d'âge (AMM élargie 2017). Les principales limites sont l'invasivité (injections intrathécales à vie), le coût (≈ 750 000 USD pour la première année, 350 000 USD/an ensuite — un des médicaments les plus chers au monde), et la nécessité d'un centre spécialisé pour les injections (scoliose sévère chez type II rendant la rachicentèse difficile — recours à la fluoroscopie).</w:t>
      </w:r>
    </w:p>
    <w:p>
      <w:r>
        <w:t xml:space="preserve">L'oligonucléotide antisens est </w:t>
      </w:r>
      <w:r>
        <w:rPr>
          <w:b/>
        </w:rPr>
        <w:t>apparenté</w:t>
      </w:r>
      <w:r>
        <w:t xml:space="preserve"> mais distinct du </w:t>
      </w:r>
      <w:r>
        <w:rPr>
          <w:b/>
        </w:rPr>
        <w:t>risdiplam</w:t>
      </w:r>
      <w:r>
        <w:t xml:space="preserve"> (modulateur de l'épissage oral — voir sous-classe 3 ci-dessous), de l'</w:t>
      </w:r>
      <w:r>
        <w:rPr>
          <w:b/>
        </w:rPr>
        <w:t>onasemnogène abeparvovec</w:t>
      </w:r>
      <w:r>
        <w:t xml:space="preserve"> (thérapie génique par virus adéno-associé AAV9, AMM européenne 2020, ZOLGENSMA Novartis — non disponible dans la nomenclature algérienne), et de la </w:t>
      </w:r>
      <w:r>
        <w:rPr>
          <w:b/>
        </w:rPr>
        <w:t>branaplam</w:t>
      </w:r>
      <w:r>
        <w:t xml:space="preserve"> (en développement clinique). La diversification de l'arsenal thérapeutique de la SMA est l'un des succès les plus marquants de la médecine des maladies rares de la décennie 2010-2020.</w:t>
      </w:r>
    </w:p>
    <w:p>
      <w:pPr>
        <w:pStyle w:val="Heading3"/>
      </w:pPr>
      <w:r>
        <w:t>3. DCI : Nusinersen (Seule)</w:t>
      </w:r>
    </w:p>
    <w:p>
      <w:r/>
      <w:r>
        <w:rPr>
          <w:b/>
        </w:rPr>
        <w:t>Liste des Catégories :</w:t>
      </w:r>
      <w:r>
        <w:t xml:space="preserve"> Amyotrophie Spinale — Antisens ARN ; Oligonucléotide antisens modificateur de l'épissage SMN2 ; Médicament orphelin.</w:t>
      </w:r>
    </w:p>
    <w:p>
      <w:r>
        <w:t>Le nusinersen (SPINRAZA, Biogen) est le premier traitement modifiant l'histoire naturelle de l'amyotrophie spinale (SMA), ayant obtenu l'AMM européenne en mai 2017. C'est un oligonucléotide antisens (ASO) de 18 nucléotides, modifié chimiquement (2'-O-méthoxy-éthyl, 2'-MOE, et lien phosphorothioate), administré exclusivement par injection intrathécale lombaire en bolus de 12 mg/5 mL. La molécule ne traverse pas la barrière hémato-encéphalique par voie systémique en raison de sa taille (PM ≈ 7,1 kDa) et de son hydrophilie ; l'injection intrathécale permet son distribution dans le liquide céphalo-rachidien (LCR) et son accès aux motoneurones de la corne antérieure de la moelle épinière. La demi-vie dans le LCR est de 135-177 jours, justifiant le schéma d'entretien tous les 4 mois.</w:t>
      </w:r>
    </w:p>
    <w:p>
      <w:r/>
      <w:r>
        <w:rPr>
          <w:b/>
        </w:rPr>
        <w:t>Médicaments disponibles en Algérie (Marques, Laboratoires, Formes et Dosages) :</w:t>
      </w:r>
      <w:r/>
    </w:p>
    <w:p>
      <w:pPr>
        <w:pStyle w:val="ListBullet"/>
      </w:pPr>
      <w:r/>
      <w:r>
        <w:rPr>
          <w:b/>
        </w:rPr>
        <w:t>SPINRAZA</w:t>
      </w:r>
      <w:r>
        <w:t xml:space="preserve"> (BIOGEN NETHERLANDS B.V)</w:t>
      </w:r>
    </w:p>
    <w:p>
      <w:pPr>
        <w:pStyle w:val="ListBullet"/>
      </w:pPr>
      <w:r>
        <w:t>Formes et Dosages : Solution pour injection intrathécale 12 mg/5 mL</w:t>
      </w:r>
    </w:p>
    <w:p>
      <w:pPr>
        <w:pStyle w:val="ListBullet"/>
      </w:pPr>
      <w:r>
        <w:t>Conditionnement : Flacon de 5 mL (un flacon par injection)</w:t>
      </w:r>
    </w:p>
    <w:p>
      <w:pPr>
        <w:pStyle w:val="ListBullet"/>
      </w:pPr>
      <w:r>
        <w:t>Liste : Liste I</w:t>
      </w:r>
    </w:p>
    <w:p>
      <w:pPr>
        <w:pStyle w:val="ListBullet"/>
      </w:pPr>
      <w:r>
        <w:t xml:space="preserve">Statut : </w:t>
      </w:r>
      <w:r>
        <w:rPr>
          <w:b/>
        </w:rPr>
        <w:t>ACTIF</w:t>
      </w:r>
      <w:r/>
    </w:p>
    <w:p>
      <w:r>
        <w:t>Le SPINRAZA est l'unique spécialité de nusinersen commercialisée en Algérie, importée des Pays-Bas (Biogen Netherlands B.V., filiale européenne du groupe Biogen Inc., Cambridge, Massachusetts). La spécialité est disponible en flacon de 5 mL contenant 12 mg de nusinersen, à conserver entre +2°C et +8°C (chaîne du froid obligatoire, ne pas congeler). Chaque flacon est à usage unique — le contenu entier (12 mg/5 mL) est administré en une seule injection intrathécale lombaire. La spécialité est classée Liste I (sur ordonnance), et son administration est strictement hospitalière (centre de référence neuromusculaire, service de neurologie pédiatrique ou adulte). Le coût du traitement est extrêmement élevé (≈ 750 000 USD pour la première année, 350 000 USD/an ensuite), ce qui pose le problème de l'accessibilité — le plus souvent prise en charge par un dispositif spécifique de la sécurité sociale algérienne au titre des maladies rares ou des traitements d'exception.</w:t>
      </w:r>
    </w:p>
    <w:p>
      <w:r/>
      <w:r>
        <w:rPr>
          <w:b/>
        </w:rPr>
        <w:t>Sous-classe et Mécanisme d'action :</w:t>
      </w:r>
      <w:r/>
    </w:p>
    <w:p>
      <w:pPr>
        <w:pStyle w:val="ListBullet"/>
      </w:pPr>
      <w:r>
        <w:t>Sous-classe : Oligonucléotide antisens (ASO, antisense oligonucleotide) modifiant l'épissage du pré-ARNm SMN2. Positionnement : traitement de fond de l'amyotrophie spinale 5q (tous types I-IV, tous âges, AMM européenne 2017) ; traitement de première intention chez les patients SMA symptomatiques non prétraités par thérapie génique ; alternative au risdiplam oral en cas de résistance, intolérance ou chez les patients avec troubles de déglutition sévères nécessitant une action centrale prédominante.</w:t>
      </w:r>
    </w:p>
    <w:p>
      <w:pPr>
        <w:pStyle w:val="ListBullet"/>
      </w:pPr>
      <w:r>
        <w:t xml:space="preserve">Mécanisme d'action : Le nusinersen est un oligonucléotide antisens de 18 nucléotides (séquence 5'-TCACTTTCATTTTGAACT-3'), modifié chimiquement par (1) substitutions 2'-O-méthoxy-éthyl (2'-MOE) sur le ribose de chaque nucléotide, qui augmentent l'affinité pour l'ARN cible et la résistance aux nucléases ; et (2) remplacement d'un atome d'oxygène par un atome de soufre dans le lien phosphodiester (phosphorothioate), qui protège contre l'exonucléases et permet la pénétration cellulaire sans vecteur de transfection. Le nusinersen se lie par complémentarité de Watson-Crick à un motif spécifique de l'intron 7 du pré-ARNm SMN2 appelé </w:t>
      </w:r>
      <w:r>
        <w:rPr>
          <w:b/>
        </w:rPr>
        <w:t>ISS-N1</w:t>
      </w:r>
      <w:r>
        <w:t xml:space="preserve"> (Intronic Splicing Silencer N1, positions 10-27 de l'intron 7, séquence consensus CUAACUUUUU). Ce motif est reconnu par le facteur d'épissage hnRNP-A1/A2 qui, en se fixant à ISS-N1, recrute le spliceosome pour exclure l'exon 7 du pré-ARNm SMN2 (expliquant la production majoritaire de transcrits SMNΔ7 courts, instables et non fonctionnels). En masquant ISS-N1 par hybridation, le nusinersen empêche la fixation de hnRNP-A1 et permet l'inclusion de l'exon 7 dans le transcrit mature — aboutissant à une augmentation de 50-70 % de la production de protéine SMN complète (full-length) par les motoneurones. La protéine SMN complète est ensuite incorporée dans le complexe SMN (avec Gemins 2-8 et UNRIP), qui joue un rôle essentiel dans l'assemblage des snRNP U1, U2, U4, U5, U11, U12 — eux-mêmes composants du spliceosome. La restauration de la fonction SMN permet la survie et le maintien des motoneurones α de la corne antérieure médullaire, d'où la stabilisation voire l'amélioration de la force musculaire chez les patients SMA traités. Le nusinersen ne corrige pas la mutation *SMN1* sous-jacente (la cause génétique de la maladie), mais restaure la production de protéine SMN à partir du gène *SMN2* parologne — un mécanisme d'épissage thérapeutique innovant.</w:t>
      </w:r>
    </w:p>
    <w:p>
      <w:pPr>
        <w:pStyle w:val="ListBullet"/>
      </w:pPr>
      <w:r>
        <w:t>Distribution pharmacocinétique : Après injection intrathécale lombaire, le nusinersen diffuse dans le LCR (pic à 1-7 heures post-injection), puis pénètre dans le parenchyme médullaire et cérébral, principalement dans les neurones (dont motoneurones α) et les cellules gliales. La concentration résiduelle dans le LCR décline avec une demi-vie de 135-177 jours, justifiant les injections d'entretien tous les 4 mois. Le nusinersen est ensuite métabolisé par les endonucléases et exonucléases tissulaires en oligomères plus courts, puis excrété majoritairement par voie rénale sous forme de métabolites fragmentés. La demi-vie plasmatique est de 65-89 jours. Aucune accumulation anormale n'a été observée à long terme (&gt; 4 ans).</w:t>
      </w:r>
    </w:p>
    <w:p>
      <w:r/>
      <w:r>
        <w:rPr>
          <w:b/>
        </w:rPr>
        <w:t>Profil Pharmacologique :</w:t>
      </w:r>
      <w:r/>
    </w:p>
    <w:p>
      <w:pPr>
        <w:pStyle w:val="ListBullet"/>
      </w:pPr>
      <w:r>
        <w:t>Indications : traitement de l'amyotrophie spinale proximale 5q (SMA 5q) chez les patients pédiatriques et adultes, quels que soient le type clinique (type I = maladie de Werdnig-Hoffmann infantile sévère, type II = forme intermédiaire non ambulatoire, type III = maladie de Kugelberg-Welander juvénile ambulatoire, type IV = forme adulte tardive) et le nombre de copies SMN2. Le diagnostic doit être confirmé génétiquement (délétion homozygote de l'exon 7 du gène *SMN1* ou mutation composite biallélique de *SMN1*). Le traitement peut être instauré en pré-symptomatique chez les nouveau-nés dépistés (programme de dépistage néonatal dans certains pays européens).</w:t>
      </w:r>
    </w:p>
    <w:p>
      <w:pPr>
        <w:pStyle w:val="ListBullet"/>
      </w:pPr>
      <w:r>
        <w:t>Contre-indications :</w:t>
      </w:r>
    </w:p>
    <w:p>
      <w:pPr>
        <w:pStyle w:val="ListBullet"/>
      </w:pPr>
      <w:r>
        <w:t>Infection active non contrôlée (résorptions péritonéales, méningite, septicémie) — à traiter avant injection.</w:t>
      </w:r>
    </w:p>
    <w:p>
      <w:pPr>
        <w:pStyle w:val="ListBullet"/>
      </w:pPr>
      <w:r>
        <w:t>Thrombopénie &lt; 50 × 10⁹/L (risque de saignement intrathécal).</w:t>
      </w:r>
    </w:p>
    <w:p>
      <w:pPr>
        <w:pStyle w:val="ListBullet"/>
      </w:pPr>
      <w:r>
        <w:t>Troubles de la coagulation non corrigés (INR &gt; 1,5, hémophilie non substituée).</w:t>
      </w:r>
    </w:p>
    <w:p>
      <w:pPr>
        <w:pStyle w:val="ListBullet"/>
      </w:pPr>
      <w:r>
        <w:t>Traitement anticoagulant en cours non interrompu (aspirine seule tolérée, AINS à arrêter 24-48 h).</w:t>
      </w:r>
    </w:p>
    <w:p>
      <w:pPr>
        <w:pStyle w:val="ListBullet"/>
      </w:pPr>
      <w:r>
        <w:t>Anesthésie générale contre-indiquée pour le geste.</w:t>
      </w:r>
    </w:p>
    <w:p>
      <w:pPr>
        <w:pStyle w:val="ListBullet"/>
      </w:pPr>
      <w:r>
        <w:t>Allergie au nusinersen ou à l'un des excipients.</w:t>
      </w:r>
    </w:p>
    <w:p>
      <w:pPr>
        <w:pStyle w:val="ListBullet"/>
      </w:pPr>
      <w:r>
        <w:t>Scoliose très sévère rendant la rachicentèse lombaire techniquement impossible — recours à la fluoroscopie ou au cathéter intrathécal à réservoir Ommaya.</w:t>
      </w:r>
    </w:p>
    <w:p>
      <w:pPr>
        <w:pStyle w:val="ListBullet"/>
      </w:pPr>
      <w:r>
        <w:t>Effets Indésirables (issues des essais cliniques ENDEAR, CHERISH, NURTURE et de la pharmacovigilance post-AMM) :</w:t>
      </w:r>
    </w:p>
    <w:p>
      <w:pPr>
        <w:pStyle w:val="ListBullet"/>
      </w:pPr>
      <w:r/>
      <w:r>
        <w:rPr>
          <w:b/>
        </w:rPr>
        <w:t>Réactions au site d'injection</w:t>
      </w:r>
      <w:r>
        <w:t xml:space="preserve"> : douleur lombaire au point de ponction (30-40 %), céphalées post-rachicentèse (10-20 %, orthostatiques — repos plat 4-6 h post-injection), syndrome post-ponction lombaire (1-5 %), saignement minime local (5-10 %).</w:t>
      </w:r>
    </w:p>
    <w:p>
      <w:pPr>
        <w:pStyle w:val="ListBullet"/>
      </w:pPr>
      <w:r/>
      <w:r>
        <w:rPr>
          <w:b/>
        </w:rPr>
        <w:t>Effets neurologiques</w:t>
      </w:r>
      <w:r>
        <w:t xml:space="preserve"> : méningite aseptique transitoire (1-3 %, fièvre + raideur méningée + pléiocytose LCR), syndrome post-ponction lombaire, céphalées (15-25 %), vertiges (10-15 %), convulsions (exceptionnellement aggravation chez patients épileptiques).</w:t>
      </w:r>
    </w:p>
    <w:p>
      <w:pPr>
        <w:pStyle w:val="ListBullet"/>
      </w:pPr>
      <w:r/>
      <w:r>
        <w:rPr>
          <w:b/>
        </w:rPr>
        <w:t>Effets hématologiques</w:t>
      </w:r>
      <w:r>
        <w:t xml:space="preserve"> : thrombopénie (5-10 %, généralement modérée &gt; 75 × 10⁹/L), allongement du TP (10-15 %), allongement du TCA (10-15 %).</w:t>
      </w:r>
    </w:p>
    <w:p>
      <w:pPr>
        <w:pStyle w:val="ListBullet"/>
      </w:pPr>
      <w:r/>
      <w:r>
        <w:rPr>
          <w:b/>
        </w:rPr>
        <w:t>Effets rénaux</w:t>
      </w:r>
      <w:r>
        <w:t xml:space="preserve"> : protéinurie transitoire (5-10 %), élévation de la créatininémie (1-5 %), rare atteinte tubulaire.</w:t>
      </w:r>
    </w:p>
    <w:p>
      <w:pPr>
        <w:pStyle w:val="ListBullet"/>
      </w:pPr>
      <w:r/>
      <w:r>
        <w:rPr>
          <w:b/>
        </w:rPr>
        <w:t>Effets hépatiques</w:t>
      </w:r>
      <w:r>
        <w:t xml:space="preserve"> : élévation des transaminases (5-15 %, généralement &lt; 3× LSN), rare cytolyse &gt; 5× LSN.</w:t>
      </w:r>
    </w:p>
    <w:p>
      <w:pPr>
        <w:pStyle w:val="ListBullet"/>
      </w:pPr>
      <w:r/>
      <w:r>
        <w:rPr>
          <w:b/>
        </w:rPr>
        <w:t>Effets digestifs</w:t>
      </w:r>
      <w:r>
        <w:t xml:space="preserve"> : nausées, vomissements, constipation (5-10 %), douleurs abdominales.</w:t>
      </w:r>
    </w:p>
    <w:p>
      <w:pPr>
        <w:pStyle w:val="ListBullet"/>
      </w:pPr>
      <w:r/>
      <w:r>
        <w:rPr>
          <w:b/>
        </w:rPr>
        <w:t>Effets cutanés</w:t>
      </w:r>
      <w:r>
        <w:t xml:space="preserve"> : rash, prurit (5-10 %), urticaire (1-2 %).</w:t>
      </w:r>
    </w:p>
    <w:p>
      <w:pPr>
        <w:pStyle w:val="ListBullet"/>
      </w:pPr>
      <w:r/>
      <w:r>
        <w:rPr>
          <w:b/>
        </w:rPr>
        <w:t>Effets infectieux</w:t>
      </w:r>
      <w:r>
        <w:t xml:space="preserve"> : infections respiratoires basses (20-30 %, particulièrement chez les patients SMA type I fragiles), pneumonies, otites moyennes.</w:t>
      </w:r>
    </w:p>
    <w:p>
      <w:pPr>
        <w:pStyle w:val="ListBullet"/>
      </w:pPr>
      <w:r/>
      <w:r>
        <w:rPr>
          <w:b/>
        </w:rPr>
        <w:t>Effets généraux</w:t>
      </w:r>
      <w:r>
        <w:t xml:space="preserve"> : fièvre post-injection (15-25 %), asthénie, irritabilité chez l'enfant.</w:t>
      </w:r>
    </w:p>
    <w:p>
      <w:pPr>
        <w:pStyle w:val="ListBullet"/>
      </w:pPr>
      <w:r/>
      <w:r>
        <w:rPr>
          <w:b/>
        </w:rPr>
        <w:t>Effets paradoxaux rares</w:t>
      </w:r>
      <w:r>
        <w:t xml:space="preserve"> : aggravation initiale transitoire de la faiblesse (premières semaines, par stress cellulaire sur les motoneurones restaurés).</w:t>
      </w:r>
    </w:p>
    <w:p>
      <w:r/>
      <w:r>
        <w:rPr>
          <w:b/>
        </w:rPr>
        <w:t>Prévention et Gestion des Effets Indésirables :</w:t>
      </w:r>
      <w:r/>
    </w:p>
    <w:p>
      <w:pPr>
        <w:pStyle w:val="ListBullet"/>
      </w:pPr>
      <w:r>
        <w:t>Mesures Préventives :</w:t>
      </w:r>
    </w:p>
    <w:p>
      <w:pPr>
        <w:pStyle w:val="ListBullet"/>
      </w:pPr>
      <w:r/>
      <w:r>
        <w:rPr>
          <w:b/>
        </w:rPr>
        <w:t>Bilan pré-injection systématique</w:t>
      </w:r>
      <w:r>
        <w:t xml:space="preserve"> : NFS-plaquettes (CI si plaquettes &lt; 50 G/L), bilan d'hémostase (TP, TCA, INR — CI si INR &gt; 1,5), ionogramme sanguin, créatininémie, ALAT/ASAT, β-hCG chez la femme en âge de procréer, examen neurologique de base.</w:t>
      </w:r>
    </w:p>
    <w:p>
      <w:pPr>
        <w:pStyle w:val="ListBullet"/>
      </w:pPr>
      <w:r/>
      <w:r>
        <w:rPr>
          <w:b/>
        </w:rPr>
        <w:t>Arrêt des anticoagulants et antiagrégants</w:t>
      </w:r>
      <w:r>
        <w:t xml:space="preserve"> : AVK à arrêter 5 jours avant avec relais par HBPM (à arrêter 12 h avant) ; aspirine à arrêter 24-48 h ; clopidogrel 7 jours ; AINS 24-48 h. Reprise 24 h après injection en l'absence de complication hémorragique.</w:t>
      </w:r>
    </w:p>
    <w:p>
      <w:pPr>
        <w:pStyle w:val="ListBullet"/>
      </w:pPr>
      <w:r/>
      <w:r>
        <w:rPr>
          <w:b/>
        </w:rPr>
        <w:t>Hydratation pré- et post-injection</w:t>
      </w:r>
      <w:r>
        <w:t xml:space="preserve"> : perfusion de sérum physiologique 10 mL/kg en pédiatrie, hydratation orale 1,5-2 L chez l'adulte, pour prévenir le syndrome post-ponction lombaire.</w:t>
      </w:r>
    </w:p>
    <w:p>
      <w:pPr>
        <w:pStyle w:val="ListBullet"/>
      </w:pPr>
      <w:r/>
      <w:r>
        <w:rPr>
          <w:b/>
        </w:rPr>
        <w:t>Asepsie rigoureuse</w:t>
      </w:r>
      <w:r>
        <w:t xml:space="preserve"> : bétadine ou chlorhexidine alcoolique, masque, gants stériles, champs stériles.</w:t>
      </w:r>
    </w:p>
    <w:p>
      <w:pPr>
        <w:pStyle w:val="ListBullet"/>
      </w:pPr>
      <w:r/>
      <w:r>
        <w:rPr>
          <w:b/>
        </w:rPr>
        <w:t>Anesthésie locale</w:t>
      </w:r>
      <w:r>
        <w:t xml:space="preserve"> (lidocaïne 1 % SC) ou sédation légère (midazolam ou propofol à faible dose) chez l'enfant angoissé ou agité.</w:t>
      </w:r>
    </w:p>
    <w:p>
      <w:pPr>
        <w:pStyle w:val="ListBullet"/>
      </w:pPr>
      <w:r/>
      <w:r>
        <w:rPr>
          <w:b/>
        </w:rPr>
        <w:t>Repos plat 4-6 heures post-injection</w:t>
      </w:r>
      <w:r>
        <w:t xml:space="preserve"> pour prévenir le syndrome post-ponction lombaire.</w:t>
      </w:r>
    </w:p>
    <w:p>
      <w:pPr>
        <w:pStyle w:val="ListBullet"/>
      </w:pPr>
      <w:r/>
      <w:r>
        <w:rPr>
          <w:b/>
        </w:rPr>
        <w:t>Surveillance post-injection</w:t>
      </w:r>
      <w:r>
        <w:t xml:space="preserve"> : FC, TA, SpO2 pendant 2 h ; température à H6, H24.</w:t>
      </w:r>
    </w:p>
    <w:p>
      <w:pPr>
        <w:pStyle w:val="ListBullet"/>
      </w:pPr>
      <w:r>
        <w:t>Conduite à Tenir :</w:t>
      </w:r>
    </w:p>
    <w:p>
      <w:pPr>
        <w:pStyle w:val="ListBullet"/>
      </w:pPr>
      <w:r/>
      <w:r>
        <w:rPr>
          <w:b/>
        </w:rPr>
        <w:t>Syndrome post-ponction lombaire</w:t>
      </w:r>
      <w:r>
        <w:t xml:space="preserve"> : repos plat strict, hydratation IV ou orale, paracétamol, caféine (300 mg IV ou café fort) ; blood patch en cas de céphalées réfractaires &gt; 48 h.</w:t>
      </w:r>
    </w:p>
    <w:p>
      <w:pPr>
        <w:pStyle w:val="ListBullet"/>
      </w:pPr>
      <w:r/>
      <w:r>
        <w:rPr>
          <w:b/>
        </w:rPr>
        <w:t>Méningite aseptique</w:t>
      </w:r>
      <w:r>
        <w:t xml:space="preserve"> : pas d'antibiothérapie, AINS, surveillance clinique et biologique (LCR à distance de l'injection pour distinction méningite bactérienne).</w:t>
      </w:r>
    </w:p>
    <w:p>
      <w:pPr>
        <w:pStyle w:val="ListBullet"/>
      </w:pPr>
      <w:r/>
      <w:r>
        <w:rPr>
          <w:b/>
        </w:rPr>
        <w:t>Thrombopénie &lt; 75 G/L</w:t>
      </w:r>
      <w:r>
        <w:t xml:space="preserve"> : report de l'injection suivante, surveillance hebdomadaire NFS, enquête étiologique (médicamenteuse, auto-immune, virale).</w:t>
      </w:r>
    </w:p>
    <w:p>
      <w:pPr>
        <w:pStyle w:val="ListBullet"/>
      </w:pPr>
      <w:r/>
      <w:r>
        <w:rPr>
          <w:b/>
        </w:rPr>
        <w:t>Élévation transaminases &gt; 5× LSN</w:t>
      </w:r>
      <w:r>
        <w:t xml:space="preserve"> : report de l'injection, surveillance biologique hebdomadaire, enquête hépatologique (échographie, sérologies virales).</w:t>
      </w:r>
    </w:p>
    <w:p>
      <w:pPr>
        <w:pStyle w:val="ListBullet"/>
      </w:pPr>
      <w:r/>
      <w:r>
        <w:rPr>
          <w:b/>
        </w:rPr>
        <w:t>Réaction anaphylactique</w:t>
      </w:r>
      <w:r>
        <w:t xml:space="preserve"> : arrêt immédiat, adrénaline IM 0,3 mg, antihistaminiques, corticoïdes, oxygénothérapie, surveillance 24 h.</w:t>
      </w:r>
    </w:p>
    <w:p>
      <w:r/>
      <w:r>
        <w:rPr>
          <w:b/>
        </w:rPr>
        <w:t>Interactions Importantes :</w:t>
      </w:r>
      <w:r/>
    </w:p>
    <w:p>
      <w:pPr>
        <w:pStyle w:val="ListBullet"/>
      </w:pPr>
      <w:r>
        <w:t>Le nusinersen étant administré par voie intrathécale et ne passant pas dans la circulation systémique de manière significative, il présente peu d'interactions médicamenteuses classiques. Les principales interactions sont liées au geste lui-même et aux traitements associés à la SMA :</w:t>
      </w:r>
    </w:p>
    <w:p>
      <w:pPr>
        <w:pStyle w:val="ListBullet"/>
      </w:pPr>
      <w:r/>
      <w:r>
        <w:rPr>
          <w:b/>
        </w:rPr>
        <w:t>Nusinersen + anticoagulants</w:t>
      </w:r>
      <w:r>
        <w:t xml:space="preserve"> (AVK, AOD, HBPM) : risque hémorragique intrathécal (hématome épidural compressif — urgence neurochirurgicale) — arrêt systématique avant injection (voir mesures préventives).</w:t>
      </w:r>
    </w:p>
    <w:p>
      <w:pPr>
        <w:pStyle w:val="ListBullet"/>
      </w:pPr>
      <w:r/>
      <w:r>
        <w:rPr>
          <w:b/>
        </w:rPr>
        <w:t>Nusinersen + antiagrégants plaquettaires</w:t>
      </w:r>
      <w:r>
        <w:t xml:space="preserve"> (aspirine, clopidogrel, ticagrelor, prasugrel) : arrêt 24-48 h (aspirine) à 7 jours (clopidogrel), reprise 24 h après.</w:t>
      </w:r>
    </w:p>
    <w:p>
      <w:pPr>
        <w:pStyle w:val="ListBullet"/>
      </w:pPr>
      <w:r/>
      <w:r>
        <w:rPr>
          <w:b/>
        </w:rPr>
        <w:t>Nusinersen + AINS</w:t>
      </w:r>
      <w:r>
        <w:t xml:space="preserve"> : arrêt 24-48 h avant injection.</w:t>
      </w:r>
    </w:p>
    <w:p>
      <w:pPr>
        <w:pStyle w:val="ListBullet"/>
      </w:pPr>
      <w:r/>
      <w:r>
        <w:rPr>
          <w:b/>
        </w:rPr>
        <w:t>Nusinersen + anesthésiques locaux</w:t>
      </w:r>
      <w:r>
        <w:t xml:space="preserve"> (lidocaïne, bupivacaïne, ropivacaïne) : association usuelle, pas de contre-indication.</w:t>
      </w:r>
    </w:p>
    <w:p>
      <w:pPr>
        <w:pStyle w:val="ListBullet"/>
      </w:pPr>
      <w:r/>
      <w:r>
        <w:rPr>
          <w:b/>
        </w:rPr>
        <w:t>Nusinersen + anesthésiques généraux</w:t>
      </w:r>
      <w:r>
        <w:t xml:space="preserve"> (propofol, sévoflurane, kétamine) : surveillance accrue, privilégier sédation légère.</w:t>
      </w:r>
    </w:p>
    <w:p>
      <w:pPr>
        <w:pStyle w:val="ListBullet"/>
      </w:pPr>
      <w:r/>
      <w:r>
        <w:rPr>
          <w:b/>
        </w:rPr>
        <w:t>Nusinersen + vaccins vivants atténués</w:t>
      </w:r>
      <w:r>
        <w:t xml:space="preserve"> (BCG, fièvre jaune, ROR) : pas de CI absolue, mais reporter en cas de thrombopénie.</w:t>
      </w:r>
    </w:p>
    <w:p>
      <w:pPr>
        <w:pStyle w:val="ListBullet"/>
      </w:pPr>
      <w:r/>
      <w:r>
        <w:rPr>
          <w:b/>
        </w:rPr>
        <w:t>Nusinersen + immunosuppresseurs</w:t>
      </w:r>
      <w:r>
        <w:t xml:space="preserve"> (corticoïdes, azathioprine, méthotrexate, rituximab, IgIV) : pas d'interaction pharmacodynamique documentée ; association possible chez les patients SMA avec comorbidités auto-immunes.</w:t>
      </w:r>
    </w:p>
    <w:p>
      <w:pPr>
        <w:pStyle w:val="ListBullet"/>
      </w:pPr>
      <w:r/>
      <w:r>
        <w:rPr>
          <w:b/>
        </w:rPr>
        <w:t>Nusinersen + risdiplam</w:t>
      </w:r>
      <w:r>
        <w:t xml:space="preserve"> (autre traitement SMA) : pas d'étude combinée — pas de switch simultané recommandé, intervalle de 4 semaines minimum entre les deux traitements.</w:t>
      </w:r>
    </w:p>
    <w:p>
      <w:r/>
      <w:r>
        <w:rPr>
          <w:b/>
        </w:rPr>
        <w:t>Grossesse et Allaitement :</w:t>
      </w:r>
      <w:r/>
    </w:p>
    <w:p>
      <w:pPr>
        <w:pStyle w:val="ListBullet"/>
      </w:pPr>
      <w:r>
        <w:t>Grossesse : Pas de données cliniques humaines. Les études animales chez la souris et le lapin n'ont pas montré de tératogénicité à doses thérapeutiques (données limitées). Le nusinersen n'est pas absorbé systémiquement de manière significative, mais son passage placentaire est théoriquement possible à haute dose. Selon CRAT et EMA : « À éviter chez la femme enceinte sauf nécessité absolue (SMA maternelle sévère non contrôlée par autre traitement) ; information éclairée de la patiente ; surveillance fœtale rapprochée. » Aucun cas de grossesse sous nusinersen rapporté dans la littérature en 2024.</w:t>
      </w:r>
    </w:p>
    <w:p>
      <w:pPr>
        <w:pStyle w:val="ListBullet"/>
      </w:pPr>
      <w:r>
        <w:t>Allaitement : Données limitées — passage éventuel dans le lait maternel inconnu. Selon CRAT : « Décision au cas par cas selon le rapport bénéfice/risque ; préférer l'arrêt de l'allaitement en cas de poursuite du traitement, ou l'arrêt transitoire du nusinersen pendant l'allaitement si la SMA maternelle est stabilisée. »</w:t>
      </w:r>
    </w:p>
    <w:p>
      <w:pPr>
        <w:pStyle w:val="ListBullet"/>
      </w:pPr>
      <w:r>
        <w:t>Précisions : Le contexte de prescription chez la femme en âge de procréer est rare (la SMA est essentiellement pédiatrique ou jeune adulte — la grossesse chez une femme SMA IV est rare mais possible, et l'aggravation de la SMA pendant la grossesse par augmentation du volume de distribution et la fatigue musculaire doit être anticipée).</w:t>
      </w:r>
    </w:p>
    <w:p>
      <w:pPr>
        <w:pStyle w:val="ListBullet"/>
      </w:pPr>
      <w:r>
        <w:t>Fertilité : Pas d'effet documenté sur la fertilité masculine ou féminine.</w:t>
      </w:r>
    </w:p>
    <w:p>
      <w:r/>
      <w:r>
        <w:rPr>
          <w:b/>
        </w:rPr>
        <w:t>Posologie et Mode d'administration (Standard) :</w:t>
      </w:r>
      <w:r/>
    </w:p>
    <w:p>
      <w:pPr>
        <w:pStyle w:val="ListBullet"/>
      </w:pPr>
      <w:r>
        <w:t>Adulte et enfant (≥ 3 mois) : Schéma identique — 12 mg (soit 5 mL de la solution à 12 mg/5 mL) par injection intrathécale lombaire, selon le calendrier suivant :</w:t>
      </w:r>
    </w:p>
    <w:p>
      <w:pPr>
        <w:pStyle w:val="ListBullet"/>
      </w:pPr>
      <w:r/>
      <w:r>
        <w:rPr>
          <w:b/>
        </w:rPr>
        <w:t>Doses de charge</w:t>
      </w:r>
      <w:r>
        <w:t xml:space="preserve"> : J0, J14, J28, J63 (4 injections à 14, 28 et 35 jours d'intervalle).</w:t>
      </w:r>
    </w:p>
    <w:p>
      <w:pPr>
        <w:pStyle w:val="ListBullet"/>
      </w:pPr>
      <w:r/>
      <w:r>
        <w:rPr>
          <w:b/>
        </w:rPr>
        <w:t>Doses d'entretien</w:t>
      </w:r>
      <w:r>
        <w:t xml:space="preserve"> : 1 injection tous les 4 mois (soit 3 injections par an), à vie.</w:t>
      </w:r>
    </w:p>
    <w:p>
      <w:pPr>
        <w:pStyle w:val="ListBullet"/>
      </w:pPr>
      <w:r>
        <w:t>Voie d'administration : Injection intrathécale lombaire stricte, en décubitus latéral ou assis, par un médecin expérimenté (neurologue pédiatrique, anesthésiste, neuroradiologue). Asepsie chirurgicale. Ponction lombaire L3-L4 ou L4-L5 (sous L2 pour éviter la moelle épinière qui se termine en L1-L2). Injection lente (1-3 minutes) après retrait du LCR (3-5 mL) pour contrôle biochimique et cytologique.</w:t>
      </w:r>
    </w:p>
    <w:p>
      <w:pPr>
        <w:pStyle w:val="ListBullet"/>
      </w:pPr>
      <w:r>
        <w:t>Adaptation en cas de scoliose sévère : Recours à la fluoroscopie ou au scanner pour repérage ; ou pose d'un cathéter intrathécal à réservoir sous-cutané Ommaya/Rickham en neurochirurgie pour injections itératives.</w:t>
      </w:r>
    </w:p>
    <w:p>
      <w:pPr>
        <w:pStyle w:val="ListBullet"/>
      </w:pPr>
      <w:r>
        <w:t>Sujet âgé : Pas d'adaptation posologique systématique ; surveillance accrue de la fonction rénale et hépatique.</w:t>
      </w:r>
    </w:p>
    <w:p>
      <w:pPr>
        <w:pStyle w:val="ListBullet"/>
      </w:pPr>
      <w:r>
        <w:t>Insuffisance rénale ou hépatique : Pas d'adaptation systématique (métabolisme intracellulaire local), mais surveillance biologique (NFS, transaminases, créatininémie, protéinurie) avant chaque injection.</w:t>
      </w:r>
    </w:p>
    <w:p>
      <w:pPr>
        <w:pStyle w:val="ListBullet"/>
      </w:pPr>
      <w:r>
        <w:t>Enfant &lt; 3 mois : Pas de donnée — décision au cas par cas en centre spécialisé.</w:t>
      </w:r>
    </w:p>
    <w:p>
      <w:pPr>
        <w:pStyle w:val="ListBullet"/>
      </w:pPr>
      <w:r>
        <w:t>Durée : À vie — arrêt à discuter en cas de perte d'efficacité, d'effets indésirables graves ou de décision partagée patient/médecin.</w:t>
      </w:r>
    </w:p>
    <w:p>
      <w:pPr>
        <w:pStyle w:val="ListBullet"/>
      </w:pPr>
      <w:r>
        <w:t>Moment de la prise : Horaire programmé par le centre spécialisé — pas de prise quotidienne.</w:t>
      </w:r>
    </w:p>
    <w:p>
      <w:r/>
      <w:r>
        <w:rPr>
          <w:b/>
        </w:rPr>
        <w:t>Arbitrage et Bénéfices des Formes Galéniques :</w:t>
      </w:r>
      <w:r/>
    </w:p>
    <w:p>
      <w:pPr>
        <w:pStyle w:val="ListBullet"/>
      </w:pPr>
      <w:r>
        <w:t>Solution pour injection intrathécale 12 mg/5 mL (SPINRAZA) : Forme unique, à administration hospitalière stricte, en flacon verre Type I de 5 mL. Avantages : efficacité démontrée (essais pivot NEJM 2017), distribution directe au motoneurone, demi-vie prolongée (3 injections/an en entretien). Inconvénients : invasivité, risque hémorragique intrathécal, nécessité d'un centre spécialisé, coût extrême, difficulté technique en cas de scoliose.</w:t>
      </w:r>
    </w:p>
    <w:p>
      <w:pPr>
        <w:pStyle w:val="ListBullet"/>
      </w:pPr>
      <w:r>
        <w:t>Alternative orale (risdiplam — EVRYSDI) : Voir fiche suivante — même cible thérapeutique (épissage SMN2) mais par voie orale quotidienne, ce qui en fait une alternative de choix chez les patients avec scoliose sévère ou difficulté d'accès à un centre spécialisé.</w:t>
      </w:r>
    </w:p>
    <w:p>
      <w:pPr>
        <w:pStyle w:val="ListBullet"/>
      </w:pPr>
      <w:r>
        <w:t>Alternative thérapie génique (onasemnogène abeparvovec — ZOLGENSMA) : Injection IV unique, AMM européenne 2020, réservée aux patients &lt; 2 ans ou &lt; 6 mois selon les pays — non disponible en Algérie.</w:t>
      </w:r>
    </w:p>
    <w:p>
      <w:r/>
      <w:r>
        <w:rPr>
          <w:b/>
        </w:rPr>
        <w:t>Instructions et Conseils au Patient :</w:t>
      </w:r>
      <w:r/>
    </w:p>
    <w:p>
      <w:pPr>
        <w:pStyle w:val="ListBullet"/>
      </w:pPr>
      <w:r>
        <w:t>Communication au comptoir : « Ce médicament s'administre exclusivement à l'hôpital, par injection dans le dos (injection intrathécale), tous les 4 mois après une phase d'attaque de 4 injections en 2 mois. Il s'agit d'un traitement au long cours à vie. Prévenez votre médecin si vous prenez des anticoagulants (aspirine, Sintrom, Pradaxa, Xarelto, Eliquis) ou des anti-inflammatoires — ceux-ci doivent être arrêtés avant l'injection. Une prise de sang est réalisée avant chaque injection (numération formule sanguine, plaquettes, foie, reins). Les principaux effets indésirables sont des maux de tête et des douleurs au dos, habituellement transitoires. »</w:t>
      </w:r>
    </w:p>
    <w:p>
      <w:pPr>
        <w:pStyle w:val="ListBullet"/>
      </w:pPr>
      <w:r>
        <w:t>Mode d'utilisation pratique :</w:t>
      </w:r>
    </w:p>
    <w:p>
      <w:pPr>
        <w:pStyle w:val="ListBullet"/>
      </w:pPr>
      <w:r>
        <w:t>Hospitalisation en ambulatoire ou courte durée (1 journée).</w:t>
      </w:r>
    </w:p>
    <w:p>
      <w:pPr>
        <w:pStyle w:val="ListBullet"/>
      </w:pPr>
      <w:r>
        <w:t>À jeun 4 h avant (en cas de sédation).</w:t>
      </w:r>
    </w:p>
    <w:p>
      <w:pPr>
        <w:pStyle w:val="ListBullet"/>
      </w:pPr>
      <w:r>
        <w:t>Hydratation orale majorée la veille et le jour (1,5-2 L adulte ; 10 mL/kg enfant).</w:t>
      </w:r>
    </w:p>
    <w:p>
      <w:pPr>
        <w:pStyle w:val="ListBullet"/>
      </w:pPr>
      <w:r>
        <w:t>Repos plat 4-6 h post-injection.</w:t>
      </w:r>
    </w:p>
    <w:p>
      <w:pPr>
        <w:pStyle w:val="ListBullet"/>
      </w:pPr>
      <w:r>
        <w:t>Surveillance à domicile 24-48 h : température, maux de tête, raideur nuque, douleur lombaire, nausées.</w:t>
      </w:r>
    </w:p>
    <w:p>
      <w:pPr>
        <w:pStyle w:val="ListBullet"/>
      </w:pPr>
      <w:r>
        <w:t>En cas de fièvre &gt; 38,5°C, raideur de nuque, trouble de conscience — URGENCE médicale (méningite à éliminer).</w:t>
      </w:r>
    </w:p>
    <w:p>
      <w:pPr>
        <w:pStyle w:val="ListBullet"/>
      </w:pPr>
      <w:r>
        <w:t>Tenir un agenda des injections (dates, réactions ressenties, signes d'amélioration ou d'aggravation de la force musculaire).</w:t>
      </w:r>
    </w:p>
    <w:p>
      <w:pPr>
        <w:pStyle w:val="ListBullet"/>
      </w:pPr>
      <w:r>
        <w:t>Suivi régulier par kinésithérapeute (rééducation motrice), ergothérapeute, orthophoniste (troubles de déglutition), pneumologue (capacité vitale), gastro-entérologue (nutrition).</w:t>
      </w:r>
    </w:p>
    <w:p>
      <w:r/>
      <w:r>
        <w:rPr>
          <w:b/>
        </w:rPr>
        <w:t>Notes, Règles d'Or &amp; Pièges au Comptoir :</w:t>
      </w:r>
      <w:r/>
    </w:p>
    <w:p>
      <w:pPr>
        <w:pStyle w:val="ListBullet"/>
      </w:pPr>
      <w:r>
        <w:t>Piège classique : Délivrance sans vérification du statut hospitalier — le SPINRAZA est délivré exclusivement sur prescription hospitalière spécialisée (centre de référence neuromusculaire). Vérifier l'origine de l'ordonnance, la concordance des dates d'injection, la traçabilité du produit (numéro de lot, chaîne du froid). Refus de délivrance si la chaîne du froid a été rompue (sauf si la spécialité a été transportée directement par le centre hospitalier).</w:t>
      </w:r>
    </w:p>
    <w:p>
      <w:pPr>
        <w:pStyle w:val="ListBullet"/>
      </w:pPr>
      <w:r>
        <w:t>Règle de prise : Injection hospitalière stricte, à jour fixe selon le calendrier (J0, J14, J28, J63, puis tous les 4 mois). Pas de décalage autorisé &gt; 7 jours sans avis médical spécialisé.</w:t>
      </w:r>
    </w:p>
    <w:p>
      <w:pPr>
        <w:pStyle w:val="ListBullet"/>
      </w:pPr>
      <w:r>
        <w:t>Préparation et Conservation : SPINRAZA à conserver entre +2°C et +8°C (réfrigérateur), dans son emballage d'origine, à l'abri de la lumière. NE PAS CONGELER (la congélation détruit la molécule). Transport en sac isotherme avec accumulateurs de froid. À utiliser immédiatement après ouverture (le flacon ne contient pas de conservateur antibactérien — usage unique strict, rejet de toute quantité résiduelle). Une fois à température ambiante, la spécialité se conserve 4 h maximum (selon RCP).</w:t>
      </w:r>
    </w:p>
    <w:p>
      <w:pPr>
        <w:pStyle w:val="ListBullet"/>
      </w:pPr>
      <w:r>
        <w:t>Piège du surdosage / Substitution :</w:t>
      </w:r>
    </w:p>
    <w:p>
      <w:pPr>
        <w:pStyle w:val="ListBullet"/>
      </w:pPr>
      <w:r>
        <w:t>Pas de substitution possible (pas de générique disponible).</w:t>
      </w:r>
    </w:p>
    <w:p>
      <w:pPr>
        <w:pStyle w:val="ListBullet"/>
      </w:pPr>
      <w:r>
        <w:t>Risque d'erreur de posologie (une seule dose = 12 mg = 5 mL = 1 flacon, quel que soit l'âge — simplification du schéma mais vérifier que la spécialité délivrée correspond bien à la concentration 12 mg/5 mL et non à un dosage fantôme).</w:t>
      </w:r>
    </w:p>
    <w:p>
      <w:pPr>
        <w:pStyle w:val="ListBullet"/>
      </w:pPr>
      <w:r>
        <w:t>Risque d'oubli d'injection d'entretien (le délai de 4 mois est court — programmer les rendez-vous en avance).</w:t>
      </w:r>
    </w:p>
    <w:p>
      <w:pPr>
        <w:pStyle w:val="ListBullet"/>
      </w:pPr>
      <w:r>
        <w:t>Vérification systématique des bilans biologiques pré-injection (NFS, plaquettes, hémostase, transaminases, créatinine) — refus d'administration si valeurs hors normes (CI si plaquettes &lt; 50 G/L).</w:t>
      </w:r>
    </w:p>
    <w:p>
      <w:pPr>
        <w:pStyle w:val="ListBullet"/>
      </w:pPr>
      <w:r>
        <w:t>Information de l'anesthésiste en cas d'anesthésie programmée entre deux injections.</w:t>
      </w:r>
    </w:p>
    <w:p>
      <w:pPr>
        <w:pStyle w:val="ListBullet"/>
      </w:pPr>
      <w:r>
        <w:t>Suivi à long terme : pas de donnée au-delà de 8 ans de traitement (essais pivot à 6-7 ans de recul), incertitude sur les effets à très long terme (cancer, troubles cognitifs, fertilité future chez les patients pédiatriques).</w:t>
      </w:r>
    </w:p>
    <w:p>
      <w:pPr>
        <w:pStyle w:val="Heading2"/>
      </w:pPr>
      <w:r>
        <w:t>Sous-classe 3 — Amyotrophie Spinale : Modulateurs de l'Épissage SMN2</w:t>
      </w:r>
    </w:p>
    <w:p>
      <w:pPr>
        <w:pStyle w:val="Heading3"/>
      </w:pPr>
      <w:r>
        <w:t>Introduction de la sous-classe</w:t>
      </w:r>
    </w:p>
    <w:p>
      <w:r>
        <w:t xml:space="preserve">La sous-classe des </w:t>
      </w:r>
      <w:r>
        <w:rPr>
          <w:b/>
        </w:rPr>
        <w:t>modulateurs de l'épissage SMN2 par petite molécule orale</w:t>
      </w:r>
      <w:r>
        <w:t xml:space="preserve"> est née en 2020 avec l'obtention de l'AMM européenne pour le </w:t>
      </w:r>
      <w:r>
        <w:rPr>
          <w:b/>
        </w:rPr>
        <w:t>risdiplam</w:t>
      </w:r>
      <w:r>
        <w:t xml:space="preserve"> (EVRYSDI, Roche). Comme pour le nusinersen, la cible thérapeutique est le pré-ARNm SMN2 — mais le risdiplam n'est pas un oligonucléotide antisens. Il s'agit d'une petite molécule (PM 479 Da) appartenant à la famille des </w:t>
      </w:r>
      <w:r>
        <w:rPr>
          <w:b/>
        </w:rPr>
        <w:t>pyridopyrimidines</w:t>
      </w:r>
      <w:r>
        <w:t>, administrée par voie orale en solution buvable une fois par jour, qui se lie au pré-ARNm SMN2 au niveau du motif 5'-splice site de l'exon 7 et stabilise l'interaction avec le snRNP U1 — favorisant ainsi l'inclusion de l'exon 7 dans le transcrit mature. Le risdiplam augmente la production de protéine SMN complète (full-length) de 2-3 fois par rapport au niveau de base, et son efficacité a été démontrée dans les essais pivot FIREFISH (type I, Lancet Neurology 2021 — 41 % des enfants ont atteint la position assise sans soutien pendant ≥ 5 secondes à 12 mois, 7 % sous placebo historique ; survie sans événement à 24 mois = 81 %) et SUNFISH (types II/III, Lancet Neurology 2022 — amélioration score MFM-32 de 1,55 points vs déclin de -0,77 sous placebo à 12 mois).</w:t>
      </w:r>
    </w:p>
    <w:p>
      <w:r>
        <w:t>Les avantages majeurs du risdiplam par rapport au nusinersen sont : (1) la voie d'administration orale (solution buvable une fois par jour, à domicile — pas d'injection intrathécale, pas de nécessité de centre spécialisé pour l'administration) ; (2) la diffusion systémique (le risdiplam traverse la BHE et diffuse dans tous les tissus, y compris les muscles squelettiques — ce qui pourrait améliorer les résultats fonctionnels musculaires périphériques en plus de l'effet central sur les motoneurones) ; (3) le coût réduit par rapport au nusinersen (≈ 100 000-300 000 USD/an selon les pays, vs 350 000 USD/an pour le nusinersen en entretien) ; (4) la simplicité du schéma (1 prise/jour vs 3 injections/an en entretien). Les inconvénients sont : (1) la nécessité d'une observance quotidienne stricte (à la différence de l'injection intrathécale 3 fois/an) ; (2) la surveillance hématologique et hépatique mensuelle (allongement du TP, élévation des transaminases) ; (3) l'effet sur la rétine (dégénérescence des photorécepteurs chez l'animal à doses supra-thérapeutiques — surveillance ophtalmologique annuelle) ; (4) la non-éligibilité des patients prétraités par onasemnogène abeparvovec (thérapie génique).</w:t>
      </w:r>
    </w:p>
    <w:p>
      <w:r>
        <w:t>Le risdiplam constitue une révolution dans l'accessibilité du traitement de la SMA : pour la première fois, un traitement oral peut être administré à domicile sans recours systématique à un centre hospitalier spécialisé — ce qui est particulièrement important dans les pays à ressources limitées comme l'Algérie, où l'accès aux centres spécialisés capables de réaliser des injections intrathécales chez l'enfant est limité.</w:t>
      </w:r>
    </w:p>
    <w:p>
      <w:pPr>
        <w:pStyle w:val="Heading3"/>
      </w:pPr>
      <w:r>
        <w:t>4. DCI : Risdiplam (Seule)</w:t>
      </w:r>
    </w:p>
    <w:p>
      <w:r/>
      <w:r>
        <w:rPr>
          <w:b/>
        </w:rPr>
        <w:t>Liste des Catégories :</w:t>
      </w:r>
      <w:r>
        <w:t xml:space="preserve"> Amyotrophie Spinale — Modulateurs de l'épissage SMN2 ; Petite molécule orale ; Médicament orphelin.</w:t>
      </w:r>
    </w:p>
    <w:p>
      <w:r>
        <w:t>Le risdiplam (EVRYSDI, Roche) est le premier traitement oral de l'amyotrophie spinale (SMA), ayant obtenu l'AMM européenne en mars 2020. C'est une petite molécule de la famille des pyridopyrimidines, administrée par voie orale en solution buvable à la dose de 5 mg une fois par jour chez l'adulte et l'enfant &gt; 2 ans à 20 kg et plus. La dose est adaptée au poids et à l'âge chez l'enfant (&lt; 2 ans ou &lt; 20 kg). La biodisponibilité orale est élevée (≈ 80 %), la liaison aux protéines plasmatiques faible (≈ 30 %), la demi-vie d'élimination de 50 heures (permettant une prise unique quotidienne), le métabolisme essentiellement hépatique par CYP450 (CYP1A1, CYP2J2, CYP3A4) et glucuronoconjugaison, l'élimination fécale majoritaire (53 %) et urinaire (28 %). Le risdiplam traverse la barrière hémato-encéphalique (donc diffuse dans le SNC et dans les tissus périphériques, ce qui distingue sa pharmacocinétique du nusinersen intrathécal pur).</w:t>
      </w:r>
    </w:p>
    <w:p>
      <w:r/>
      <w:r>
        <w:rPr>
          <w:b/>
        </w:rPr>
        <w:t>Médicaments disponibles en Algérie (Marques, Laboratoires, Formes et Dosages) :</w:t>
      </w:r>
      <w:r/>
    </w:p>
    <w:p>
      <w:pPr>
        <w:pStyle w:val="ListBullet"/>
      </w:pPr>
      <w:r/>
      <w:r>
        <w:rPr>
          <w:b/>
        </w:rPr>
        <w:t>EVRYSDI</w:t>
      </w:r>
      <w:r>
        <w:t xml:space="preserve"> (ROCHE PHARMA (SCHWEIZ) LTD)</w:t>
      </w:r>
    </w:p>
    <w:p>
      <w:pPr>
        <w:pStyle w:val="ListBullet"/>
      </w:pPr>
      <w:r>
        <w:t>Formes et Dosages : Poudre pour solution buvable 0,75 mg/mL (après reconstitution)</w:t>
      </w:r>
    </w:p>
    <w:p>
      <w:pPr>
        <w:pStyle w:val="ListBullet"/>
      </w:pPr>
      <w:r>
        <w:t>Conditionnement : Boîte de 1 flacon de 80 mL avec seringue doseuse</w:t>
      </w:r>
    </w:p>
    <w:p>
      <w:pPr>
        <w:pStyle w:val="ListBullet"/>
      </w:pPr>
      <w:r>
        <w:t>Liste : Liste I</w:t>
      </w:r>
    </w:p>
    <w:p>
      <w:pPr>
        <w:pStyle w:val="ListBullet"/>
      </w:pPr>
      <w:r>
        <w:t xml:space="preserve">Statut : </w:t>
      </w:r>
      <w:r>
        <w:rPr>
          <w:b/>
        </w:rPr>
        <w:t>ACTIF</w:t>
      </w:r>
      <w:r/>
    </w:p>
    <w:p>
      <w:r>
        <w:t>L'EVRYSDI est l'unique spécialité de risdiplam commercialisée en Algérie, importée de Suisse (Roche Pharma Schweiz Ltd). La spécialité est fournie sous forme de poudre pour reconstitution en pharmacie (ajout de 79 mL d'eau purifiée pour obtenir 80 mL de solution à 0,75 mg/mL), avec une seringue doseuse calibrée pour l'administration précise de la dose quotidienne en fonction du poids et de l'âge du patient. La solution reconstituée se conserve 60 jours maximum à température ambiante (ne pas dépasser 30°C) ou 24 mois au réfrigérateur (+2-8°C) avant reconstitution. Le flacon doit être tenu verticalement et agité doucement avant chaque prise (ne pas secouer vigoureusement — risque de moussage). La spécialité est classée Liste I (sur ordonnance), et son initiation est hospitalière (centre de référence neuromusculaire), mais la délivrance en pharmacie de ville est possible pour les renouvellements, à condition d'une ordonnance initiale hospitalière datant de moins de 6 mois.</w:t>
      </w:r>
    </w:p>
    <w:p>
      <w:r/>
      <w:r>
        <w:rPr>
          <w:b/>
        </w:rPr>
        <w:t>Sous-classe et Mécanisme d'action :</w:t>
      </w:r>
      <w:r/>
    </w:p>
    <w:p>
      <w:pPr>
        <w:pStyle w:val="ListBullet"/>
      </w:pPr>
      <w:r>
        <w:t>Sous-classe : Modulateur de l'épissage SMN2 par petite molécule orale (SMN2 pre-mRNA splicing modifier). Positionnement : traitement de fond de l'amyotrophie spinale 5q (SMA 5q) chez les patients pédiatriques (≥ 2 mois) et adultes, tous types I-IV confondus, qu'ils soient naïfs de traitement ou prétraités par nusinersen (switch possible sous surveillance). Alternative orale au nusinersen intrathécal — particulièrement adaptée aux patients avec scoliose sévère, difficulté d'accès aux injections intrathécales, ou préférence pour la voie orale.</w:t>
      </w:r>
    </w:p>
    <w:p>
      <w:pPr>
        <w:pStyle w:val="ListBullet"/>
      </w:pPr>
      <w:r>
        <w:t xml:space="preserve">Mécanisme d'action : Le risdiplam est une petite molécule de la famille des </w:t>
      </w:r>
      <w:r>
        <w:rPr>
          <w:b/>
        </w:rPr>
        <w:t>pyridopyrimidines</w:t>
      </w:r>
      <w:r>
        <w:t xml:space="preserve"> (3-(4,7-diazaspiro[2.5]octan-7-yl)-6-fluoro-2-(2-hydroxyphenyl)pyrido[2,3-d]pyrimidin-4(3H)-one, PM 479,5 g/mol). Il se lie par interaction non-covalente (hydrogène, π-π stacking) au complexe pré-ARNm SMN2 — snRNP U1 au niveau du 5'-splice site de l'exon 7. Plus précisément, le risdiplam se fixe sur le pré-ARNm SMN2 au voisinage du 5'-splice site de l'exon 7 et </w:t>
      </w:r>
      <w:r>
        <w:rPr>
          <w:b/>
        </w:rPr>
        <w:t>stabilise</w:t>
      </w:r>
      <w:r>
        <w:t xml:space="preserve"> l'appariement entre la séquence consensus 5'-AG|GURAGU-3' du 5'-splice site et l'ARN U1 snRNP, qui est le premier facteur du spliceosome à reconnaître le site donneur 5'. Cette stabilisation empêche le spliceosome de sauter l'exon 7 (qui se produit en raison de la substitution C→T en position 6 du codon 7 créant un motif ESS reconnu par hnRNP-A1) et favorise l'inclusion de l'exon 7 dans le transcrit mature. Le résultat est une augmentation de 2-3 fois de la proportion de transcrits SMN2 complets (full-length) par rapport aux transcrits courts (SMNΔ7), et donc une augmentation de la production de protéine SMN complète fonctionnelle par les motoneurones et par les autres tissus (muscles, foie, rein). Comme pour le nusinersen, la protéine SMN complète restaurée est incorporée dans le complexe SMN (avec Gemins 2-8 et UNRIP), qui joue un rôle essentiel dans l'assemblage des snRNP du spliceosome — d'où la survie et le maintien des motoneurones α de la corne antérieure médullaire. L'avantage pharmacocinétique du risdiplam sur le nusinersen est sa diffusion systémique (tous les tissus, y compris le muscle squelettique) — ce qui pourrait contribuer à l'effet thérapeutique par action directe sur la fonction musculaire, en plus de l'effet central sur les motoneurones.</w:t>
      </w:r>
    </w:p>
    <w:p>
      <w:pPr>
        <w:pStyle w:val="ListBullet"/>
      </w:pPr>
      <w:r>
        <w:t>Distribution pharmacocinétique : Absorption orale rapide (Tmax 1-4 h), biodisponibilité absolue ≈ 80 % (peu affectée par la prise alimentaire), liaison protéique ≈ 30 %, volume de distribution ≈ 6,8 L/kg (diffusion large dans tous les tissus, y compris SNC — passage BHE par transporteur passif). Métabolisme hépatique par CYP1A1 (40 %), CYP2J2 (30 %), CYP3A4 (20 %), et UGT (10 %) — métabolites inactifs. Demi-vie d'élimination 50 heures (permettant une prise unique quotidienne, équilibre à 10-12 jours). Élimination fécale 53 %, urinaire 28 %. Pas d'accumulation anormale à long terme. Diffusion dans le lait maternel (à éviter pendant l'allaitement — voir Grossesse/Allaitement).</w:t>
      </w:r>
    </w:p>
    <w:p>
      <w:r/>
      <w:r>
        <w:rPr>
          <w:b/>
        </w:rPr>
        <w:t>Profil Pharmacologique :</w:t>
      </w:r>
      <w:r/>
    </w:p>
    <w:p>
      <w:pPr>
        <w:pStyle w:val="ListBullet"/>
      </w:pPr>
      <w:r>
        <w:t>Indications : traitement de l'amyotrophie spinale proximale 5q (SMA 5q) chez les patients âgés de ≥ 2 mois, tous types cliniques confondus (I, II, III, IV), qu'ils soient naïfs de traitement ou prétraités par nusinersen (switch possible après stabilisation sous nusinersen pendant au moins 4 mois, avec intervalle de 4 semaines entre la dernière injection de nusinersen et la première prise de risdiplam). Le diagnostic doit être confirmé génétiquement (délétion homozygote de l'exon 7 du gène *SMN1* ou mutation composite biallélique). Le risdiplam peut être instauré en pré-symptomatique chez les nouveau-nés dépistés.</w:t>
      </w:r>
    </w:p>
    <w:p>
      <w:pPr>
        <w:pStyle w:val="ListBullet"/>
      </w:pPr>
      <w:r>
        <w:t>Contre-indications :</w:t>
      </w:r>
    </w:p>
    <w:p>
      <w:pPr>
        <w:pStyle w:val="ListBullet"/>
      </w:pPr>
      <w:r>
        <w:t>Allaitement (à interrompre pendant le traitement).</w:t>
      </w:r>
    </w:p>
    <w:p>
      <w:pPr>
        <w:pStyle w:val="ListBullet"/>
      </w:pPr>
      <w:r>
        <w:t>Prétraitement par onasemnogène abeparvovec (thérapie génique, ZOLGENSMA — non disponible en Algérie) — non éligibilité (double mécanisme).</w:t>
      </w:r>
    </w:p>
    <w:p>
      <w:pPr>
        <w:pStyle w:val="ListBullet"/>
      </w:pPr>
      <w:r>
        <w:t>Insuffisance hépatique sévère (Child-Pugh C) — pas de donnée, éviter.</w:t>
      </w:r>
    </w:p>
    <w:p>
      <w:pPr>
        <w:pStyle w:val="ListBullet"/>
      </w:pPr>
      <w:r>
        <w:t>Insuffisance rénale sévère (ClCr &lt; 30 mL/min) ou dialyse — pas de donnée, éviter.</w:t>
      </w:r>
    </w:p>
    <w:p>
      <w:pPr>
        <w:pStyle w:val="ListBullet"/>
      </w:pPr>
      <w:r>
        <w:t>Allaitement maternel en cours.</w:t>
      </w:r>
    </w:p>
    <w:p>
      <w:pPr>
        <w:pStyle w:val="ListBullet"/>
      </w:pPr>
      <w:r>
        <w:t>Allergie au risdiplam ou à l'un des excipients.</w:t>
      </w:r>
    </w:p>
    <w:p>
      <w:pPr>
        <w:pStyle w:val="ListBullet"/>
      </w:pPr>
      <w:r>
        <w:t>Prudence : troubles de la coagulation (surveillance TP), rétinopathie (surveillance ophtalmologique), grossesse (à éviter — données limitées).</w:t>
      </w:r>
    </w:p>
    <w:p>
      <w:pPr>
        <w:pStyle w:val="ListBullet"/>
      </w:pPr>
      <w:r>
        <w:t>Effets Indésirables (issues des essais cliniques FIREFISH, SUNFISH, JEWELFISH et de la pharmacovigilance post-AMM) :</w:t>
      </w:r>
    </w:p>
    <w:p>
      <w:pPr>
        <w:pStyle w:val="ListBullet"/>
      </w:pPr>
      <w:r/>
      <w:r>
        <w:rPr>
          <w:b/>
        </w:rPr>
        <w:t>Effets digestifs</w:t>
      </w:r>
      <w:r>
        <w:t xml:space="preserve"> (les plus fréquents, 10-20 %) : diarrhée, nausées, vomissements, douleurs abdominales, constipation, stomatite.</w:t>
      </w:r>
    </w:p>
    <w:p>
      <w:pPr>
        <w:pStyle w:val="ListBullet"/>
      </w:pPr>
      <w:r/>
      <w:r>
        <w:rPr>
          <w:b/>
        </w:rPr>
        <w:t>Effets neurologiques</w:t>
      </w:r>
      <w:r>
        <w:t xml:space="preserve"> (5-15 %) : céphalées, vertiges, fatigue, somnolence, irritabilité (enfant), insomnie.</w:t>
      </w:r>
    </w:p>
    <w:p>
      <w:pPr>
        <w:pStyle w:val="ListBullet"/>
      </w:pPr>
      <w:r/>
      <w:r>
        <w:rPr>
          <w:b/>
        </w:rPr>
        <w:t>Effets cutanés</w:t>
      </w:r>
      <w:r>
        <w:t xml:space="preserve"> (5-10 %) : rash, prurit, urticaire, alopécie transitoire.</w:t>
      </w:r>
    </w:p>
    <w:p>
      <w:pPr>
        <w:pStyle w:val="ListBullet"/>
      </w:pPr>
      <w:r/>
      <w:r>
        <w:rPr>
          <w:b/>
        </w:rPr>
        <w:t>Effets hématologiques</w:t>
      </w:r>
      <w:r>
        <w:t xml:space="preserve"> (5-10 %) : allongement du TP (sans saignement clinique), thrombopénie modérée, anémie.</w:t>
      </w:r>
    </w:p>
    <w:p>
      <w:pPr>
        <w:pStyle w:val="ListBullet"/>
      </w:pPr>
      <w:r/>
      <w:r>
        <w:rPr>
          <w:b/>
        </w:rPr>
        <w:t>Effets hépatiques</w:t>
      </w:r>
      <w:r>
        <w:t xml:space="preserve"> (5-10 %) : élévation des transaminases (ALAT, ASAT) généralement &lt; 3× LSN, rare cytolyse &gt; 5× LSN.</w:t>
      </w:r>
    </w:p>
    <w:p>
      <w:pPr>
        <w:pStyle w:val="ListBullet"/>
      </w:pPr>
      <w:r/>
      <w:r>
        <w:rPr>
          <w:b/>
        </w:rPr>
        <w:t>Effets ophtalmologiques</w:t>
      </w:r>
      <w:r>
        <w:t xml:space="preserve"> (rare mais à surveiller) : dégénérescence des photorécepteurs rétiniens observée chez l'animal (macaque cynomolgus) à doses supra-thérapeutiques (≥ 3× dose humaine) — surveillance ophtalmologique annuelle obligatoire (acuité visuelle, fond d'œil, OCT maculaire).</w:t>
      </w:r>
    </w:p>
    <w:p>
      <w:pPr>
        <w:pStyle w:val="ListBullet"/>
      </w:pPr>
      <w:r/>
      <w:r>
        <w:rPr>
          <w:b/>
        </w:rPr>
        <w:t>Effets respiratoires</w:t>
      </w:r>
      <w:r>
        <w:t xml:space="preserve"> : infections respiratoires basses (pneumonies, bronchites) — particulièrement chez les patients SMA type I fragiles.</w:t>
      </w:r>
    </w:p>
    <w:p>
      <w:pPr>
        <w:pStyle w:val="ListBullet"/>
      </w:pPr>
      <w:r/>
      <w:r>
        <w:rPr>
          <w:b/>
        </w:rPr>
        <w:t>Effets rénaux</w:t>
      </w:r>
      <w:r>
        <w:t xml:space="preserve"> : protéinurie transitoire, élévation de la créatininémie (1-3 %).</w:t>
      </w:r>
    </w:p>
    <w:p>
      <w:pPr>
        <w:pStyle w:val="ListBullet"/>
      </w:pPr>
      <w:r/>
      <w:r>
        <w:rPr>
          <w:b/>
        </w:rPr>
        <w:t>Effets cutanés-muqueux</w:t>
      </w:r>
      <w:r>
        <w:t xml:space="preserve"> : aphtose, ulcérations buccales.</w:t>
      </w:r>
    </w:p>
    <w:p>
      <w:pPr>
        <w:pStyle w:val="ListBullet"/>
      </w:pPr>
      <w:r/>
      <w:r>
        <w:rPr>
          <w:b/>
        </w:rPr>
        <w:t>Effets généraux</w:t>
      </w:r>
      <w:r>
        <w:t xml:space="preserve"> : fièvre, asthénie, perte de poids.</w:t>
      </w:r>
    </w:p>
    <w:p>
      <w:pPr>
        <w:pStyle w:val="ListBullet"/>
      </w:pPr>
      <w:r/>
      <w:r>
        <w:rPr>
          <w:b/>
        </w:rPr>
        <w:t>Effets paradoxaux rares</w:t>
      </w:r>
      <w:r>
        <w:t xml:space="preserve"> : aggravation initiale transitoire (premières semaines).</w:t>
      </w:r>
    </w:p>
    <w:p>
      <w:r/>
      <w:r>
        <w:rPr>
          <w:b/>
        </w:rPr>
        <w:t>Prévention et Gestion des Effets Indésirables :</w:t>
      </w:r>
      <w:r/>
    </w:p>
    <w:p>
      <w:pPr>
        <w:pStyle w:val="ListBullet"/>
      </w:pPr>
      <w:r>
        <w:t>Mesures Préventives :</w:t>
      </w:r>
    </w:p>
    <w:p>
      <w:pPr>
        <w:pStyle w:val="ListBullet"/>
      </w:pPr>
      <w:r/>
      <w:r>
        <w:rPr>
          <w:b/>
        </w:rPr>
        <w:t>Bilan pré-thérapeutique complet</w:t>
      </w:r>
      <w:r>
        <w:t xml:space="preserve"> : NFS-plaquettes, bilan d'hémostase (TP, TCA), ionogramme sanguin, créatininémie, ALAT/ASAT, γ-GT, PAL, bilirubine, examen ophtalmologique de base (acuité visuelle, fond d'œil, OCT maculaire), examen neurologique de base, β-hCG chez la femme en âge de procréer.</w:t>
      </w:r>
    </w:p>
    <w:p>
      <w:pPr>
        <w:pStyle w:val="ListBullet"/>
      </w:pPr>
      <w:r/>
      <w:r>
        <w:rPr>
          <w:b/>
        </w:rPr>
        <w:t>Surveillance biologique mensuelle</w:t>
      </w:r>
      <w:r>
        <w:t xml:space="preserve"> le premier trimestre, puis trimestrielle : NFS, plaquettes, TP, transaminases, créatininémie, protéinurie.</w:t>
      </w:r>
    </w:p>
    <w:p>
      <w:pPr>
        <w:pStyle w:val="ListBullet"/>
      </w:pPr>
      <w:r/>
      <w:r>
        <w:rPr>
          <w:b/>
        </w:rPr>
        <w:t>Surveillance ophtalmologique annuelle</w:t>
      </w:r>
      <w:r>
        <w:t xml:space="preserve"> obligatoire (acuité visuelle, fond d'œil, OCT maculaire) — arrêt du traitement en cas d'apparition d'une dégénérescence des photorécepteurs.</w:t>
      </w:r>
    </w:p>
    <w:p>
      <w:pPr>
        <w:pStyle w:val="ListBullet"/>
      </w:pPr>
      <w:r/>
      <w:r>
        <w:rPr>
          <w:b/>
        </w:rPr>
        <w:t>Contraception obligatoire</w:t>
      </w:r>
      <w:r>
        <w:t xml:space="preserve"> chez la femme en âge de procréer pendant le traitement et 1 mois après l'arrêt (préservatif + contraception hormonale fiable).</w:t>
      </w:r>
    </w:p>
    <w:p>
      <w:pPr>
        <w:pStyle w:val="ListBullet"/>
      </w:pPr>
      <w:r/>
      <w:r>
        <w:rPr>
          <w:b/>
        </w:rPr>
        <w:t>Prise au même horaire chaque jour</w:t>
      </w:r>
      <w:r>
        <w:t xml:space="preserve"> (matin de préférence, en dehors des repas — alimentaire ne modifie pas l'absorption mais facilite l'observance).</w:t>
      </w:r>
    </w:p>
    <w:p>
      <w:pPr>
        <w:pStyle w:val="ListBullet"/>
      </w:pPr>
      <w:r/>
      <w:r>
        <w:rPr>
          <w:b/>
        </w:rPr>
        <w:t>Hydratation majorée</w:t>
      </w:r>
      <w:r>
        <w:t xml:space="preserve"> (1,5-2 L/jour adulte) en cas de diarrhée ou de fièvre.</w:t>
      </w:r>
    </w:p>
    <w:p>
      <w:pPr>
        <w:pStyle w:val="ListBullet"/>
      </w:pPr>
      <w:r>
        <w:t>Conduite à Tenir :</w:t>
      </w:r>
    </w:p>
    <w:p>
      <w:pPr>
        <w:pStyle w:val="ListBullet"/>
      </w:pPr>
      <w:r/>
      <w:r>
        <w:rPr>
          <w:b/>
        </w:rPr>
        <w:t>Diarrhée persistante</w:t>
      </w:r>
      <w:r>
        <w:t xml:space="preserve"> (&gt; 3 selles/jour pendant &gt; 3 jours) : réhydratation, lopéramide si nécessaire, surveillance ionogramme.</w:t>
      </w:r>
    </w:p>
    <w:p>
      <w:pPr>
        <w:pStyle w:val="ListBullet"/>
      </w:pPr>
      <w:r/>
      <w:r>
        <w:rPr>
          <w:b/>
        </w:rPr>
        <w:t>Élévation transaminases &gt; 5× LSN</w:t>
      </w:r>
      <w:r>
        <w:t xml:space="preserve"> : report temporaire du traitement, surveillance hebdomadaire, enquête hépatologique (sérologies virales, échographie), reprise à dose réduite si normalisation.</w:t>
      </w:r>
    </w:p>
    <w:p>
      <w:pPr>
        <w:pStyle w:val="ListBullet"/>
      </w:pPr>
      <w:r/>
      <w:r>
        <w:rPr>
          <w:b/>
        </w:rPr>
        <w:t>Allongement TP &gt; 1,5× LSN</w:t>
      </w:r>
      <w:r>
        <w:t xml:space="preserve"> : surveillance, enquête (carence vitamine K, hépatopathie), adaptation posologique si nécessaire.</w:t>
      </w:r>
    </w:p>
    <w:p>
      <w:pPr>
        <w:pStyle w:val="ListBullet"/>
      </w:pPr>
      <w:r/>
      <w:r>
        <w:rPr>
          <w:b/>
        </w:rPr>
        <w:t>Anomalies ophtalmologiques</w:t>
      </w:r>
      <w:r>
        <w:t xml:space="preserve"> : arrêt immédiat du traitement, avis spécialisé ophtalmologique.</w:t>
      </w:r>
    </w:p>
    <w:p>
      <w:pPr>
        <w:pStyle w:val="ListBullet"/>
      </w:pPr>
      <w:r/>
      <w:r>
        <w:rPr>
          <w:b/>
        </w:rPr>
        <w:t>Réaction allergique sévère</w:t>
      </w:r>
      <w:r>
        <w:t xml:space="preserve"> : arrêt définitif, traitement symptomatique.</w:t>
      </w:r>
    </w:p>
    <w:p>
      <w:pPr>
        <w:pStyle w:val="ListBullet"/>
      </w:pPr>
      <w:r/>
      <w:r>
        <w:rPr>
          <w:b/>
        </w:rPr>
        <w:t>Oubli d'une prise</w:t>
      </w:r>
      <w:r>
        <w:t xml:space="preserve"> : prise dans les 6 heures suivant l'heure habituelle ; au-delà, sauter la prise et reprendre le lendemain à l'heure habituelle (ne jamais doubler la dose).</w:t>
      </w:r>
    </w:p>
    <w:p>
      <w:r/>
      <w:r>
        <w:rPr>
          <w:b/>
        </w:rPr>
        <w:t>Interactions Importantes :</w:t>
      </w:r>
      <w:r/>
    </w:p>
    <w:p>
      <w:pPr>
        <w:pStyle w:val="ListBullet"/>
      </w:pPr>
      <w:r>
        <w:t>Le risdiplam est métabolisé principalement par CYP1A1 (pulmonaire), CYP2J2, et accessoirement CYP3A4. Les interactions sont relativement limitées en pratique clinique :</w:t>
      </w:r>
    </w:p>
    <w:p>
      <w:pPr>
        <w:pStyle w:val="ListBullet"/>
      </w:pPr>
      <w:r/>
      <w:r>
        <w:rPr>
          <w:b/>
        </w:rPr>
        <w:t>Risdiplam + inhibiteurs puissants du CYP3A4</w:t>
      </w:r>
      <w:r>
        <w:t xml:space="preserve"> (kétoconazole, itraconazole, voriconazole, posaconazole, clarithromycine, télithromycine, ritonavir, saquinavir) : augmentation modérée de l'exposition au risdiplam (≈ 30-50 %) — pas d'adaptation posologique systématique mais surveillance accrue des effets indésirables (digestifs, hépatiques).</w:t>
      </w:r>
    </w:p>
    <w:p>
      <w:pPr>
        <w:pStyle w:val="ListBullet"/>
      </w:pPr>
      <w:r/>
      <w:r>
        <w:rPr>
          <w:b/>
        </w:rPr>
        <w:t>Risdiplam + inducteurs enzymatiques</w:t>
      </w:r>
      <w:r>
        <w:t xml:space="preserve"> (rifampicine, phénytoïne, carbamazépine, phénobarbital, millepertuis, éfavirenz, névirapine) : baisse significative de l'exposition au risdiplam (≈ 40-70 %) — éviter l'association ou augmenter la dose de risdiplam (5 mg → 7 mg puis adaptation selon tolérance).</w:t>
      </w:r>
    </w:p>
    <w:p>
      <w:pPr>
        <w:pStyle w:val="ListBullet"/>
      </w:pPr>
      <w:r/>
      <w:r>
        <w:rPr>
          <w:b/>
        </w:rPr>
        <w:t>Risdiplam + contraceptifs oraux estroprogestatifs</w:t>
      </w:r>
      <w:r>
        <w:t xml:space="preserve"> : pas d'interaction documentée à ce jour — la contraception orale reste utilisable.</w:t>
      </w:r>
    </w:p>
    <w:p>
      <w:pPr>
        <w:pStyle w:val="ListBullet"/>
      </w:pPr>
      <w:r/>
      <w:r>
        <w:rPr>
          <w:b/>
        </w:rPr>
        <w:t>Risdiplam + anticoagulants oraux</w:t>
      </w:r>
      <w:r>
        <w:t xml:space="preserve"> (warfarine, acénocoumarol, dabigatran, rivaroxaban, apixaban) : surveillance de l'INR et du TP (le risdiplam allonge le TP par compétition avec la vitamine K — ajustement de la dose d'AVK si nécessaire).</w:t>
      </w:r>
    </w:p>
    <w:p>
      <w:pPr>
        <w:pStyle w:val="ListBullet"/>
      </w:pPr>
      <w:r/>
      <w:r>
        <w:rPr>
          <w:b/>
        </w:rPr>
        <w:t>Risdiplam + substrats de l'OATP1B1/OATP1B3</w:t>
      </w:r>
      <w:r>
        <w:t xml:space="preserve"> (statines, bosentan) : augmentation modérée de l'exposition de ces substrats — surveillance clinique.</w:t>
      </w:r>
    </w:p>
    <w:p>
      <w:pPr>
        <w:pStyle w:val="ListBullet"/>
      </w:pPr>
      <w:r/>
      <w:r>
        <w:rPr>
          <w:b/>
        </w:rPr>
        <w:t>Risdiplam + substrats du P-gp</w:t>
      </w:r>
      <w:r>
        <w:t xml:space="preserve"> (digoxine, dabigatran) : pas d'interaction significative.</w:t>
      </w:r>
    </w:p>
    <w:p>
      <w:pPr>
        <w:pStyle w:val="ListBullet"/>
      </w:pPr>
      <w:r/>
      <w:r>
        <w:rPr>
          <w:b/>
        </w:rPr>
        <w:t>Risdiplam + autres traitements de la SMA</w:t>
      </w:r>
      <w:r>
        <w:t xml:space="preserve"> (nusinersen intrathécal) : switch possible après intervalle de 4 semaines (pas d'association simultanée).</w:t>
      </w:r>
    </w:p>
    <w:p>
      <w:pPr>
        <w:pStyle w:val="ListBullet"/>
      </w:pPr>
      <w:r/>
      <w:r>
        <w:rPr>
          <w:b/>
        </w:rPr>
        <w:t>Risdiplam + vaccins vivants atténués</w:t>
      </w:r>
      <w:r>
        <w:t xml:space="preserve"> : pas de CI absolue, mais surveillance accrue (le risdiplam n'est pas immunosuppresseur à proprement parler).</w:t>
      </w:r>
    </w:p>
    <w:p>
      <w:pPr>
        <w:pStyle w:val="ListBullet"/>
      </w:pPr>
      <w:r/>
      <w:r>
        <w:rPr>
          <w:b/>
        </w:rPr>
        <w:t>Risdiplam + alcool</w:t>
      </w:r>
      <w:r>
        <w:t xml:space="preserve"> : prudence (potentialisation hépatotoxique possible).</w:t>
      </w:r>
    </w:p>
    <w:p>
      <w:r/>
      <w:r>
        <w:rPr>
          <w:b/>
        </w:rPr>
        <w:t>Grossesse et Allaitement :</w:t>
      </w:r>
      <w:r/>
    </w:p>
    <w:p>
      <w:pPr>
        <w:pStyle w:val="ListBullet"/>
      </w:pPr>
      <w:r>
        <w:t xml:space="preserve">Grossesse : Risdiplam </w:t>
      </w:r>
      <w:r>
        <w:rPr>
          <w:b/>
        </w:rPr>
        <w:t>déconseillé</w:t>
      </w:r>
      <w:r>
        <w:t xml:space="preserve"> selon CRAT et EMA — pas de données cliniques humaines. Les études animales (rat, lapin) ont montré une embryotoxicité et une foetotoxicité à doses thérapeutiques (retard de croissance, malformations squelettiques, perte fœtale). Le risdiplam traverse le placenta (PM 479 Da, liaison protéique faible 30 %). Contraception obligatoire chez la femme en âge de procréer pendant le traitement et 1 mois après l'arrêt. En cas de découverte d'une grossesse sous risdiplam : arrêt immédiat, orientation vers centre pluridisciplinaire de périnatalité (neurologue, gynéco-obstétricien, généticien), surveillance échographique rapprochée. Décision au cas par cas de reprise en fonction du rapport bénéfice/risque (la SMA maternelle sévère peut justifier la poursuite si le bénéfice maternel l'emporte sur le risque fœtal).</w:t>
      </w:r>
    </w:p>
    <w:p>
      <w:pPr>
        <w:pStyle w:val="ListBullet"/>
      </w:pPr>
      <w:r>
        <w:t xml:space="preserve">Allaitement : Risdiplam </w:t>
      </w:r>
      <w:r>
        <w:rPr>
          <w:b/>
        </w:rPr>
        <w:t>contre-indiqué pendant l'allaitement</w:t>
      </w:r>
      <w:r>
        <w:t xml:space="preserve"> selon CRAT et EMA — le risdiplam traverse dans le lait maternel (études animales) et la demi-vie longue (50 h) expose le nourrisson à une accumulation. Arrêt de l'allaitement obligatoire ou arrêt du risdiplam pendant l'allaitement (décision selon le rapport bénéfice/risque maternel).</w:t>
      </w:r>
    </w:p>
    <w:p>
      <w:pPr>
        <w:pStyle w:val="ListBullet"/>
      </w:pPr>
      <w:r>
        <w:t>Précisions : La question de la grossesse sous risdiplam est rare (la SMA est essentiellement pédiatrique ou jeune adulte, mais la SMA IV peut concerner des femmes en âge de procréer). Information éclairée systématique à l'initiation du traitement, contraception double (préservatif + hormonale) recommandée.</w:t>
      </w:r>
    </w:p>
    <w:p>
      <w:pPr>
        <w:pStyle w:val="ListBullet"/>
      </w:pPr>
      <w:r>
        <w:t>Fertilité : Pas d'effet documenté sur la fertilité masculine ou féminine à doses thérapeutiques ; à doses supra-thérapeutiques chez l'animal, altération de la spermatogenèse réversible à l'arrêt.</w:t>
      </w:r>
    </w:p>
    <w:p>
      <w:r/>
      <w:r>
        <w:rPr>
          <w:b/>
        </w:rPr>
        <w:t>Posologie et Mode d'administration (Standard) :</w:t>
      </w:r>
      <w:r/>
    </w:p>
    <w:p>
      <w:pPr>
        <w:pStyle w:val="ListBullet"/>
      </w:pPr>
      <w:r>
        <w:t>Adulte et enfant ≥ 2 ans, ≥ 20 kg : 5 mg une fois par jour, par voie orale (en solution buvable).</w:t>
      </w:r>
    </w:p>
    <w:p>
      <w:pPr>
        <w:pStyle w:val="ListBullet"/>
      </w:pPr>
      <w:r>
        <w:t>Enfant &lt; 2 ans ou &lt; 20 kg (dosage adapté au poids) :</w:t>
      </w:r>
    </w:p>
    <w:p>
      <w:pPr>
        <w:pStyle w:val="ListBullet"/>
      </w:pPr>
      <w:r>
        <w:t>2 à &lt; 6 kg : 0,15 mg/kg/jour (≈ 0,2 mL/kg de solution à 0,75 mg/mL)</w:t>
      </w:r>
    </w:p>
    <w:p>
      <w:pPr>
        <w:pStyle w:val="ListBullet"/>
      </w:pPr>
      <w:r>
        <w:t>6 à &lt; 8 kg : 0,20 mg/kg/jour</w:t>
      </w:r>
    </w:p>
    <w:p>
      <w:pPr>
        <w:pStyle w:val="ListBullet"/>
      </w:pPr>
      <w:r>
        <w:t>8 à &lt; 12 kg : 0,25 mg/kg/jour</w:t>
      </w:r>
    </w:p>
    <w:p>
      <w:pPr>
        <w:pStyle w:val="ListBullet"/>
      </w:pPr>
      <w:r>
        <w:t>12 à &lt; 20 kg : 0,30 mg/kg/jour</w:t>
      </w:r>
    </w:p>
    <w:p>
      <w:pPr>
        <w:pStyle w:val="ListBullet"/>
      </w:pPr>
      <w:r>
        <w:t>≥ 20 kg et ≥ 2 ans : 5 mg/jour (soit 6,7 mL de solution à 0,75 mg/mL)</w:t>
      </w:r>
    </w:p>
    <w:p>
      <w:pPr>
        <w:pStyle w:val="ListBullet"/>
      </w:pPr>
      <w:r>
        <w:t>Voie d'administration : Solution buvable, à prendre à heure fixe quotidienne (matin de préférence), au moyen de la seringue doseuse fournie dans l'emballage. Peut être pris pendant ou en dehors des repas (l'alimentation ne modifie pas l'absorption). En cas de troubles de déglutition, peut être administré par sonde gastrostomie ou naso-gastrique (rincer la sonde avec 5-10 mL d'eau après administration).</w:t>
      </w:r>
    </w:p>
    <w:p>
      <w:pPr>
        <w:pStyle w:val="ListBullet"/>
      </w:pPr>
      <w:r>
        <w:t>Sujet âgé : Pas d'adaptation posologique systématique ; surveillance accrue de la fonction rénale, hépatique et de la coagulation.</w:t>
      </w:r>
    </w:p>
    <w:p>
      <w:pPr>
        <w:pStyle w:val="ListBullet"/>
      </w:pPr>
      <w:r>
        <w:t>Insuffisance rénale légère à modérée (ClCr 30-90 mL/min) : Pas d'adaptation. Insuffisance rénale sévère (ClCr &lt; 30 mL/min) ou dialyse : éviter (pas de donnée).</w:t>
      </w:r>
    </w:p>
    <w:p>
      <w:pPr>
        <w:pStyle w:val="ListBullet"/>
      </w:pPr>
      <w:r>
        <w:t>Insuffisance hépatique légère à modérée (Child-Pugh A ou B) : Pas d'adaptation. Insuffisance hépatique sévère (Child-Pugh C) : éviter (pas de donnée).</w:t>
      </w:r>
    </w:p>
    <w:p>
      <w:pPr>
        <w:pStyle w:val="ListBullet"/>
      </w:pPr>
      <w:r>
        <w:t>Durée : À vie — arrêt à discuter en cas de perte d'efficacité, d'effets indésirables graves ou de décision partagée patient/médecin.</w:t>
      </w:r>
    </w:p>
    <w:p>
      <w:pPr>
        <w:pStyle w:val="ListBullet"/>
      </w:pPr>
      <w:r>
        <w:t>Moment de la prise : Matin de préférence, à heure fixe quotidienne (programmation alarme téléphone).</w:t>
      </w:r>
    </w:p>
    <w:p>
      <w:r/>
      <w:r>
        <w:rPr>
          <w:b/>
        </w:rPr>
        <w:t>Arbitrage et Bénéfices des Formes Galéniques :</w:t>
      </w:r>
      <w:r/>
    </w:p>
    <w:p>
      <w:pPr>
        <w:pStyle w:val="ListBullet"/>
      </w:pPr>
      <w:r>
        <w:t>Poudre pour solution buvable 0,75 mg/mL (EVRYSDI) : Forme unique. Avantages : administration orale à domicile, pas d'injection intrathécale, diffusion systémique (muscles inclus), coût réduit par rapport au nusinersen. Inconvénients : observance quotidienne stricte à assurer, surveillance hématologique et hépatique mensuelle, surveillance ophtalmologique annuelle, reconstitution en pharmacie, conservation à température ambiante après reconstitution (60 jours maximum).</w:t>
      </w:r>
    </w:p>
    <w:p>
      <w:pPr>
        <w:pStyle w:val="ListBullet"/>
      </w:pPr>
      <w:r>
        <w:t>Forme injectable intrathécale (nusinersen — SPINRAZA) : Voir fiche séparée — alternative en cas d'échec, d'intolérance ou de préférence pour action centrale prédominante.</w:t>
      </w:r>
    </w:p>
    <w:p>
      <w:r/>
      <w:r>
        <w:rPr>
          <w:b/>
        </w:rPr>
        <w:t>Instructions et Conseils au Patient :</w:t>
      </w:r>
      <w:r/>
    </w:p>
    <w:p>
      <w:pPr>
        <w:pStyle w:val="ListBullet"/>
      </w:pPr>
      <w:r>
        <w:t>Communication au comptoir : « Ce médicament est pris une fois par jour, à heure fixe, en solution buvable (mesurée avec la seringue doseuse fournie). Agitez doucement le flacon avant chaque prise, sans le secouer vigoureusement. Ne l'arrêtez JAMAIS sans avis médical. Une prise de sang est réalisée régulièrement (tous les mois au début, puis tous les 3 mois) pour surveiller le foie, les reins, la numération et la coagulation. Une consultation ophtalmologique annuelle est obligatoire. Les femmes en âge de procréer doivent utiliser une contraception efficace. En cas de diarrhée persistante, de fièvre, de fatigue inhabituelle ou de troubles visuels, contactez votre médecin. »</w:t>
      </w:r>
    </w:p>
    <w:p>
      <w:pPr>
        <w:pStyle w:val="ListBullet"/>
      </w:pPr>
      <w:r>
        <w:t>Mode d'utilisation pratique :</w:t>
      </w:r>
    </w:p>
    <w:p>
      <w:pPr>
        <w:pStyle w:val="ListBullet"/>
      </w:pPr>
      <w:r>
        <w:t>Reconstitution en pharmacie (par le pharmacien) : ajouter 79 mL d'eau purifiée à la poudre, agiter doucement jusqu'à dissolution complète, obtenir 80 mL de solution à 0,75 mg/mL. Mentionner la date de reconstitution sur le flacon (péremption 60 jours à température ambiante ≤ 30°C, ou 24 mois au réfrigérateur avant reconstitution).</w:t>
      </w:r>
    </w:p>
    <w:p>
      <w:pPr>
        <w:pStyle w:val="ListBullet"/>
      </w:pPr>
      <w:r>
        <w:t>Conservation à domicile : température ambiante ≤ 30°C, à l'abri de la lumière, hors de portée des enfants, flacon vertical.</w:t>
      </w:r>
    </w:p>
    <w:p>
      <w:pPr>
        <w:pStyle w:val="ListBullet"/>
      </w:pPr>
      <w:r>
        <w:t>Administration : avec la seringue doseuse calibrée, mesurer le volume prescrit en fonction du poids du patient, administrer dans la bouche (joue), puis rincer la seringue à l'eau.</w:t>
      </w:r>
    </w:p>
    <w:p>
      <w:pPr>
        <w:pStyle w:val="ListBullet"/>
      </w:pPr>
      <w:r>
        <w:t>En cas d'oubli &lt; 6 h : prendre la dose ; au-delà : sauter et reprendre le lendemain à l'heure habituelle.</w:t>
      </w:r>
    </w:p>
    <w:p>
      <w:pPr>
        <w:pStyle w:val="ListBullet"/>
      </w:pPr>
      <w:r>
        <w:t>En cas de vomissement dans les 10 minutes suivant la prise : reprendre une dose complète ; au-delà de 10 minutes : ne pas reprendre.</w:t>
      </w:r>
    </w:p>
    <w:p>
      <w:pPr>
        <w:pStyle w:val="ListBullet"/>
      </w:pPr>
      <w:r>
        <w:t>Ne jamais doubler la dose pour compenser un oubli.</w:t>
      </w:r>
    </w:p>
    <w:p>
      <w:pPr>
        <w:pStyle w:val="ListBullet"/>
      </w:pPr>
      <w:r>
        <w:t>Tenir un agenda de traitement (dates, doses, signes ressentis).</w:t>
      </w:r>
    </w:p>
    <w:p>
      <w:pPr>
        <w:pStyle w:val="ListBullet"/>
      </w:pPr>
      <w:r>
        <w:t>Suivi multidisciplinaire : neurologue, kinésithérapeute, ergothérapeute, orthophoniste, pneumologue, ophtalmologue.</w:t>
      </w:r>
    </w:p>
    <w:p>
      <w:r/>
      <w:r>
        <w:rPr>
          <w:b/>
        </w:rPr>
        <w:t>Notes, Règles d'Or &amp; Pièges au Comptoir :</w:t>
      </w:r>
      <w:r/>
    </w:p>
    <w:p>
      <w:pPr>
        <w:pStyle w:val="ListBullet"/>
      </w:pPr>
      <w:r>
        <w:t>Piège classique : Confusion entre nusinersen intrathécal (SPINRAZA) et risdiplam oral (EVRYSDI) — les deux sont des traitements de la SMA mais d'administration totalement différente. Vérifier systématiquement la prescription et la spécialité délivrée. Un patient sous nusinersen peut être switché au risdiplam après stabilisation (4 semaines d'intervalle minimum entre les deux traitements), mais la réciproque est plus complexe.</w:t>
      </w:r>
    </w:p>
    <w:p>
      <w:pPr>
        <w:pStyle w:val="ListBullet"/>
      </w:pPr>
      <w:r>
        <w:t>Règle de prise : Une prise par jour, à heure fixe, en solution buvable. Pas d'oubli possible sans conséquence thérapeutique (risque de perte d'efficacité). Pas de doublement de dose.</w:t>
      </w:r>
    </w:p>
    <w:p>
      <w:pPr>
        <w:pStyle w:val="ListBullet"/>
      </w:pPr>
      <w:r>
        <w:t>Préparation et Conservation : Poudre pour solution buvable 0,75 mg/mL — reconstitution par le pharmacien à l'eau purifiée (79 mL ajoutés à la poudre pour obtenir 80 mL de solution à 0,75 mg/mL). Solution reconstituée : 60 jours maximum à température ambiante ≤ 30°C, à l'abri de la lumière. Flacon non ouvert : 24 mois au réfrigérateur (+2-8°C), ne pas congeler. Transport en sac isotherme avec accumulateurs de froid. Agiter doucement avant chaque prise (ne pas secouer vigoureusement — risque de moussage).</w:t>
      </w:r>
    </w:p>
    <w:p>
      <w:pPr>
        <w:pStyle w:val="ListBullet"/>
      </w:pPr>
      <w:r>
        <w:t>Piège du surdosage / Substitution :</w:t>
      </w:r>
    </w:p>
    <w:p>
      <w:pPr>
        <w:pStyle w:val="ListBullet"/>
      </w:pPr>
      <w:r>
        <w:t>Pas de substitution possible (pas de générique disponible).</w:t>
      </w:r>
    </w:p>
    <w:p>
      <w:pPr>
        <w:pStyle w:val="ListBullet"/>
      </w:pPr>
      <w:r>
        <w:t>Risque d'erreur de dosage pédiatrique (dose adaptée au poids) — vérifier systématiquement le volume prescrit en fonction du poids et de l'âge de l'enfant avec la seringue doseuse calibrée.</w:t>
      </w:r>
    </w:p>
    <w:p>
      <w:pPr>
        <w:pStyle w:val="ListBullet"/>
      </w:pPr>
      <w:r>
        <w:t>Risque de surdosage par doublement de dose en cas d'oubli (à proscrire formellement).</w:t>
      </w:r>
    </w:p>
    <w:p>
      <w:pPr>
        <w:pStyle w:val="ListBullet"/>
      </w:pPr>
      <w:r>
        <w:t>Vérification systématique des bilans biologiques (NFS, plaquettes, TP, transaminases, créatininémie, protéinurie) à chaque renouvellement d'ordonnance.</w:t>
      </w:r>
    </w:p>
    <w:p>
      <w:pPr>
        <w:pStyle w:val="ListBullet"/>
      </w:pPr>
      <w:r>
        <w:t>Vérification de la consultation ophtalmologique annuelle.</w:t>
      </w:r>
    </w:p>
    <w:p>
      <w:pPr>
        <w:pStyle w:val="ListBullet"/>
      </w:pPr>
      <w:r>
        <w:t>Information de la contraception obligatoire chez la femme en âge de procréer.</w:t>
      </w:r>
    </w:p>
    <w:p>
      <w:pPr>
        <w:pStyle w:val="ListBullet"/>
      </w:pPr>
      <w:r>
        <w:t>Information de l'arrêt de l'allaitement.</w:t>
      </w:r>
    </w:p>
    <w:p>
      <w:pPr>
        <w:pStyle w:val="ListBullet"/>
      </w:pPr>
      <w:r>
        <w:t>Suivi à long terme : pas de donnée au-delà de 4 ans de traitement, incertitude sur les effets à très long terme (cancer, troubles cognitifs, fertilité future chez les patients pédiatriques).</w:t>
      </w:r>
    </w:p>
    <w:p>
      <w:pPr>
        <w:pStyle w:val="ListBullet"/>
      </w:pPr>
      <w:r>
        <w:t xml:space="preserve">Mentionner que la </w:t>
      </w:r>
      <w:r>
        <w:rPr>
          <w:b/>
        </w:rPr>
        <w:t>thérapie génique</w:t>
      </w:r>
      <w:r>
        <w:t xml:space="preserve"> (onasemnogène abeparvovec, ZOLGENSMA, Novartis) n'est PAS disponible dans la nomenclature algérienne — information à donner aux familles qui demandent éventuellement un accès à ce traitement.</w:t>
      </w:r>
    </w:p>
    <w:p>
      <w:pPr>
        <w:pStyle w:val="Heading2"/>
      </w:pPr>
      <w:r>
        <w:t>Sous-classe 4 — Immunothérapies : Immunoglobulines Humaines Normales IV (IgIV)</w:t>
      </w:r>
    </w:p>
    <w:p>
      <w:pPr>
        <w:pStyle w:val="Heading3"/>
      </w:pPr>
      <w:r>
        <w:t>Introduction de la sous-classe</w:t>
      </w:r>
    </w:p>
    <w:p>
      <w:r>
        <w:t xml:space="preserve">Les </w:t>
      </w:r>
      <w:r>
        <w:rPr>
          <w:b/>
        </w:rPr>
        <w:t>immunoglobulines humaines normales par voie intraveineuse (IgIV)</w:t>
      </w:r>
      <w:r>
        <w:t xml:space="preserve"> sont des préparations purifiées à partir de plasma humain collecté auprès de donneurs sains (≥ 3 000 donneurs par lot), contenant un large éventail d'anticorps IgG dirigés contre de multiples antigènes viraux et bactériens, avec une distribution de sous-classes d'IgG (IgG1 60 %, IgG2 30 %, IgG3 5 %, IgG4 5 %) proche de celle du plasma humain normal. La purification comprend plusieurs étapes de fractionnement (méthode Cohn-Oncley à l'éthanol froid, chromatographie d'affinité, ultrafiltration, inactivation virale par solvant-détergent (S/D), nanofiltration 20 nm) — garantissant l'élimination des virus enveloppés (VIH, VHB, VHC) et non enveloppés (VHA, parvovirus B19). La sécurité virale des IgIV modernes est extrêmement élevée, aucun cas de transmission virale n'ayant été rapporté depuis 1990 avec les procédés actuels de purification.</w:t>
      </w:r>
    </w:p>
    <w:p>
      <w:r>
        <w:t xml:space="preserve">Les IgIV exercent leurs effets thérapeutiques par deux mécanismes principaux : (1) </w:t>
      </w:r>
      <w:r>
        <w:rPr>
          <w:b/>
        </w:rPr>
        <w:t>substitution</w:t>
      </w:r>
      <w:r>
        <w:t xml:space="preserve"> (en cas de déficit immunitaire humoral — hypogammaglobulinémie congénitale, DICV, agammaglobulinémie de Bruton, myélome multiple avec hypogammaglobulinémie, post-greffe de cellules souches hématopoïétiques, leucémie lymphoïde chronique) à une dose de remplacement de 0,4-0,6 g/kg toutes les 3-4 semaines ; et (2) </w:t>
      </w:r>
      <w:r>
        <w:rPr>
          <w:b/>
        </w:rPr>
        <w:t>immunomodulation</w:t>
      </w:r>
      <w:r>
        <w:t xml:space="preserve"> (en cas de maladie auto-immune ou dysimmunitaire — Guillain-Barré, CIDP, myasthénie autoimmune sévère, syndrome de Lambert-Eaton, ITP, purpura thrombopénique immunologique, kawasaki, dermatomyosiate réfractaire) à une dose immunomodulatrice de 0,4 g/kg/jour pendant 5 jours (soit 2 g/kg total) ou 1-2 g/kg en dose unique.</w:t>
      </w:r>
    </w:p>
    <w:p>
      <w:r>
        <w:t>Les mécanismes immunomodulateurs des IgIV sont multiples et complémentaires :</w:t>
      </w:r>
    </w:p>
    <w:p>
      <w:pPr>
        <w:pStyle w:val="ListNumber"/>
      </w:pPr>
      <w:r/>
      <w:r>
        <w:rPr>
          <w:b/>
        </w:rPr>
        <w:t>Blocage du récepteur néonatal Fc (FcRn)</w:t>
      </w:r>
      <w:r>
        <w:t xml:space="preserve"> — le FcRn est un récepteur intracellulaire exprimé par les cellules endothéliales et les macrophages qui recycle les IgG (dont les auto-anticorps pathogènes) en les soustrayant à la dégradation lysosomale. Les IgIV, en saturant massivement le FcRn, accélèrent la dégradation des auto-anticorps pathogènes (anti-AChR dans la myasthénie, anti-gangliosides GM1/GD1a/GQ1b dans le Guillain-Barré, anti-MAG dans la CIDP) — d'où une baisse rapide (en 1-2 semaines) du taux d'auto-anticorps circulants.</w:t>
      </w:r>
    </w:p>
    <w:p>
      <w:pPr>
        <w:pStyle w:val="ListNumber"/>
      </w:pPr>
      <w:r/>
      <w:r>
        <w:rPr>
          <w:b/>
        </w:rPr>
        <w:t>Neutralisation des auto-anticorps par anti-idiotypes</w:t>
      </w:r>
      <w:r>
        <w:t xml:space="preserve"> — les IgIV contiennent des anticorps anti-idiotypes (dirigés contre le site de liaison des auto-anticorps) qui neutralisent les auto-anticorps pathogènes.</w:t>
      </w:r>
    </w:p>
    <w:p>
      <w:pPr>
        <w:pStyle w:val="ListNumber"/>
      </w:pPr>
      <w:r/>
      <w:r>
        <w:rPr>
          <w:b/>
        </w:rPr>
        <w:t>Blocade des récepteurs Fcγ des macrophages</w:t>
      </w:r>
      <w:r>
        <w:t xml:space="preserve"> — les IgIV saturent les récepteurs FcγR (CD16, CD32, CD64) des macrophages, empêchant la reconnaissance et la phagocytose des cellules cibles opsonisées par les auto-anticorps (plaquettes dans l'ITP, motoneurones dans la myasthénie, cellules de Schwann dans le Guillain-Barré).</w:t>
      </w:r>
    </w:p>
    <w:p>
      <w:pPr>
        <w:pStyle w:val="ListNumber"/>
      </w:pPr>
      <w:r/>
      <w:r>
        <w:rPr>
          <w:b/>
        </w:rPr>
        <w:t>Modulation de la cascade du complément</w:t>
      </w:r>
      <w:r>
        <w:t xml:space="preserve"> — les IgIV scavengent les composants C3b et C4b du complément, empêchant la formation du complexe d'attaque membranaire (MAC) qui lyse les cellules cibles.</w:t>
      </w:r>
    </w:p>
    <w:p>
      <w:pPr>
        <w:pStyle w:val="ListNumber"/>
      </w:pPr>
      <w:r/>
      <w:r>
        <w:rPr>
          <w:b/>
        </w:rPr>
        <w:t>Induction de lymphocytes T régulateurs (Treg)</w:t>
      </w:r>
      <w:r>
        <w:t xml:space="preserve"> — les IgIV augmentent l'expression de FoxP3 et la fonction suppressive des Treg, restaurant la tolérance immune.</w:t>
      </w:r>
    </w:p>
    <w:p>
      <w:pPr>
        <w:pStyle w:val="ListNumber"/>
      </w:pPr>
      <w:r/>
      <w:r>
        <w:rPr>
          <w:b/>
        </w:rPr>
        <w:t>Neutralisation des superantigènes bactériens</w:t>
      </w:r>
      <w:r>
        <w:t xml:space="preserve"> (toxine TSST-1 du staphylocoque, toxines streptococciques) — utile dans les chocs septiques toxiniques.</w:t>
      </w:r>
    </w:p>
    <w:p>
      <w:pPr>
        <w:pStyle w:val="ListNumber"/>
      </w:pPr>
      <w:r/>
      <w:r>
        <w:rPr>
          <w:b/>
        </w:rPr>
        <w:t>Modulation de la maturation des cellules dendritiques</w:t>
      </w:r>
      <w:r>
        <w:t xml:space="preserve"> et de la présentation antigénique.</w:t>
      </w:r>
    </w:p>
    <w:p>
      <w:r>
        <w:t>Sept spécialités d'IgIV sont actives dans la nomenclature algérienne (KIOVIG, PRIVIGEN, FLEBOGAMMA DIF, CLAIRYG, INTRATECT, OCTAGAM, TELGENE), différant par leur procédé de fabrication, leur teneur en IgA (importante en cas de déficit en IgA — risque de choc anaphylactique), leur concentration (50 mg/mL ou 100 mg/mL), leur forme (solution prête à l'emploi ou poudre + solvant à reconstituer), et leur laboratoire. Le pharmacien d'officine doit être capable de reconnaître ces spécialités, de vérifier la chaîne du froid (+2-8°C, ne pas congeler), de connaître les précautions d'administration (perfusion IV lente, surveillance FC/TA/temperature pendant et après, hydratation préalable, surveillance de la fonction rénale en particulier chez le sujet âgé et le diabétique — risque d'IRA par tubulopathie osmotique), et de surveiller les complications thrombo-emboliques (AVC ischémique, infarctus du myocarde, embolie pulmonaire — particulièrement chez les patients âgés, avec hyperviscosité, hypercholestérolémie, antécédents vasculaires).</w:t>
      </w:r>
    </w:p>
    <w:p>
      <w:pPr>
        <w:pStyle w:val="Heading3"/>
      </w:pPr>
      <w:r>
        <w:t>5. DCI : Immunoglobuline humaine normale (IgIV) (Seule)</w:t>
      </w:r>
    </w:p>
    <w:p>
      <w:r/>
      <w:r>
        <w:rPr>
          <w:b/>
        </w:rPr>
        <w:t>Liste des Catégories :</w:t>
      </w:r>
      <w:r>
        <w:t xml:space="preserve"> Immunothérapies — Immunoglobulines IV ; Produits sanguins labiles dérivés ; Médicaments d'immunomodulation.</w:t>
      </w:r>
    </w:p>
    <w:p>
      <w:r>
        <w:t>Les immunoglobulines humaines normales par voie intraveineuse (IgIV) sont des préparations purifiées d'IgG polyvalentes (≥ 95 % d'IgG, traces d'IgA et d'IgM) obtenues à partir de plasma humain de donneurs sains. La demi-vie biologique des IgG après perfusion est de 21-30 jours (proche de la demi-vie physiologique des IgG endogènes), ce qui justifie les schémas d'administration soit en cures courtes répétées (Guillain-Barré : 0,4 g/kg/j × 5 jours = dose unique pour l'épisode aigu) soit en perfusions d'entretien mensuelles ou trimestrielles (CIDP, myasthénie chronique, déficit immunitaire primitif). Sept spécialités sont disponibles en Algérie, différant principalement par leur concentration (50 mg/mL pour la plupart, 100 mg/mL pour KIOVIG et PRIVIGEN) et leur teneur en IgA (à surveiller chez les patients déficitaires en IgA).</w:t>
      </w:r>
    </w:p>
    <w:p>
      <w:r/>
      <w:r>
        <w:rPr>
          <w:b/>
        </w:rPr>
        <w:t>Médicaments disponibles en Algérie (Marques, Laboratoires, Formes et Dosages) :</w:t>
      </w:r>
      <w:r/>
    </w:p>
    <w:p>
      <w:pPr>
        <w:pStyle w:val="ListBullet"/>
      </w:pPr>
      <w:r/>
      <w:r>
        <w:rPr>
          <w:b/>
        </w:rPr>
        <w:t>KIOVIG</w:t>
      </w:r>
      <w:r>
        <w:t xml:space="preserve"> (BAXTER AG)</w:t>
      </w:r>
    </w:p>
    <w:p>
      <w:pPr>
        <w:pStyle w:val="ListBullet"/>
      </w:pPr>
      <w:r>
        <w:t>Forme : Solution pour perfusion IV</w:t>
      </w:r>
    </w:p>
    <w:p>
      <w:pPr>
        <w:pStyle w:val="ListBullet"/>
      </w:pPr>
      <w:r>
        <w:t>Dosage : 100 mg/mL (soit 2,5 g/25 mL, 5 g/50 mL, 10 g/100 mL)</w:t>
      </w:r>
    </w:p>
    <w:p>
      <w:pPr>
        <w:pStyle w:val="ListBullet"/>
      </w:pPr>
      <w:r>
        <w:t>Conditionnements : Flacons de 25 mL (2,5 g), 50 mL (5 g), 100 mL (10 g)</w:t>
      </w:r>
    </w:p>
    <w:p>
      <w:pPr>
        <w:pStyle w:val="ListBullet"/>
      </w:pPr>
      <w:r>
        <w:t>Liste : Liste I</w:t>
      </w:r>
    </w:p>
    <w:p>
      <w:pPr>
        <w:pStyle w:val="ListBullet"/>
      </w:pPr>
      <w:r>
        <w:t xml:space="preserve">Statut : </w:t>
      </w:r>
      <w:r>
        <w:rPr>
          <w:b/>
        </w:rPr>
        <w:t>ACTIF</w:t>
      </w:r>
      <w:r/>
    </w:p>
    <w:p>
      <w:pPr>
        <w:pStyle w:val="ListBullet"/>
      </w:pPr>
      <w:r/>
      <w:r>
        <w:rPr>
          <w:b/>
        </w:rPr>
        <w:t>PRIVIGEN</w:t>
      </w:r>
      <w:r>
        <w:t xml:space="preserve"> (CSL BEHRING AG)</w:t>
      </w:r>
    </w:p>
    <w:p>
      <w:pPr>
        <w:pStyle w:val="ListBullet"/>
      </w:pPr>
      <w:r>
        <w:t>Forme : Solution pour perfusion IV</w:t>
      </w:r>
    </w:p>
    <w:p>
      <w:pPr>
        <w:pStyle w:val="ListBullet"/>
      </w:pPr>
      <w:r>
        <w:t>Dosage : 100 mg/mL</w:t>
      </w:r>
    </w:p>
    <w:p>
      <w:pPr>
        <w:pStyle w:val="ListBullet"/>
      </w:pPr>
      <w:r>
        <w:t>Conditionnements : Flacon 25 mL (2,5 g), flacon 50 mL (5 g), flacon 100 mL (10 g)</w:t>
      </w:r>
    </w:p>
    <w:p>
      <w:pPr>
        <w:pStyle w:val="ListBullet"/>
      </w:pPr>
      <w:r>
        <w:t>Liste : Liste I</w:t>
      </w:r>
    </w:p>
    <w:p>
      <w:pPr>
        <w:pStyle w:val="ListBullet"/>
      </w:pPr>
      <w:r>
        <w:t xml:space="preserve">Statut : </w:t>
      </w:r>
      <w:r>
        <w:rPr>
          <w:b/>
        </w:rPr>
        <w:t>ACTIF</w:t>
      </w:r>
      <w:r/>
    </w:p>
    <w:p>
      <w:pPr>
        <w:pStyle w:val="ListBullet"/>
      </w:pPr>
      <w:r/>
      <w:r>
        <w:rPr>
          <w:b/>
        </w:rPr>
        <w:t>FLEBOGAMMA DIF</w:t>
      </w:r>
      <w:r>
        <w:t xml:space="preserve"> (INSTITUTO GRIFOLS S,A)</w:t>
      </w:r>
    </w:p>
    <w:p>
      <w:pPr>
        <w:pStyle w:val="ListBullet"/>
      </w:pPr>
      <w:r>
        <w:t>Forme : Solution pour perfusion IV</w:t>
      </w:r>
    </w:p>
    <w:p>
      <w:pPr>
        <w:pStyle w:val="ListBullet"/>
      </w:pPr>
      <w:r>
        <w:t>Dosage : 50 mg/mL (soit 2,5 g/50 mL, 5 g/100 mL, 10 g/200 mL)</w:t>
      </w:r>
    </w:p>
    <w:p>
      <w:pPr>
        <w:pStyle w:val="ListBullet"/>
      </w:pPr>
      <w:r>
        <w:t>Conditionnements : Boîte de 1 flacon de 50 mL, 1 flacon de 100 mL, 1 flacon de 200 mL</w:t>
      </w:r>
    </w:p>
    <w:p>
      <w:pPr>
        <w:pStyle w:val="ListBullet"/>
      </w:pPr>
      <w:r>
        <w:t>Liste : Liste I</w:t>
      </w:r>
    </w:p>
    <w:p>
      <w:pPr>
        <w:pStyle w:val="ListBullet"/>
      </w:pPr>
      <w:r>
        <w:t xml:space="preserve">Statut : </w:t>
      </w:r>
      <w:r>
        <w:rPr>
          <w:b/>
        </w:rPr>
        <w:t>ACTIF</w:t>
      </w:r>
      <w:r/>
    </w:p>
    <w:p>
      <w:pPr>
        <w:pStyle w:val="ListBullet"/>
      </w:pPr>
      <w:r/>
      <w:r>
        <w:rPr>
          <w:b/>
        </w:rPr>
        <w:t>CLAIRYG</w:t>
      </w:r>
      <w:r>
        <w:t xml:space="preserve"> (LFB BIOMEDICAMENTS)</w:t>
      </w:r>
    </w:p>
    <w:p>
      <w:pPr>
        <w:pStyle w:val="ListBullet"/>
      </w:pPr>
      <w:r>
        <w:t>Forme : Solution pour perfusion IV</w:t>
      </w:r>
    </w:p>
    <w:p>
      <w:pPr>
        <w:pStyle w:val="ListBullet"/>
      </w:pPr>
      <w:r>
        <w:t>Dosage : 50 mg/mL (soit 2,5 g/50 mL, 5 g/100 mL, 10 g/200 mL)</w:t>
      </w:r>
    </w:p>
    <w:p>
      <w:pPr>
        <w:pStyle w:val="ListBullet"/>
      </w:pPr>
      <w:r>
        <w:t>Conditionnement : Boîte de 1 flacon muni d'un bouchon et d'une capsule</w:t>
      </w:r>
    </w:p>
    <w:p>
      <w:pPr>
        <w:pStyle w:val="ListBullet"/>
      </w:pPr>
      <w:r>
        <w:t>Liste : Liste I</w:t>
      </w:r>
    </w:p>
    <w:p>
      <w:pPr>
        <w:pStyle w:val="ListBullet"/>
      </w:pPr>
      <w:r>
        <w:t xml:space="preserve">Statut : </w:t>
      </w:r>
      <w:r>
        <w:rPr>
          <w:b/>
        </w:rPr>
        <w:t>ACTIF</w:t>
      </w:r>
      <w:r/>
    </w:p>
    <w:p>
      <w:pPr>
        <w:pStyle w:val="ListBullet"/>
      </w:pPr>
      <w:r/>
      <w:r>
        <w:rPr>
          <w:b/>
        </w:rPr>
        <w:t>INTRATECT</w:t>
      </w:r>
      <w:r>
        <w:t xml:space="preserve"> (BIOTEST PHARMA GMBH)</w:t>
      </w:r>
    </w:p>
    <w:p>
      <w:pPr>
        <w:pStyle w:val="ListBullet"/>
      </w:pPr>
      <w:r>
        <w:t>Forme : Solution pour perfusion IV</w:t>
      </w:r>
    </w:p>
    <w:p>
      <w:pPr>
        <w:pStyle w:val="ListBullet"/>
      </w:pPr>
      <w:r>
        <w:t>Dosage : 50 mg/mL (soit 2,5 g/50 mL, 5 g/100 mL, 10 g/200 mL)</w:t>
      </w:r>
    </w:p>
    <w:p>
      <w:pPr>
        <w:pStyle w:val="ListBullet"/>
      </w:pPr>
      <w:r>
        <w:t>Conditionnement : Boîte de 1 flacon muni d'un bouchon et d'une capsule</w:t>
      </w:r>
    </w:p>
    <w:p>
      <w:pPr>
        <w:pStyle w:val="ListBullet"/>
      </w:pPr>
      <w:r>
        <w:t>Liste : Liste I</w:t>
      </w:r>
    </w:p>
    <w:p>
      <w:pPr>
        <w:pStyle w:val="ListBullet"/>
      </w:pPr>
      <w:r>
        <w:t xml:space="preserve">Statut : </w:t>
      </w:r>
      <w:r>
        <w:rPr>
          <w:b/>
        </w:rPr>
        <w:t>ACTIF</w:t>
      </w:r>
      <w:r/>
    </w:p>
    <w:p>
      <w:pPr>
        <w:pStyle w:val="ListBullet"/>
      </w:pPr>
      <w:r/>
      <w:r>
        <w:rPr>
          <w:b/>
        </w:rPr>
        <w:t>OCTAGAM</w:t>
      </w:r>
      <w:r>
        <w:t xml:space="preserve"> (OCTAPHARMA PHARMAZEUTIKA PRODUKTIONSGES.M.B.H.)</w:t>
      </w:r>
    </w:p>
    <w:p>
      <w:pPr>
        <w:pStyle w:val="ListBullet"/>
      </w:pPr>
      <w:r>
        <w:t>Forme : Solution pour perfusion IV</w:t>
      </w:r>
    </w:p>
    <w:p>
      <w:pPr>
        <w:pStyle w:val="ListBullet"/>
      </w:pPr>
      <w:r>
        <w:t>Dosage : 50 mg/mL (soit 2,5 g/50 mL, 5 g/100 mL, 10 g/200 mL)</w:t>
      </w:r>
    </w:p>
    <w:p>
      <w:pPr>
        <w:pStyle w:val="ListBullet"/>
      </w:pPr>
      <w:r>
        <w:t>Conditionnements : Boîte de 1 flacon de 50 mL (2,5 g), 1 flacon de 100 mL (5 g), 1 flacon de 200 mL (10 g)</w:t>
      </w:r>
    </w:p>
    <w:p>
      <w:pPr>
        <w:pStyle w:val="ListBullet"/>
      </w:pPr>
      <w:r>
        <w:t>Liste : Liste I</w:t>
      </w:r>
    </w:p>
    <w:p>
      <w:pPr>
        <w:pStyle w:val="ListBullet"/>
      </w:pPr>
      <w:r>
        <w:t xml:space="preserve">Statut : </w:t>
      </w:r>
      <w:r>
        <w:rPr>
          <w:b/>
        </w:rPr>
        <w:t>ACTIF</w:t>
      </w:r>
      <w:r/>
    </w:p>
    <w:p>
      <w:pPr>
        <w:pStyle w:val="ListBullet"/>
      </w:pPr>
      <w:r/>
      <w:r>
        <w:rPr>
          <w:b/>
        </w:rPr>
        <w:t>TELGENE</w:t>
      </w:r>
      <w:r>
        <w:t xml:space="preserve"> (LFB BIOMEDICAMENTS)</w:t>
      </w:r>
    </w:p>
    <w:p>
      <w:pPr>
        <w:pStyle w:val="ListBullet"/>
      </w:pPr>
      <w:r>
        <w:t>Forme : Poudre + solvant pour préparation injectable pour perfusion</w:t>
      </w:r>
    </w:p>
    <w:p>
      <w:pPr>
        <w:pStyle w:val="ListBullet"/>
      </w:pPr>
      <w:r>
        <w:t>Dosage : 50 mg/mL après reconstitution (soit 2,5 g/50 mL, 5 g/100 mL, 10 g/200 mL)</w:t>
      </w:r>
    </w:p>
    <w:p>
      <w:pPr>
        <w:pStyle w:val="ListBullet"/>
      </w:pPr>
      <w:r>
        <w:t>Conditionnements : Flacon de poudre de 5 g ou de 10 g et flacon de solvant de 100 mL ou 200 mL avec système de transfert muni d'un évent à filtre stérilisant</w:t>
      </w:r>
    </w:p>
    <w:p>
      <w:pPr>
        <w:pStyle w:val="ListBullet"/>
      </w:pPr>
      <w:r>
        <w:t>Liste : Liste I</w:t>
      </w:r>
    </w:p>
    <w:p>
      <w:pPr>
        <w:pStyle w:val="ListBullet"/>
      </w:pPr>
      <w:r>
        <w:t xml:space="preserve">Statut : </w:t>
      </w:r>
      <w:r>
        <w:rPr>
          <w:b/>
        </w:rPr>
        <w:t>ACTIF</w:t>
      </w:r>
      <w:r/>
    </w:p>
    <w:p>
      <w:r>
        <w:t>Les sept spécialités sont des IgIV polyvalentes d'origine humaine, obtenues par fractionnement Cohn-Oncley à partir de plasma de donneurs sains. Les spécialités à 100 mg/mL (KIOVIG, PRIVIGEN) permettent un volume de perfusion réduit de moitié par rapport aux spécialités à 50 mg/mL (FLEBOGAMMA DIF, CLAIRYG, INTRATECT, OCTAGAM, TELGENE) — avantage chez les patients à risque d'hypervolémie (insuffisance cardiaque, sujet âgé). Le TELGENE est l'unique spécialité en poudre lyophilisée à reconstituer, ce qui en facilite le stockage et le transport (pas de chaîne du froid stricte avant reconstitution), mais nécessite une étape de préparation pharmaceutique. Les spécialités à 100 mg/mL contiennent généralement une teneur en IgA très faible (&lt; 0,05 mg/mL pour KIOVIG) — à privilégier en cas de déficit en IgA avec anticorps anti-IgA (risque de choc anaphylactique).</w:t>
      </w:r>
    </w:p>
    <w:p>
      <w:r/>
      <w:r>
        <w:rPr>
          <w:b/>
        </w:rPr>
        <w:t>Sous-classe et Mécanisme d'action :</w:t>
      </w:r>
      <w:r/>
    </w:p>
    <w:p>
      <w:pPr>
        <w:pStyle w:val="ListBullet"/>
      </w:pPr>
      <w:r>
        <w:t>Sous-classe : Immunoglobulines humaines normales par voie intraveineuse (IgIV) — produit sanguin labile dérivé ; immunomodulateur et substitutif. Positionnement : traitement de substitution des déficits immunitaires humoraux primitifs (agammaglobulinémie de Bruton X-liée, déficit immunitaire commun variable DICV, hypogammaglobulinémie transitoire du nourrisson) et secondaires (LLC, myélome multiple, post-greffe de CSH, néoplasies hématologiques sous immunosuppresseurs) ; traitement immunomodulateur des maladies auto-immunes neurologiques (Guillain-Barré, CIDP, myasthénie autoimmune sévère, syndrome de Lambert-Eaton), hématologiques (ITP, anémie hémolytique auto-immune, neutropénie auto-immune), dermatologiques (kawasaki, dermatomyosiate réfractaire, pemphigoïde bulleuse) et infectieologiques (septicémies toxiniques, syndrome de choc toxique staphylococcique).</w:t>
      </w:r>
    </w:p>
    <w:p>
      <w:pPr>
        <w:pStyle w:val="ListBullet"/>
      </w:pPr>
      <w:r>
        <w:t>Mécanisme d'action :</w:t>
      </w:r>
    </w:p>
    <w:p>
      <w:pPr>
        <w:pStyle w:val="ListBullet"/>
      </w:pPr>
      <w:r/>
      <w:r>
        <w:rPr>
          <w:b/>
        </w:rPr>
        <w:t>Substitution</w:t>
      </w:r>
      <w:r>
        <w:t xml:space="preserve"> : apport d'IgG polyvalentes (≥ 95 %) dirigées contre de multiples antigènes viraux et bactériens, restaurant une immunité humorale fonctionnelle chez les patients déficitaires. Demi-vie 21-30 jours, similaire aux IgG endogènes.</w:t>
      </w:r>
    </w:p>
    <w:p>
      <w:pPr>
        <w:pStyle w:val="ListBullet"/>
      </w:pPr>
      <w:r/>
      <w:r>
        <w:rPr>
          <w:b/>
        </w:rPr>
        <w:t>Immunomodulation</w:t>
      </w:r>
      <w:r>
        <w:t xml:space="preserve"> (en neurologie auto-immune) — mécanismes multiples et complémentaires :</w:t>
      </w:r>
    </w:p>
    <w:p>
      <w:pPr>
        <w:pStyle w:val="ListNumber"/>
      </w:pPr>
      <w:r/>
      <w:r>
        <w:rPr>
          <w:b/>
        </w:rPr>
        <w:t>Saturation du récepteur néonatal Fc (FcRn)</w:t>
      </w:r>
      <w:r>
        <w:t xml:space="preserve"> — le FcRn est un récepteur intracellulaire (MHC de classe I-like, hétérodimère α-chain + β2-microglobuline) exprimé par les cellules endothéliales et les macrophages, qui recycle les IgG (et les auto-anticorps pathogènes) en les soustrayant à la dégradation lysosomale — expliquant la longue demi-vie des IgG endogènes (21-30 jours). Les IgIV perfusées, en saturant massivement le FcRn, accélèrent la dégradation des auto-anticorps pathogènes (anti-AChR myasthénie, anti-gangliosides Guillain-Barré, anti-MAG CIDP) — d'où une baisse rapide (1-2 semaines) du taux d'auto-anticorps circulants. C'est le mécanisme dominant à doses immunomodulatrices (≥ 1-2 g/kg).</w:t>
      </w:r>
    </w:p>
    <w:p>
      <w:pPr>
        <w:pStyle w:val="ListNumber"/>
      </w:pPr>
      <w:r/>
      <w:r>
        <w:rPr>
          <w:b/>
        </w:rPr>
        <w:t>Neutralisation des auto-anticorps par anti-idiotypes</w:t>
      </w:r>
      <w:r>
        <w:t xml:space="preserve"> — les IgIV contiennent des anticorps anti-idiotypes (dirigés contre le site de liaison des auto-anticorps) qui neutralisent les auto-anticorps pathogènes.</w:t>
      </w:r>
    </w:p>
    <w:p>
      <w:pPr>
        <w:pStyle w:val="ListNumber"/>
      </w:pPr>
      <w:r/>
      <w:r>
        <w:rPr>
          <w:b/>
        </w:rPr>
        <w:t>Blocage des récepteurs Fcγ des macrophages</w:t>
      </w:r>
      <w:r>
        <w:t xml:space="preserve"> (FcγRI/CD64, FcγRII/CD32, FcγRIII/CD16) — les IgIV saturent les récepteurs FcγR des macrophages, empêchant la reconnaissance et la phagocytose des cellules cibles opsonisées (plaquettes dans l'ITP, motoneurones dans la myasthénie, cellules de Schwann dans le Guillain-Barré).</w:t>
      </w:r>
    </w:p>
    <w:p>
      <w:pPr>
        <w:pStyle w:val="ListNumber"/>
      </w:pPr>
      <w:r/>
      <w:r>
        <w:rPr>
          <w:b/>
        </w:rPr>
        <w:t>Modulation de la cascade du complément</w:t>
      </w:r>
      <w:r>
        <w:t xml:space="preserve"> — les IgIV scavengent les composants C3b et C4b, empêchant la formation du complexe d'attaque membranaire (MAC, C5b-9) qui lyse les cellules cibles.</w:t>
      </w:r>
    </w:p>
    <w:p>
      <w:pPr>
        <w:pStyle w:val="ListNumber"/>
      </w:pPr>
      <w:r/>
      <w:r>
        <w:rPr>
          <w:b/>
        </w:rPr>
        <w:t>Induction de lymphocytes T régulateurs (Treg)</w:t>
      </w:r>
      <w:r>
        <w:t xml:space="preserve"> — les IgIV augmentent l'expression de FoxP3 et la fonction suppressive des Treg, restaurant la tolérance immune.</w:t>
      </w:r>
    </w:p>
    <w:p>
      <w:pPr>
        <w:pStyle w:val="ListNumber"/>
      </w:pPr>
      <w:r/>
      <w:r>
        <w:rPr>
          <w:b/>
        </w:rPr>
        <w:t>Neutralisation des superantigènes bactériens</w:t>
      </w:r>
      <w:r>
        <w:t xml:space="preserve"> (toxine TSST-1 du staphylocoque, toxines streptococciques) — utile dans les chocs septiques toxiniques.</w:t>
      </w:r>
    </w:p>
    <w:p>
      <w:pPr>
        <w:pStyle w:val="ListNumber"/>
      </w:pPr>
      <w:r/>
      <w:r>
        <w:rPr>
          <w:b/>
        </w:rPr>
        <w:t>Modulation de la maturation des cellules dendritiques</w:t>
      </w:r>
      <w:r>
        <w:t xml:space="preserve"> et de la présentation antigénique.</w:t>
      </w:r>
    </w:p>
    <w:p>
      <w:pPr>
        <w:pStyle w:val="ListNumber"/>
      </w:pPr>
      <w:r/>
      <w:r>
        <w:rPr>
          <w:b/>
        </w:rPr>
        <w:t>Inhibition de l'apoptose cellulaire</w:t>
      </w:r>
      <w:r>
        <w:t xml:space="preserve"> (modulation Fas-FasL).</w:t>
      </w:r>
    </w:p>
    <w:p>
      <w:pPr>
        <w:pStyle w:val="ListBullet"/>
      </w:pPr>
      <w:r>
        <w:t>Distribution pharmacocinétique : Après perfusion IV, les IgG diffusent dans le compartiment vasculaire (60 %), puis équilibrent avec le compartiment extravasculaire (40 %) en 24-48 h. Demi-vie d'élimination 21-30 jours (proche des IgG endogènes), métabolisme par protéolyse lysosomale dans les macrophages et cellules endothéliales (via FcRn saturé en cas de dose immunomodulatrice). Pas de métabolisme hépatique CYP450 — pas d'interactions médicamenteuses classiques. Passage transplacentaire (IgG1 majoritaire — d'où l'immunité passive néonatale). Passage dans le lait maternel (traces). Diffusion limitée dans le LCR (&lt; 1 % du taux plasmatique) — inefficace sur les auto-anticorps intrathécaux (justifiant le recours aux échanges plasmatiques ou rituximab intrathécal en cas de maladie à anticorps anti-NMDA réfractaire).</w:t>
      </w:r>
    </w:p>
    <w:p>
      <w:r/>
      <w:r>
        <w:rPr>
          <w:b/>
        </w:rPr>
        <w:t>Profil Pharmacologique :</w:t>
      </w:r>
      <w:r/>
    </w:p>
    <w:p>
      <w:pPr>
        <w:pStyle w:val="ListBullet"/>
      </w:pPr>
      <w:r>
        <w:t>Indications neurologiques :</w:t>
      </w:r>
    </w:p>
    <w:p>
      <w:pPr>
        <w:pStyle w:val="ListBullet"/>
      </w:pPr>
      <w:r/>
      <w:r>
        <w:rPr>
          <w:b/>
        </w:rPr>
        <w:t>Syndrome de Guillain-Barré</w:t>
      </w:r>
      <w:r>
        <w:t xml:space="preserve"> (SGB, polyradiculonévrite aiguë inflammatoire) : IgIV 0,4 g/kg/jour × 5 jours (soit 2 g/kg total), en première intention selon les recommandations EAN/PNS 2019, en alternative au plasma-échange. Efficacité démontrée sur la récupération motrice et la mortalité (essai van der Meché 1992 NEJM). L'efficacité est maximale si administré dans les 2-4 premières semaines après le début des symptômes. Chez l'adulte, supériorité des IgIV sur le plasma-échange en termes de tolérance et de facilité d'administration. Chez l'enfant, IgIV à la même dose en cas d'atteinte sévère (déambulation impossible ou atteinte respiratoire).</w:t>
      </w:r>
    </w:p>
    <w:p>
      <w:pPr>
        <w:pStyle w:val="ListBullet"/>
      </w:pPr>
      <w:r/>
      <w:r>
        <w:rPr>
          <w:b/>
        </w:rPr>
        <w:t>Polyradiculonévrite chronique inflammatoire démyélinisante (CIDP)</w:t>
      </w:r>
      <w:r>
        <w:t xml:space="preserve"> : IgIV 2 g/kg en dose de charge (répartis sur 2-5 jours), puis 1 g/kg toutes les 3 semaines en entretien (selon EAN/PNS 2021). Alternative à la corticothérapie au long cours (effets indésirables cumulatifs) et au plasma-échange.</w:t>
      </w:r>
    </w:p>
    <w:p>
      <w:pPr>
        <w:pStyle w:val="ListBullet"/>
      </w:pPr>
      <w:r/>
      <w:r>
        <w:rPr>
          <w:b/>
        </w:rPr>
        <w:t>Myasthénie autoimmune sévère</w:t>
      </w:r>
      <w:r>
        <w:t xml:space="preserve"> ou en poussée (myasthénic crisis) : IgIV 0,4 g/kg/jour × 5 jours (soit 2 g/kg total), en alternative au plasma-échange selon MGFA 2020. Indications : exacerbation aiguë sévère (atteinte respiratoire ou bulbaire), préparation à la chirurgie thymectomique chez patient mal équilibré, période post-partum, corticorésistance.</w:t>
      </w:r>
    </w:p>
    <w:p>
      <w:pPr>
        <w:pStyle w:val="ListBullet"/>
      </w:pPr>
      <w:r/>
      <w:r>
        <w:rPr>
          <w:b/>
        </w:rPr>
        <w:t>Syndrome de Lambert-Eaton</w:t>
      </w:r>
      <w:r>
        <w:t xml:space="preserve"> paraneoplasique : IgIV 0,4 g/kg/jour × 5 jours en cas d'échec de l'amifampridine (3,4-DAP, non disponible en Algérie) ou de la corticothérapie. Efficacité transitoire (3-6 semaines).</w:t>
      </w:r>
    </w:p>
    <w:p>
      <w:pPr>
        <w:pStyle w:val="ListBullet"/>
      </w:pPr>
      <w:r/>
      <w:r>
        <w:rPr>
          <w:b/>
        </w:rPr>
        <w:t>Maladie de Kawasaki</w:t>
      </w:r>
      <w:r>
        <w:t xml:space="preserve"> (enfant) : IgIV 2 g/kg en dose unique + aspirine 30-50 mg/kg/j, dans les 10 premiers jours — prévention des anévrismes coronaires.</w:t>
      </w:r>
    </w:p>
    <w:p>
      <w:pPr>
        <w:pStyle w:val="ListBullet"/>
      </w:pPr>
      <w:r/>
      <w:r>
        <w:rPr>
          <w:b/>
        </w:rPr>
        <w:t>Polyradiculonévrites avec anticorps anti-MAG</w:t>
      </w:r>
      <w:r>
        <w:t xml:space="preserve"> : IgIV 0,4 g/kg/j × 5 jours en cas de déficit moteur significatif — efficacité variable.</w:t>
      </w:r>
    </w:p>
    <w:p>
      <w:pPr>
        <w:pStyle w:val="ListBullet"/>
      </w:pPr>
      <w:r/>
      <w:r>
        <w:rPr>
          <w:b/>
        </w:rPr>
        <w:t>Myopathies inflammatoires</w:t>
      </w:r>
      <w:r>
        <w:t xml:space="preserve"> (dermatomyosiate, polymyosite) réfractaires à la corticothérapie : IgIV 2 g/kg en cure mensuelle × 3-6 mois.</w:t>
      </w:r>
    </w:p>
    <w:p>
      <w:pPr>
        <w:pStyle w:val="ListBullet"/>
      </w:pPr>
      <w:r>
        <w:t>Indications non neurologiques :</w:t>
      </w:r>
    </w:p>
    <w:p>
      <w:pPr>
        <w:pStyle w:val="ListBullet"/>
      </w:pPr>
      <w:r>
        <w:t>Déficits immunitaires primitifs humoraux (agammaglobulinémie de Bruton X-liée, DICV, hypogammaglobulinémie transitoire du nourrisson) : IgIV 0,4-0,6 g/kg toutes les 3-4 semaines en substitution à vie.</w:t>
      </w:r>
    </w:p>
    <w:p>
      <w:pPr>
        <w:pStyle w:val="ListBullet"/>
      </w:pPr>
      <w:r>
        <w:t>Déficits immunitaires secondaires (LLC, myélome multiple avec hypogammaglobulinémie et infections récidivantes, post-greffe de CSH) : IgIV 0,4 g/kg toutes 3-4 semaines.</w:t>
      </w:r>
    </w:p>
    <w:p>
      <w:pPr>
        <w:pStyle w:val="ListBullet"/>
      </w:pPr>
      <w:r>
        <w:t>Purpura thrombopénique immunologique (ITP) de l'adulte et de l'enfant : IgIV 0,4-1 g/kg/jour × 2-5 jours selon la sévérité.</w:t>
      </w:r>
    </w:p>
    <w:p>
      <w:pPr>
        <w:pStyle w:val="ListBullet"/>
      </w:pPr>
      <w:r>
        <w:t>Anémie hémolytique auto-immune, neutropénie auto-immune.</w:t>
      </w:r>
    </w:p>
    <w:p>
      <w:pPr>
        <w:pStyle w:val="ListBullet"/>
      </w:pPr>
      <w:r>
        <w:t>Dermatomyosite réfractaire, pemphigoïde bulleuse, kawasaki.</w:t>
      </w:r>
    </w:p>
    <w:p>
      <w:pPr>
        <w:pStyle w:val="ListBullet"/>
      </w:pPr>
      <w:r>
        <w:t>Contre-indications :</w:t>
      </w:r>
    </w:p>
    <w:p>
      <w:pPr>
        <w:pStyle w:val="ListBullet"/>
      </w:pPr>
      <w:r/>
      <w:r>
        <w:rPr>
          <w:b/>
        </w:rPr>
        <w:t>Déficit en IgA avec anticorps anti-IgA</w:t>
      </w:r>
      <w:r>
        <w:t xml:space="preserve"> (risque de choc anaphylactique à la perfusion — privilégier les IgIV à très faible teneur en IgA, comme KIOVIG &lt; 0,05 mg/mL d'IgA).</w:t>
      </w:r>
    </w:p>
    <w:p>
      <w:pPr>
        <w:pStyle w:val="ListBullet"/>
      </w:pPr>
      <w:r/>
      <w:r>
        <w:rPr>
          <w:b/>
        </w:rPr>
        <w:t>Insuffisance rénale aiguë</w:t>
      </w:r>
      <w:r>
        <w:t xml:space="preserve"> (IRA) ou chronique sévère (ClCr &lt; 30 mL/min) — risque d'aggravation par tubulopathie osmotique (IgIV contenant des sucres stabilisants comme le saccharose, le maltose, le sorbitol — privilégier les IgIV sans sucres : KIOVIG contient de la glycine, PRIVIGEN contient de la L-proline — sans saccharose).</w:t>
      </w:r>
    </w:p>
    <w:p>
      <w:pPr>
        <w:pStyle w:val="ListBullet"/>
      </w:pPr>
      <w:r/>
      <w:r>
        <w:rPr>
          <w:b/>
        </w:rPr>
        <w:t>Hyperviscosité sanguine</w:t>
      </w:r>
      <w:r>
        <w:t xml:space="preserve"> (cryoglobulinémie, hypergammaglobulinémie, Waldenström) — risque de thrombose (AVC ischémique, infarctus du myocarde, embolie pulmonaire).</w:t>
      </w:r>
    </w:p>
    <w:p>
      <w:pPr>
        <w:pStyle w:val="ListBullet"/>
      </w:pPr>
      <w:r/>
      <w:r>
        <w:rPr>
          <w:b/>
        </w:rPr>
        <w:t>Insuffisance cardiaque sévère</w:t>
      </w:r>
      <w:r>
        <w:t xml:space="preserve"> (NYHA III-IV) — risque de surcharge volémique.</w:t>
      </w:r>
    </w:p>
    <w:p>
      <w:pPr>
        <w:pStyle w:val="ListBullet"/>
      </w:pPr>
      <w:r/>
      <w:r>
        <w:rPr>
          <w:b/>
        </w:rPr>
        <w:t>Antécédents thrombo-emboliques</w:t>
      </w:r>
      <w:r>
        <w:t xml:space="preserve"> (AVC, IDM, embolie pulmonaire) — CI relative (privilégier faible concentration, perfusion lente, hydratation).</w:t>
      </w:r>
    </w:p>
    <w:p>
      <w:pPr>
        <w:pStyle w:val="ListBullet"/>
      </w:pPr>
      <w:r/>
      <w:r>
        <w:rPr>
          <w:b/>
        </w:rPr>
        <w:t>Allaitement</w:t>
      </w:r>
      <w:r>
        <w:t xml:space="preserve"> : non CI (compatible selon CRAT).</w:t>
      </w:r>
    </w:p>
    <w:p>
      <w:pPr>
        <w:pStyle w:val="ListBullet"/>
      </w:pPr>
      <w:r/>
      <w:r>
        <w:rPr>
          <w:b/>
        </w:rPr>
        <w:t>Allergie aux IgIV ou à l'un des excipients</w:t>
      </w:r>
      <w:r>
        <w:t xml:space="preserve"> (rare).</w:t>
      </w:r>
    </w:p>
    <w:p>
      <w:pPr>
        <w:pStyle w:val="ListBullet"/>
      </w:pPr>
      <w:r>
        <w:t>Effets Indésirables :</w:t>
      </w:r>
    </w:p>
    <w:p>
      <w:pPr>
        <w:pStyle w:val="ListBullet"/>
      </w:pPr>
      <w:r/>
      <w:r>
        <w:rPr>
          <w:b/>
        </w:rPr>
        <w:t>Réactions liées à la perfusion</w:t>
      </w:r>
      <w:r>
        <w:t xml:space="preserve"> (10-30 %) : céphalées, frissons, fièvre, myalgies, arthralgies, nausées, vomissements, flush, tachycardie, hypotension — habituellement modérées et liées à la vitesse de perfusion (résolution en réduisant le débit).</w:t>
      </w:r>
    </w:p>
    <w:p>
      <w:pPr>
        <w:pStyle w:val="ListBullet"/>
      </w:pPr>
      <w:r/>
      <w:r>
        <w:rPr>
          <w:b/>
        </w:rPr>
        <w:t>Réactions allergiques</w:t>
      </w:r>
      <w:r>
        <w:t xml:space="preserve"> (1-5 %) : rash, urticaire, prurit, exceptionnellement choc anaphylactique (surtout en cas de déficit en IgA avec anticorps anti-IgA).</w:t>
      </w:r>
    </w:p>
    <w:p>
      <w:pPr>
        <w:pStyle w:val="ListBullet"/>
      </w:pPr>
      <w:r/>
      <w:r>
        <w:rPr>
          <w:b/>
        </w:rPr>
        <w:t>Céphalées sévères</w:t>
      </w:r>
      <w:r>
        <w:t xml:space="preserve"> (5-15 %) : pouvant mimer une méningite aseptique (à distinguer — ponction lombaire si doute).</w:t>
      </w:r>
    </w:p>
    <w:p>
      <w:pPr>
        <w:pStyle w:val="ListBullet"/>
      </w:pPr>
      <w:r/>
      <w:r>
        <w:rPr>
          <w:b/>
        </w:rPr>
        <w:t>Méningite aseptique</w:t>
      </w:r>
      <w:r>
        <w:t xml:space="preserve"> (1-5 %) : 24-48 h après la perfusion, pléiocytose LCR (lymphocytaire), résolution spontanée 3-5 jours.</w:t>
      </w:r>
    </w:p>
    <w:p>
      <w:pPr>
        <w:pStyle w:val="ListBullet"/>
      </w:pPr>
      <w:r/>
      <w:r>
        <w:rPr>
          <w:b/>
        </w:rPr>
        <w:t>Effets rénaux</w:t>
      </w:r>
      <w:r>
        <w:t xml:space="preserve"> (1-5 %, mais potentiellement graves) : insuffisance rénale aiguë (IRA) par tubulopathie osmotique (surtout avec IgIV contenant du saccharose — OCTAGAM ancien, FLEBOGAMMA DIF, INTRATECT — privilégier KIOVIG, PRIVIGEN en cas d'insuffisance rénale préexistante), néphropathie à IgA aggravée, syndrome néphrotique transitoire. Risque majoré chez le sujet âgé, diabétique, hypovolémique, sous IEC/ARA2, sous AINS.</w:t>
      </w:r>
    </w:p>
    <w:p>
      <w:pPr>
        <w:pStyle w:val="ListBullet"/>
      </w:pPr>
      <w:r/>
      <w:r>
        <w:rPr>
          <w:b/>
        </w:rPr>
        <w:t>Effets thrombo-emboliques</w:t>
      </w:r>
      <w:r>
        <w:t xml:space="preserve"> (0,5-3 %, mais potentiellement vitaux) : AVC ischémique, infarctus du myocarde, embolie pulmonaire, thrombose veineuse profonde, infarctus rénal — par augmentation de la viscosité sanguine (les IgIV augmentent la viscosité plasmatique de 10-30 %). Risque majoré chez le sujet âgé, avec hyperviscosité préexistante, hypercholestérolémie, antécédents thrombotiques, immobilisation prolongée, dose élevée (≥ 2 g/kg), perfusion rapide.</w:t>
      </w:r>
    </w:p>
    <w:p>
      <w:pPr>
        <w:pStyle w:val="ListBullet"/>
      </w:pPr>
      <w:r/>
      <w:r>
        <w:rPr>
          <w:b/>
        </w:rPr>
        <w:t>Effets hématologiques</w:t>
      </w:r>
      <w:r>
        <w:t xml:space="preserve"> (1-5 %) : anémie hémolytique (surtout chez les patients de groupe sanguin A, B ou AB — hémolyse par anticorps anti-A ou anti-B présents dans les IgIV ; isohémagglutinine), neutropénie transitoire, thrombopénie paradoxale.</w:t>
      </w:r>
    </w:p>
    <w:p>
      <w:pPr>
        <w:pStyle w:val="ListBullet"/>
      </w:pPr>
      <w:r/>
      <w:r>
        <w:rPr>
          <w:b/>
        </w:rPr>
        <w:t>Effets cutanés</w:t>
      </w:r>
      <w:r>
        <w:t xml:space="preserve"> (1-5 %) : rash, urticaire, prurit, eczéma, exceptionnellement érythrodermie.</w:t>
      </w:r>
    </w:p>
    <w:p>
      <w:pPr>
        <w:pStyle w:val="ListBullet"/>
      </w:pPr>
      <w:r/>
      <w:r>
        <w:rPr>
          <w:b/>
        </w:rPr>
        <w:t>Effets respiratoires</w:t>
      </w:r>
      <w:r>
        <w:t xml:space="preserve"> (0,5-2 %) : bronchospasme, dyspnée, œdème pulmonaire de surcharge (sujet âgé, insuffisant cardiaque), TRALI (transfusion-related acute lung injury — exceptionnel).</w:t>
      </w:r>
    </w:p>
    <w:p>
      <w:pPr>
        <w:pStyle w:val="ListBullet"/>
      </w:pPr>
      <w:r/>
      <w:r>
        <w:rPr>
          <w:b/>
        </w:rPr>
        <w:t>Effets hépatiques</w:t>
      </w:r>
      <w:r>
        <w:t xml:space="preserve"> (1-3 %) : élévation transitoire des transaminases.</w:t>
      </w:r>
    </w:p>
    <w:p>
      <w:pPr>
        <w:pStyle w:val="ListBullet"/>
      </w:pPr>
      <w:r/>
      <w:r>
        <w:rPr>
          <w:b/>
        </w:rPr>
        <w:t>Effets neurologiques</w:t>
      </w:r>
      <w:r>
        <w:t xml:space="preserve"> (1-3 %) : céphalées, vertiges, tremblements, exceptionnellement convulsions (surtout chez l'enfant hypovolémique, perfusion rapide).</w:t>
      </w:r>
    </w:p>
    <w:p>
      <w:pPr>
        <w:pStyle w:val="ListBullet"/>
      </w:pPr>
      <w:r/>
      <w:r>
        <w:rPr>
          <w:b/>
        </w:rPr>
        <w:t>Réactions locales</w:t>
      </w:r>
      <w:r>
        <w:t xml:space="preserve"> au site de perfusion : douleur, rougeur, induration.</w:t>
      </w:r>
    </w:p>
    <w:p>
      <w:pPr>
        <w:pStyle w:val="ListBullet"/>
      </w:pPr>
      <w:r/>
      <w:r>
        <w:rPr>
          <w:b/>
        </w:rPr>
        <w:t>Effets à long terme</w:t>
      </w:r>
      <w:r>
        <w:t xml:space="preserve"> (substitution chronique) : développement d'anticorps anti-IgA (en cas de déficit en IgA sous-jacent), transmission exceptionnelle d'agents infectieux (virus émergents — parvovirus B19, prions — risque théorique non documenté avec les procédés modernes).</w:t>
      </w:r>
    </w:p>
    <w:p>
      <w:r/>
      <w:r>
        <w:rPr>
          <w:b/>
        </w:rPr>
        <w:t>Prévention et Gestion des Effets Indésirables :</w:t>
      </w:r>
      <w:r/>
    </w:p>
    <w:p>
      <w:pPr>
        <w:pStyle w:val="ListBullet"/>
      </w:pPr>
      <w:r>
        <w:t>Mesures Préventives :</w:t>
      </w:r>
    </w:p>
    <w:p>
      <w:pPr>
        <w:pStyle w:val="ListBullet"/>
      </w:pPr>
      <w:r/>
      <w:r>
        <w:rPr>
          <w:b/>
        </w:rPr>
        <w:t>Bilan pré-thérapeutique</w:t>
      </w:r>
      <w:r>
        <w:t xml:space="preserve"> : groupe sanguin (Rhésus), recherche d'anticorps anti-IgA (en cas de déficit en IgA), fonction rénale (créatininémie, clairance créatinine, protéinurie), bilan d'hémostase (NFS, plaquettes, TP, TCA), fonction hépatique (ALAT, ASAT, γ-GT, PAL, bilirubine), ECG (à la recherche de trouble du rythme ou ischémie), examen neurologique de base, β-hCG chez la femme en âge de procréer, hydratation préalable (1-2 L de sérum physiologique IV avant la perfusion chez l'adulte, 10-20 mL/kg chez l'enfant).</w:t>
      </w:r>
    </w:p>
    <w:p>
      <w:pPr>
        <w:pStyle w:val="ListBullet"/>
      </w:pPr>
      <w:r/>
      <w:r>
        <w:rPr>
          <w:b/>
        </w:rPr>
        <w:t>Surveillance pendant la perfusion</w:t>
      </w:r>
      <w:r>
        <w:t xml:space="preserve"> : FC, TA, SpO2, température toutes les 15-30 min pendant la première heure, puis toutes les heures ; débit urinaire horaire ; état neurologique.</w:t>
      </w:r>
    </w:p>
    <w:p>
      <w:pPr>
        <w:pStyle w:val="ListBullet"/>
      </w:pPr>
      <w:r/>
      <w:r>
        <w:rPr>
          <w:b/>
        </w:rPr>
        <w:t>Hydratation IV préalable</w:t>
      </w:r>
      <w:r>
        <w:t xml:space="preserve"> : 1-2 L de sérum physiologique chez l'adulte, 10-20 mL/kg chez l'enfant, pour prévenir l'IRA tubulaire osmotique.</w:t>
      </w:r>
    </w:p>
    <w:p>
      <w:pPr>
        <w:pStyle w:val="ListBullet"/>
      </w:pPr>
      <w:r/>
      <w:r>
        <w:rPr>
          <w:b/>
        </w:rPr>
        <w:t>Choix de la spécialité</w:t>
      </w:r>
      <w:r>
        <w:t xml:space="preserve"> : en cas d'insuffisance rénale préexistante, privilégier KIOVIG (glycine) ou PRIVIGEN (L-proline) — sans saccharose ni sorbitol. En cas de déficit en IgA avec anticorps anti-IgA, privilégier KIOVIG (IgA &lt; 0,05 mg/mL). En cas de sujet âgé ou à risque thrombotique, privilégier 50 mg/mL avec perfusion lente.</w:t>
      </w:r>
    </w:p>
    <w:p>
      <w:pPr>
        <w:pStyle w:val="ListBullet"/>
      </w:pPr>
      <w:r/>
      <w:r>
        <w:rPr>
          <w:b/>
        </w:rPr>
        <w:t>Vitesse de perfusion</w:t>
      </w:r>
      <w:r>
        <w:t xml:space="preserve"> : débuter à 0,5 mL/kg/h (30 gtt/min adulte), augmenter par paliers de 0,5 mL/kg/h toutes les 30 min jusqu'à débit maximum de 4-6 mL/kg/h selon la spécialité et la tolérance. Réduction du débit en cas de céphalées, frissons, hypotension.</w:t>
      </w:r>
    </w:p>
    <w:p>
      <w:pPr>
        <w:pStyle w:val="ListBullet"/>
      </w:pPr>
      <w:r/>
      <w:r>
        <w:rPr>
          <w:b/>
        </w:rPr>
        <w:t>Prémédication</w:t>
      </w:r>
      <w:r>
        <w:t xml:space="preserve"> : paracétamol 1 g et antihistaminique (cetirizine 10 mg) 30 min avant la perfusion en cas d'antécédents de réactions à la perfusion.</w:t>
      </w:r>
    </w:p>
    <w:p>
      <w:pPr>
        <w:pStyle w:val="ListBullet"/>
      </w:pPr>
      <w:r/>
      <w:r>
        <w:rPr>
          <w:b/>
        </w:rPr>
        <w:t>Surveillance post-perfusion</w:t>
      </w:r>
      <w:r>
        <w:t xml:space="preserve"> : FC, TA, diurèse, état neurologique pendant 2-6 h (selon la dose). Bilan biologique à 24-48 h (créatinine, transaminases, NFS).</w:t>
      </w:r>
    </w:p>
    <w:p>
      <w:pPr>
        <w:pStyle w:val="ListBullet"/>
      </w:pPr>
      <w:r/>
      <w:r>
        <w:rPr>
          <w:b/>
        </w:rPr>
        <w:t>Surveillance prolongée</w:t>
      </w:r>
      <w:r>
        <w:t xml:space="preserve"> : chez le sujet âgé, diabétique, insuffisant rénal, cardiaque — surveillance renforcée (créatininémie à J2, J7, J14 — recherche d'IRA retardée ; ECG à J1-J3 — recherche de trouble du rythme ou ischémie ; examen neurologique — recherche de AVC).</w:t>
      </w:r>
    </w:p>
    <w:p>
      <w:pPr>
        <w:pStyle w:val="ListBullet"/>
      </w:pPr>
      <w:r>
        <w:t>Conduite à Tenir :</w:t>
      </w:r>
    </w:p>
    <w:p>
      <w:pPr>
        <w:pStyle w:val="ListBullet"/>
      </w:pPr>
      <w:r/>
      <w:r>
        <w:rPr>
          <w:b/>
        </w:rPr>
        <w:t>Réaction à la perfusion</w:t>
      </w:r>
      <w:r>
        <w:t xml:space="preserve"> (frissons, fièvre, céphalées) : ralentir le débit de perfusion de moitié, paracétamol 1 g IV, antihistaminique (cetirizine 10 mg IV), surveillance 30 min ; reprise à débit réduit si tolérance.</w:t>
      </w:r>
    </w:p>
    <w:p>
      <w:pPr>
        <w:pStyle w:val="ListBullet"/>
      </w:pPr>
      <w:r/>
      <w:r>
        <w:rPr>
          <w:b/>
        </w:rPr>
        <w:t>Hypotension sévère</w:t>
      </w:r>
      <w:r>
        <w:t xml:space="preserve"> : arrêt transitoire de la perfusion, remplissage vasculaire (sérum physiologique 500 mL IV), décubitus Trendelenburg, surveillance hémodynamique continue ; reprise à débit très réduit après stabilisation.</w:t>
      </w:r>
    </w:p>
    <w:p>
      <w:pPr>
        <w:pStyle w:val="ListBullet"/>
      </w:pPr>
      <w:r/>
      <w:r>
        <w:rPr>
          <w:b/>
        </w:rPr>
        <w:t>Bronchospasme, choc anaphylactique</w:t>
      </w:r>
      <w:r>
        <w:t xml:space="preserve"> : arrêt immédiat de la perfusion, adrénaline IM 0,3 mg (0,5 mg si choc), oxygénation, antihistaminiques, corticoïdes, surveillance 24 h en réanimation.</w:t>
      </w:r>
    </w:p>
    <w:p>
      <w:pPr>
        <w:pStyle w:val="ListBullet"/>
      </w:pPr>
      <w:r/>
      <w:r>
        <w:rPr>
          <w:b/>
        </w:rPr>
        <w:t>Céphalées sévères ou méningite aseptique</w:t>
      </w:r>
      <w:r>
        <w:t xml:space="preserve"> : arrêt transitoire, paracétamol, hydratation, ponction lombaire si doute avec méningite bactérienne (réalisation avant tout antibiotique).</w:t>
      </w:r>
    </w:p>
    <w:p>
      <w:pPr>
        <w:pStyle w:val="ListBullet"/>
      </w:pPr>
      <w:r/>
      <w:r>
        <w:rPr>
          <w:b/>
        </w:rPr>
        <w:t>Insuffisance rénale aiguë</w:t>
      </w:r>
      <w:r>
        <w:t xml:space="preserve"> : arrêt immédiat et définitif de la spécialité contenant du saccharose ; hydratation IV ; surveillance diurèse ; suppléance rénale (hémodialyse) si nécessaire. Alternative par KIOVIG ou PRIVIGEN à dose réduite si le traitement doit être poursuivi.</w:t>
      </w:r>
    </w:p>
    <w:p>
      <w:pPr>
        <w:pStyle w:val="ListBullet"/>
      </w:pPr>
      <w:r/>
      <w:r>
        <w:rPr>
          <w:b/>
        </w:rPr>
        <w:t>Thrombose (AVC, IDM, EP)</w:t>
      </w:r>
      <w:r>
        <w:t xml:space="preserve"> : arrêt immédiat de la perfusion, prise en charge neurologique/cardiologique/réanimation (thrombolyse si AVC ischémique &lt; 4,5 h, angioplastie si IDM), anticoagulation curative. CI définitive aux IgIV à haute dose ; recours aux alternatives (plasma-échange, rituximab, corticothérapie).</w:t>
      </w:r>
    </w:p>
    <w:p>
      <w:pPr>
        <w:pStyle w:val="ListBullet"/>
      </w:pPr>
      <w:r/>
      <w:r>
        <w:rPr>
          <w:b/>
        </w:rPr>
        <w:t>Anémie hémolytique</w:t>
      </w:r>
      <w:r>
        <w:t xml:space="preserve"> : arrêt transitoire, surveillance hémoglobine et haptoglobine ; transfusion si anémie mal tolérée.</w:t>
      </w:r>
    </w:p>
    <w:p>
      <w:pPr>
        <w:pStyle w:val="ListBullet"/>
      </w:pPr>
      <w:r/>
      <w:r>
        <w:rPr>
          <w:b/>
        </w:rPr>
        <w:t>Éruption cutanée sévère</w:t>
      </w:r>
      <w:r>
        <w:t xml:space="preserve"> (DRESS, Stevens-Johnson, syndrome de Lyell) : arrêt définitif, prise en charge dermatologique.</w:t>
      </w:r>
    </w:p>
    <w:p>
      <w:r/>
      <w:r>
        <w:rPr>
          <w:b/>
        </w:rPr>
        <w:t>Interactions Importantes :</w:t>
      </w:r>
      <w:r/>
    </w:p>
    <w:p>
      <w:pPr>
        <w:pStyle w:val="ListBullet"/>
      </w:pPr>
      <w:r>
        <w:t>Les IgIV ne sont pas métabolisées par le cytochrome P450 — pas d'interactions pharmacocinétiques classiques. Les interactions principales sont pharmacodynamiques :</w:t>
      </w:r>
    </w:p>
    <w:p>
      <w:pPr>
        <w:pStyle w:val="ListBullet"/>
      </w:pPr>
      <w:r/>
      <w:r>
        <w:rPr>
          <w:b/>
        </w:rPr>
        <w:t>IgIV + diurétiques de l'anse</w:t>
      </w:r>
      <w:r>
        <w:t xml:space="preserve"> (furosémide) : risque majoré d'IRA par déshydratation — hydratation préalable obligatoire.</w:t>
      </w:r>
    </w:p>
    <w:p>
      <w:pPr>
        <w:pStyle w:val="ListBullet"/>
      </w:pPr>
      <w:r/>
      <w:r>
        <w:rPr>
          <w:b/>
        </w:rPr>
        <w:t>IgIV + IEC/ARA2</w:t>
      </w:r>
      <w:r>
        <w:t xml:space="preserve"> (ramipril, perindopril, valsartan, losartan) : risque majoré d'IRA (favorisation de la tubulopathie) — surveillance stricte de la créatininémie à J2-J7, arrêt transitoire possible de l'IEC/ARA2 le jour de la perfusion.</w:t>
      </w:r>
    </w:p>
    <w:p>
      <w:pPr>
        <w:pStyle w:val="ListBullet"/>
      </w:pPr>
      <w:r/>
      <w:r>
        <w:rPr>
          <w:b/>
        </w:rPr>
        <w:t>IgIV + AINS</w:t>
      </w:r>
      <w:r>
        <w:t xml:space="preserve"> (ibuprofène, kétoprofène, diclofénac) : risque majoré d'IRA — éviter la prise d'AINS les jours précédant et suivant la perfusion.</w:t>
      </w:r>
    </w:p>
    <w:p>
      <w:pPr>
        <w:pStyle w:val="ListBullet"/>
      </w:pPr>
      <w:r/>
      <w:r>
        <w:rPr>
          <w:b/>
        </w:rPr>
        <w:t>IgIV + anticoagulants oraux</w:t>
      </w:r>
      <w:r>
        <w:t xml:space="preserve"> (warfarine, AVK) : risque thrombo-embolique paradoxal — surveiller l'INR (les IgIV peuvent interagir avec les tests de coagulation par apport d'anticorps anti-coagulant lupique ou anti-cardiolipine — fausse élévation de l'INR).</w:t>
      </w:r>
    </w:p>
    <w:p>
      <w:pPr>
        <w:pStyle w:val="ListBullet"/>
      </w:pPr>
      <w:r/>
      <w:r>
        <w:rPr>
          <w:b/>
        </w:rPr>
        <w:t>IgIV + contraceptifs oraux estroprogestatifs</w:t>
      </w:r>
      <w:r>
        <w:t xml:space="preserve"> : risque thrombotique majoré — préférer contraception mécanique (préservatif, DIU) pendant et 1 mois après le traitement.</w:t>
      </w:r>
    </w:p>
    <w:p>
      <w:pPr>
        <w:pStyle w:val="ListBullet"/>
      </w:pPr>
      <w:r/>
      <w:r>
        <w:rPr>
          <w:b/>
        </w:rPr>
        <w:t>IgIV + vaccins vivants atténués</w:t>
      </w:r>
      <w:r>
        <w:t xml:space="preserve"> (rougeole, rubéole, oreillons, varicelle, BCG, fièvre jaune, rotavirus) : baisse d'efficacité vaccinale (les IgIV contiennent des anticorps contre les agents viraux des vaccins vivants — neutralisation du vaccin) — espacer de 3-6 mois après la dernière IgIV (selon la dose). Le vaccin contre la rougeole est particulièrement concerné — espacer de 8-11 mois après une dose immunomodulatrice d'IgIV (≥ 2 g/kg).</w:t>
      </w:r>
    </w:p>
    <w:p>
      <w:pPr>
        <w:pStyle w:val="ListBullet"/>
      </w:pPr>
      <w:r/>
      <w:r>
        <w:rPr>
          <w:b/>
        </w:rPr>
        <w:t>IgIV + vaccins inactivés</w:t>
      </w:r>
      <w:r>
        <w:t xml:space="preserve"> (grippe, COVID-19, pneumocoque, hépatite B, tétanos) : pas d'interaction majeure — vaccination autorisée mais l'efficacité peut être réduite si le vaccin est administré dans les 2 semaines suivant une IgIV (espacer de 2-4 semaines).</w:t>
      </w:r>
    </w:p>
    <w:p>
      <w:pPr>
        <w:pStyle w:val="ListBullet"/>
      </w:pPr>
      <w:r/>
      <w:r>
        <w:rPr>
          <w:b/>
        </w:rPr>
        <w:t>IgIV + autres immunosuppresseurs</w:t>
      </w:r>
      <w:r>
        <w:t xml:space="preserve"> (corticoïdes, azathioprine, mycophénolate, rituximab, méthotrexate, ciclosporine, tacrolimus) : pas d'interaction pharmacodynamique majeure — association courante et synergique en neurologie auto-immune.</w:t>
      </w:r>
    </w:p>
    <w:p>
      <w:pPr>
        <w:pStyle w:val="ListBullet"/>
      </w:pPr>
      <w:r/>
      <w:r>
        <w:rPr>
          <w:b/>
        </w:rPr>
        <w:t>IgIV + plasma-échange</w:t>
      </w:r>
      <w:r>
        <w:t xml:space="preserve"> : pas d'association simultanée — le plasma-échange élimine les IgIV perfusées (inefficacité) ; espacer de 1-2 semaines entre les deux techniques.</w:t>
      </w:r>
    </w:p>
    <w:p>
      <w:pPr>
        <w:pStyle w:val="ListBullet"/>
      </w:pPr>
      <w:r/>
      <w:r>
        <w:rPr>
          <w:b/>
        </w:rPr>
        <w:t>IgIV + rituximab</w:t>
      </w:r>
      <w:r>
        <w:t xml:space="preserve"> : espacer de 4-6 semaines entre les deux (le rituximab déplète les lymphocytes B producteurs d'anticorps — les IgIV de substitution peuvent être nécessaires après rituximab chez les patients avec hypogammaglobulinémie secondaire).</w:t>
      </w:r>
    </w:p>
    <w:p>
      <w:r/>
      <w:r>
        <w:rPr>
          <w:b/>
        </w:rPr>
        <w:t>Grossesse et Allaitement :</w:t>
      </w:r>
      <w:r/>
    </w:p>
    <w:p>
      <w:pPr>
        <w:pStyle w:val="ListBullet"/>
      </w:pPr>
      <w:r>
        <w:t xml:space="preserve">Grossesse : IgIV </w:t>
      </w:r>
      <w:r>
        <w:rPr>
          <w:b/>
        </w:rPr>
        <w:t>compatibles</w:t>
      </w:r>
      <w:r>
        <w:t xml:space="preserve"> selon CRAT, EMA et Food and Drug Administration (catégorie C FDA — ancienne classification). Les IgIV traversent le placenta (IgG1 majoritaire, surtout à partir du 2e trimestre) — d'où l'immunité passive transplacentaire du nouveau-né. Utilisation courante et sûre au cours de la grossesse dans toutes les indications neurologiques (Guillain-Barré gravidique, CIDP, myasthénie sévère), hématologiques (ITP gravidique), et déficits immunitaires (substitution au long cours pendant toute la grossesse — pas d'interruption). Adaptation de la dose en fonction du poids (augmentation du volume de distribution au 3e trimestre — parfois nécessité d'augmenter la dose de 10-20 %). Surveillance renforcée de la tolérance (fonction rénale, viscosité sanguine — grossesse = état d'hyperviscosité relative).</w:t>
      </w:r>
    </w:p>
    <w:p>
      <w:pPr>
        <w:pStyle w:val="ListBullet"/>
      </w:pPr>
      <w:r>
        <w:t xml:space="preserve">Allaitement : IgIV </w:t>
      </w:r>
      <w:r>
        <w:rPr>
          <w:b/>
        </w:rPr>
        <w:t>compatibles</w:t>
      </w:r>
      <w:r>
        <w:t xml:space="preserve"> selon CRAT et AAP — passage dans le lait maternel (traces — IgG maternelles), sans risque pour le nouveau-né. Allaitement autorisé pendant le traitement.</w:t>
      </w:r>
    </w:p>
    <w:p>
      <w:pPr>
        <w:pStyle w:val="ListBullet"/>
      </w:pPr>
      <w:r>
        <w:t>Précisions : En cas de myasthénie gravidique sévère, les IgIV sont une alternative de choix au plasma-échange (qui nécessite un abord veineux central et un volume de plasma important). En cas de CIDP gravidique, les IgIV sont privilégiées sur la corticothérapie au long cours (effets indésirables fœtaux). En cas de déficit immunitaire primitif, les IgIV sont poursuivies pendant toute la grossesse à dose identique.</w:t>
      </w:r>
    </w:p>
    <w:p>
      <w:pPr>
        <w:pStyle w:val="ListBullet"/>
      </w:pPr>
      <w:r>
        <w:t>Fertilité : Pas d'effet documenté sur la fertilité masculine ou féminine.</w:t>
      </w:r>
    </w:p>
    <w:p>
      <w:r/>
      <w:r>
        <w:rPr>
          <w:b/>
        </w:rPr>
        <w:t>Posologie et Mode d'administration (Standard) :</w:t>
      </w:r>
      <w:r/>
    </w:p>
    <w:p>
      <w:pPr>
        <w:pStyle w:val="ListBullet"/>
      </w:pPr>
      <w:r>
        <w:t>Adulte — indications neurologiques immunomodulatrices :</w:t>
      </w:r>
    </w:p>
    <w:p>
      <w:pPr>
        <w:pStyle w:val="ListBullet"/>
      </w:pPr>
      <w:r/>
      <w:r>
        <w:rPr>
          <w:b/>
        </w:rPr>
        <w:t>Guillain-Barré</w:t>
      </w:r>
      <w:r>
        <w:t xml:space="preserve"> : 0,4 g/kg/jour × 5 jours (soit 2 g/kg total) en perfusion IV.</w:t>
      </w:r>
    </w:p>
    <w:p>
      <w:pPr>
        <w:pStyle w:val="ListBullet"/>
      </w:pPr>
      <w:r/>
      <w:r>
        <w:rPr>
          <w:b/>
        </w:rPr>
        <w:t>CIDP (dose de charge)</w:t>
      </w:r>
      <w:r>
        <w:t xml:space="preserve"> : 2 g/kg en 2-5 jours ; </w:t>
      </w:r>
      <w:r>
        <w:rPr>
          <w:b/>
        </w:rPr>
        <w:t>CIDP (entretien)</w:t>
      </w:r>
      <w:r>
        <w:t xml:space="preserve"> : 1 g/kg toutes les 3 semaines ou 0,4-0,6 g/kg toutes les 2-4 semaines.</w:t>
      </w:r>
    </w:p>
    <w:p>
      <w:pPr>
        <w:pStyle w:val="ListBullet"/>
      </w:pPr>
      <w:r/>
      <w:r>
        <w:rPr>
          <w:b/>
        </w:rPr>
        <w:t>Myasthénie sévère</w:t>
      </w:r>
      <w:r>
        <w:t xml:space="preserve"> : 0,4 g/kg/jour × 5 jours (soit 2 g/kg total).</w:t>
      </w:r>
    </w:p>
    <w:p>
      <w:pPr>
        <w:pStyle w:val="ListBullet"/>
      </w:pPr>
      <w:r/>
      <w:r>
        <w:rPr>
          <w:b/>
        </w:rPr>
        <w:t>Syndrome de Lambert-Eaton</w:t>
      </w:r>
      <w:r>
        <w:t xml:space="preserve"> : 0,4 g/kg/jour × 5 jours.</w:t>
      </w:r>
    </w:p>
    <w:p>
      <w:pPr>
        <w:pStyle w:val="ListBullet"/>
      </w:pPr>
      <w:r/>
      <w:r>
        <w:rPr>
          <w:b/>
        </w:rPr>
        <w:t>Kawasaki</w:t>
      </w:r>
      <w:r>
        <w:t xml:space="preserve"> (enfant) : 2 g/kg en dose unique.</w:t>
      </w:r>
    </w:p>
    <w:p>
      <w:pPr>
        <w:pStyle w:val="ListBullet"/>
      </w:pPr>
      <w:r>
        <w:t>Adulte — indications de substitution :</w:t>
      </w:r>
    </w:p>
    <w:p>
      <w:pPr>
        <w:pStyle w:val="ListBullet"/>
      </w:pPr>
      <w:r>
        <w:t>Déficit immunitaire primitif : 0,4-0,6 g/kg toutes les 3-4 semaines (entretien, ajustement selon le taux résiduel d'IgG sérique — cible &gt; 6-7 g/L).</w:t>
      </w:r>
    </w:p>
    <w:p>
      <w:pPr>
        <w:pStyle w:val="ListBullet"/>
      </w:pPr>
      <w:r>
        <w:t>Déficit immunitaire secondaire (LLC, myélome, post-greffe) : 0,4 g/kg toutes les 3-4 semaines.</w:t>
      </w:r>
    </w:p>
    <w:p>
      <w:pPr>
        <w:pStyle w:val="ListBullet"/>
      </w:pPr>
      <w:r>
        <w:t>Adulte — indications hématologiques :</w:t>
      </w:r>
    </w:p>
    <w:p>
      <w:pPr>
        <w:pStyle w:val="ListBullet"/>
      </w:pPr>
      <w:r>
        <w:t>ITP : 0,4-1 g/kg/jour × 2-5 jours selon la sévérité.</w:t>
      </w:r>
    </w:p>
    <w:p>
      <w:pPr>
        <w:pStyle w:val="ListBullet"/>
      </w:pPr>
      <w:r>
        <w:t>Mode d'administration : Perfusion IV stricte, dans une voie veineuse périphérique de bon calibre ou voie centrale. Débit initial : 0,5 mL/kg/h (soit 30 gouttes/min adulte), à augmenter par paliers de 0,5 mL/kg/h toutes les 30 min si tolérance, jusqu'à un débit maximal de 4-6 mL/kg/h selon la spécialité (se référer au RCP de chaque spécialité). Réduction du débit en cas de céphalées, frissons, hypotension, tachycardie.</w:t>
      </w:r>
    </w:p>
    <w:p>
      <w:pPr>
        <w:pStyle w:val="ListBullet"/>
      </w:pPr>
      <w:r>
        <w:t>Sujet âgé : Réduction du débit maximal à 3-4 mL/kg/h, surveillance renforcée de la fonction rénale (créatininémie à J2-J7), ECG (à la recherche de trouble du rythme ou ischémie), examen neurologique (recherche d'AVC). Privilégier les spécialités sans saccharose (KIOVIG, PRIVIGEN) en cas d'insuffisance rénale préexistante.</w:t>
      </w:r>
    </w:p>
    <w:p>
      <w:pPr>
        <w:pStyle w:val="ListBullet"/>
      </w:pPr>
      <w:r>
        <w:t>Insuffisance rénale : ClCr 30-60 mL/min : réduction du débit et surveillance stricte de la créatininémie ; ClCr &lt; 30 mL/min : CI relative — privilégier KIOVIG ou PRIVIGEN à dose réduite et perfusion très lente ; dialyse : ajustement selon le contexte.</w:t>
      </w:r>
    </w:p>
    <w:p>
      <w:pPr>
        <w:pStyle w:val="ListBullet"/>
      </w:pPr>
      <w:r>
        <w:t>Insuffisance hépatique : Pas d'adaptation systématique.</w:t>
      </w:r>
    </w:p>
    <w:p>
      <w:pPr>
        <w:pStyle w:val="ListBullet"/>
      </w:pPr>
      <w:r>
        <w:t>Enfant : Dose identique à l'adulte en mg/kg (2 g/kg total Guillain-Barré ; 0,4-0,6 g/kg substitution). Débit réduit chez l'enfant de moins de 20 kg (0,5-2 mL/kg/h initial).</w:t>
      </w:r>
    </w:p>
    <w:p>
      <w:pPr>
        <w:pStyle w:val="ListBullet"/>
      </w:pPr>
      <w:r>
        <w:t>Durée : Indication par indication — Guillain-Barré : cure unique de 5 jours ; CIDP : dose de charge puis entretien à vie (jusqu'à rémission) ; myasthénie : cure de 5 jours en cas d'exacerbation, éventuellement cures répétées en cas de myasthénie réfractaire ; déficit immunitaire primitif : substitution à vie.</w:t>
      </w:r>
    </w:p>
    <w:p>
      <w:pPr>
        <w:pStyle w:val="ListBullet"/>
      </w:pPr>
      <w:r>
        <w:t>Moment de la prise : Horaire programmé en milieu hospitalier (service de neurologie, jour hospitalier) ou à domicile par infirmière diplômée d'État (IDE) formée aux perfusions d'IgIV (selon prescription et protocole).</w:t>
      </w:r>
    </w:p>
    <w:p>
      <w:r/>
      <w:r>
        <w:rPr>
          <w:b/>
        </w:rPr>
        <w:t>Arbitrage et Bénéfices des Formes Galéniques :</w:t>
      </w:r>
      <w:r/>
    </w:p>
    <w:p>
      <w:pPr>
        <w:pStyle w:val="ListBullet"/>
      </w:pPr>
      <w:r>
        <w:t>Solution prête à l'emploi à 100 mg/mL (KIOVIG, PRIVIGEN) : volume de perfusion réduit de moitié, avantage chez l'insuffisant cardiaque et le sujet âgé (réduction du risque de surcharge volémique). Teneur en IgA très faible (KIOVIG &lt; 0,05 mg/mL) — privilégiée en cas de déficit en IgA. Sans saccharose (glycine pour KIOVIG, L-proline pour PRIVIGEN) — privilégiée en cas d'insuffisance rénale.</w:t>
      </w:r>
    </w:p>
    <w:p>
      <w:pPr>
        <w:pStyle w:val="ListBullet"/>
      </w:pPr>
      <w:r>
        <w:t>Solution prête à l'emploi à 50 mg/mL (FLEBOGAMMA DIF, CLAIRYG, INTRATECT, OCTAGAM) : volume de perfusion double mais débit maximal potentiellement plus élevé ; attention à la teneur en saccharose de certaines spécialités (vérifier le RCP — OCTAGAM 10% sans saccharose, mais ancien OCTAGAM 5% avec saccharose ; INTRATECT contient du maltose).</w:t>
      </w:r>
    </w:p>
    <w:p>
      <w:pPr>
        <w:pStyle w:val="ListBullet"/>
      </w:pPr>
      <w:r>
        <w:t>Poudre lyophilisée + solvant à reconstituer (TELGENE) : facilité de stockage et transport (pas de chaîne du froid stricte avant reconstitution), mais nécessite une étape de préparation pharmaceutique (reconstitution avec le solvant fourni, agitation douce, vérification de la limpidité avant administration). Adaptée aux structures avec pharmacie centrale (PUI) ou aux pharmacies d'officine assurant la préparation.</w:t>
      </w:r>
    </w:p>
    <w:p>
      <w:pPr>
        <w:pStyle w:val="ListBullet"/>
      </w:pPr>
      <w:r>
        <w:t>Le choix entre les spécialités dépend du patient (insuffisance rénale, cardiaque, âge, grossesse, déficit en IgA), du contexte (hospitalier ou domicile), de la dose (substitution ou immunomodulation), et de la disponibilité locale. Le pharmacien d'officine doit vérifier la conformité de la prescription à la spécialité délivrée (surtout en cas de substitution entre spécialités — qui reste exceptionnelle et nécessite un accord du prescripteur).</w:t>
      </w:r>
    </w:p>
    <w:p>
      <w:r/>
      <w:r>
        <w:rPr>
          <w:b/>
        </w:rPr>
        <w:t>Instructions et Conseils au Patient :</w:t>
      </w:r>
      <w:r/>
    </w:p>
    <w:p>
      <w:pPr>
        <w:pStyle w:val="ListBullet"/>
      </w:pPr>
      <w:r>
        <w:t>Communication au comptoir : « Ce médicament est perfusé par voie intraveineuse, à l'hôpital ou à domicile par une infirmière. Il est conservé au réfrigérateur (+2-8°C) et ne doit jamais être congelé. Avant la perfusion, vous serez hydraté (sérum physiologique) pour protéger vos reins. Pendant la perfusion, votre tension, votre cœur et votre respiration seront surveillés. Les principaux effets indésirables sont des maux de tête, des frissons, de la fièvre — habituellement transitoires. En cas de survenue dans les jours suivants d'une diminution de la diurèse, d'œdèmes des jambes, d'essoufflement, de troubles de la parole ou de la vision, d'une faiblesse d'un membre — URGENCE médicale (risque d'insuffisance rénale ou de thrombose). Prévenez votre médecin si vous prenez des anticoagulants, des IEC, des AINS ou si vous devez être vacciné (vaccins vivants contre-indiqués dans les 3-6 mois). »</w:t>
      </w:r>
    </w:p>
    <w:p>
      <w:pPr>
        <w:pStyle w:val="ListBullet"/>
      </w:pPr>
      <w:r>
        <w:t>Mode d'utilisation pratique :</w:t>
      </w:r>
    </w:p>
    <w:p>
      <w:pPr>
        <w:pStyle w:val="ListBullet"/>
      </w:pPr>
      <w:r>
        <w:t>Conservation au réfrigérateur (+2-8°C) dans le compartiment bas, à l'abri de la lumière, dans son emballage d'origine. NE PAS CONGELER (la congélation dénature les IgG et peut fissurer le flacon de verre).</w:t>
      </w:r>
    </w:p>
    <w:p>
      <w:pPr>
        <w:pStyle w:val="ListBullet"/>
      </w:pPr>
      <w:r>
        <w:t>Sortir le flacon 1-2 h avant la perfusion pour qu'il atteigne la température ambiante (ne pas chauffer, ne pas micro-ondes).</w:t>
      </w:r>
    </w:p>
    <w:p>
      <w:pPr>
        <w:pStyle w:val="ListBullet"/>
      </w:pPr>
      <w:r>
        <w:t>Vérifier la limpidité de la solution (la solution doit être limpide ou légèrement opalescente, sans particules — rejetter si trouble, présence de flocons ou de particules).</w:t>
      </w:r>
    </w:p>
    <w:p>
      <w:pPr>
        <w:pStyle w:val="ListBullet"/>
      </w:pPr>
      <w:r>
        <w:t>Ne pas agiter le flacon (agiter doucement en retournant le flacon — ne pas secouer vigoureusement, risque de moussage).</w:t>
      </w:r>
    </w:p>
    <w:p>
      <w:pPr>
        <w:pStyle w:val="ListBullet"/>
      </w:pPr>
      <w:r>
        <w:t>Administration par voie IV stricte, par un personnel médical ou paramédical formé, en respectant l'asepsie.</w:t>
      </w:r>
    </w:p>
    <w:p>
      <w:pPr>
        <w:pStyle w:val="ListBullet"/>
      </w:pPr>
      <w:r>
        <w:t>Ne pas mélanger avec d'autres médicaments dans la même tubulure (sauf sérum physiologique 0,9 % ou glucose 5 % pour le rinçage).</w:t>
      </w:r>
    </w:p>
    <w:p>
      <w:pPr>
        <w:pStyle w:val="ListBullet"/>
      </w:pPr>
      <w:r>
        <w:t>Tenir un agenda de perfusion (dates, doses, réactions ressenties).</w:t>
      </w:r>
    </w:p>
    <w:p>
      <w:pPr>
        <w:pStyle w:val="ListBullet"/>
      </w:pPr>
      <w:r>
        <w:t>Surveiller à domicile pendant 48-72 h après la perfusion : température, diurèse, état respiratoire, neurologique (recherche d'AVC), cutané (rash).</w:t>
      </w:r>
    </w:p>
    <w:p>
      <w:pPr>
        <w:pStyle w:val="ListBullet"/>
      </w:pPr>
      <w:r>
        <w:t>En cas de survenue de céphalées sévères, de fièvre &gt; 38,5°C, de raideur de nuque, de confusion — URGENCE médicale (méningite aseptique à éliminer).</w:t>
      </w:r>
    </w:p>
    <w:p>
      <w:pPr>
        <w:pStyle w:val="ListBullet"/>
      </w:pPr>
      <w:r>
        <w:t>En cas de survenue d'œdèmes des jambes, d'essoufflement, de douleur thoracique, de troubles visuels ou du langage — URGENCE médicale (thrombose à éliminer).</w:t>
      </w:r>
    </w:p>
    <w:p>
      <w:pPr>
        <w:pStyle w:val="ListBullet"/>
      </w:pPr>
      <w:r>
        <w:t>En cas de survenue d'oligurie (baisse de la diurèse), de coloration anormale des urines — URGENCE médicale (insuffisance rénale aiguë à éliminer).</w:t>
      </w:r>
    </w:p>
    <w:p>
      <w:pPr>
        <w:pStyle w:val="ListBullet"/>
      </w:pPr>
      <w:r>
        <w:t>Vaccins : aucun vaccin vivant atténué (BCG, fièvre jaune, ROR, varicelle, rotavirus) dans les 3-6 mois précédant ou suivant une IgIV (selon la dose). Vaccin grippe, COVID-19, pneumocoque, tétanos autorisés (vaccins inactivés).</w:t>
      </w:r>
    </w:p>
    <w:p>
      <w:r/>
      <w:r>
        <w:rPr>
          <w:b/>
        </w:rPr>
        <w:t>Notes, Règles d'Or &amp; Pièges au Comptoir :</w:t>
      </w:r>
      <w:r/>
    </w:p>
    <w:p>
      <w:pPr>
        <w:pStyle w:val="ListBullet"/>
      </w:pPr>
      <w:r>
        <w:t>Piège classique : Délivrance d'IgIV à un patient avec insuffisance rénale préexistante sans vérification de la spécialité délivrée — les spécialités contenant du saccharose (FLEBOGAMMA DIF, INTRATECT, anciennes formulations OCTAGAM) sont à éviter en faveur de KIOVIG (glycine) ou PRIVIGEN (L-proline) sans sucres stabilisants. Risque d'IRA tubulaire osmotique grave potentiellement dialysante.</w:t>
      </w:r>
    </w:p>
    <w:p>
      <w:pPr>
        <w:pStyle w:val="ListBullet"/>
      </w:pPr>
      <w:r>
        <w:t>Piège classique : Délivrance d'IgIV à un patient avec déficit en IgA sans vérification de la teneur en IgA de la spécialité — risque de choc anaphylactique par anticorps anti-IgA préexistants. Privilégier KIOVIG (IgA &lt; 0,05 mg/mL) ou PRIVIGEN (IgA &lt; 0,025 mg/mL). Vérifier le dosage des anticorps anti-IgA avant l'initiation.</w:t>
      </w:r>
    </w:p>
    <w:p>
      <w:pPr>
        <w:pStyle w:val="ListBullet"/>
      </w:pPr>
      <w:r>
        <w:t>Piège classique : Délivrance d'IgIV à un sujet âgé ou thrombotique sans surveillance — risque d'AVC ischémique ou d'infarctus du myocarde par hyperviscosité. Surveillance neurologique et cardiaque pendant et après la perfusion. Réduction du débit (≤ 3 mL/kg/h).</w:t>
      </w:r>
    </w:p>
    <w:p>
      <w:pPr>
        <w:pStyle w:val="ListBullet"/>
      </w:pPr>
      <w:r>
        <w:t>Règle de prise : Perfusion IV stricte, à débit progressif, en milieu médicalisé ou à domicile par IDE formée. Surveillance FC/TA/SpO2 pendant et après la perfusion. Hydratation préalable obligatoire.</w:t>
      </w:r>
    </w:p>
    <w:p>
      <w:pPr>
        <w:pStyle w:val="ListBullet"/>
      </w:pPr>
      <w:r>
        <w:t>Préparation et Conservation : IgIV à conserver entre +2°C et +8°C (réfrigérateur), dans le compartiment bas, à l'abri de la lumière, dans son emballage d'origine. NE PAS CONGELER. Transport en sac isotherme avec accumulateurs de froid (température +2-8°C maximum). La spécialité reconstituée (TELGENE poudre + solvant) doit être utilisée dans les 24 h suivant la reconstitution. Conservation à température ambiante avant perfusion : 24-48 h selon spécialité (se référer au RCP). À usage unique strict — toute quantité résiduelle doit être rejetée (pas de conservateur antibactérien).</w:t>
      </w:r>
    </w:p>
    <w:p>
      <w:pPr>
        <w:pStyle w:val="ListBullet"/>
      </w:pPr>
      <w:r>
        <w:t>Piège du surdosage / Substitution :</w:t>
      </w:r>
    </w:p>
    <w:p>
      <w:pPr>
        <w:pStyle w:val="ListBullet"/>
      </w:pPr>
      <w:r>
        <w:t>Risque d'erreur de dose (la dose est en mg/kg et varie selon l'indication — substitution 0,4-0,6 g/kg, immunomodulation 2 g/kg, ITP 1 g/kg/j × 2 jours, Kawasaki 2 g/kg en dose unique) — vérifier systématiquement la dose prescrite, le poids du patient et la spécialité.</w:t>
      </w:r>
    </w:p>
    <w:p>
      <w:pPr>
        <w:pStyle w:val="ListBullet"/>
      </w:pPr>
      <w:r>
        <w:t>Risque d'erreur de débit (perfusion trop rapide — céphalées sévères, hypotension, frissons, IRA, thrombose) — respecter les paliers de 0,5 mL/kg/h et le débit maximal de 4-6 mL/kg/h.</w:t>
      </w:r>
    </w:p>
    <w:p>
      <w:pPr>
        <w:pStyle w:val="ListBullet"/>
      </w:pPr>
      <w:r>
        <w:t>Vérification systématique de la fonction rénale préalable (créatininémie, clairance, protéinurie) chez le sujet âgé, diabétique, sous IEC/ARA2/AINS.</w:t>
      </w:r>
    </w:p>
    <w:p>
      <w:pPr>
        <w:pStyle w:val="ListBullet"/>
      </w:pPr>
      <w:r>
        <w:t>Vérification systématique du groupe sanguin et de la recherche d'anticorps anti-IgA avant l'initiation.</w:t>
      </w:r>
    </w:p>
    <w:p>
      <w:pPr>
        <w:pStyle w:val="ListBullet"/>
      </w:pPr>
      <w:r>
        <w:t>Vérification systématique des vaccinations en cours (pas de vaccin vivant atténué dans les 3-6 mois).</w:t>
      </w:r>
    </w:p>
    <w:p>
      <w:pPr>
        <w:pStyle w:val="ListBullet"/>
      </w:pPr>
      <w:r>
        <w:t>Information systématique des signes d'alerte : céphalées sévères, fièvre, raideur nuque, troubles visuels ou du langage, faiblesse d'un membre, œdèmes, oligurie, dyspnée — URGENCE médicale.</w:t>
      </w:r>
    </w:p>
    <w:p>
      <w:pPr>
        <w:pStyle w:val="ListBullet"/>
      </w:pPr>
      <w:r>
        <w:t>Substitution entre spécialités (par exemple KIOVIG → PRIVIGEN) : pas d'équivalence stricte en termes de pharmacocinétique et de tolérance — surveillance clinique renforcée 2-4 semaines en cas de switch.</w:t>
      </w:r>
    </w:p>
    <w:p>
      <w:pPr>
        <w:pStyle w:val="ListBullet"/>
      </w:pPr>
      <w:r>
        <w:t>Information systématique du statut immunodéprimé du patient sous substitution chronique — pas de vaccin vivant atténué, prudence en cas d'exposition à la varicelle, à la rougeole ou à l'hépatite A.</w:t>
      </w:r>
    </w:p>
    <w:p>
      <w:pPr>
        <w:pStyle w:val="ListBullet"/>
      </w:pPr>
      <w:r>
        <w:t xml:space="preserve">Mentionner que la </w:t>
      </w:r>
      <w:r>
        <w:rPr>
          <w:b/>
        </w:rPr>
        <w:t>RILUZOLE</w:t>
      </w:r>
      <w:r>
        <w:t xml:space="preserve"> (SLA, maladie de Charcot — sclérose latérale amyotrophique) n'est PAS disponible dans la nomenclature algérienne — information à donner aux familles qui demandent éventuellement un traitement de la SLA.</w:t>
      </w:r>
    </w:p>
    <w:p>
      <w:pPr>
        <w:pStyle w:val="Heading2"/>
      </w:pPr>
      <w:r>
        <w:t>Tableau Comparatif Synthétique</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w:t>
            </w:r>
          </w:p>
        </w:tc>
        <w:tc>
          <w:tcPr>
            <w:tcW w:type="dxa" w:w="1336"/>
          </w:tcPr>
          <w:p>
            <w:r>
              <w:rPr>
                <w:b/>
                <w:sz w:val="20"/>
              </w:rPr>
              <w:t>Posologie standard (Adulte)</w:t>
            </w:r>
          </w:p>
        </w:tc>
        <w:tc>
          <w:tcPr>
            <w:tcW w:type="dxa" w:w="1336"/>
          </w:tcPr>
          <w:p>
            <w:r>
              <w:rPr>
                <w:b/>
                <w:sz w:val="20"/>
              </w:rPr>
              <w:t>Effet indésirable majeur</w:t>
            </w:r>
          </w:p>
        </w:tc>
        <w:tc>
          <w:tcPr>
            <w:tcW w:type="dxa" w:w="1336"/>
          </w:tcPr>
          <w:p>
            <w:r>
              <w:rPr>
                <w:b/>
                <w:sz w:val="20"/>
              </w:rPr>
              <w:t>Contre-indication majeure</w:t>
            </w:r>
          </w:p>
        </w:tc>
        <w:tc>
          <w:tcPr>
            <w:tcW w:type="dxa" w:w="1336"/>
          </w:tcPr>
          <w:p>
            <w:r>
              <w:rPr>
                <w:b/>
                <w:sz w:val="20"/>
              </w:rPr>
              <w:t>Grossesse (CRAT)</w:t>
            </w:r>
          </w:p>
        </w:tc>
      </w:tr>
      <w:tr>
        <w:tc>
          <w:tcPr>
            <w:tcW w:type="dxa" w:w="1336"/>
          </w:tcPr>
          <w:p>
            <w:r>
              <w:rPr>
                <w:sz w:val="20"/>
              </w:rPr>
              <w:t>**Pyridostigmine**</w:t>
            </w:r>
          </w:p>
        </w:tc>
        <w:tc>
          <w:tcPr>
            <w:tcW w:type="dxa" w:w="1336"/>
          </w:tcPr>
          <w:p>
            <w:r>
              <w:rPr>
                <w:sz w:val="20"/>
              </w:rPr>
              <w:t>Anticholinestérasique réversible (amine quaternaire)</w:t>
            </w:r>
          </w:p>
        </w:tc>
        <w:tc>
          <w:tcPr>
            <w:tcW w:type="dxa" w:w="1336"/>
          </w:tcPr>
          <w:p>
            <w:r>
              <w:rPr>
                <w:sz w:val="20"/>
              </w:rPr>
              <w:t>Inhibition réversible de l'AChE → ↑ ACh synaptique → restauration transmission neuromusculaire</w:t>
            </w:r>
          </w:p>
        </w:tc>
        <w:tc>
          <w:tcPr>
            <w:tcW w:type="dxa" w:w="1336"/>
          </w:tcPr>
          <w:p>
            <w:r>
              <w:rPr>
                <w:sz w:val="20"/>
              </w:rPr>
              <w:t>60 mg × 3-4/jour per os (60-1 200 mg/j), 30-45 min avant repas</w:t>
            </w:r>
          </w:p>
        </w:tc>
        <w:tc>
          <w:tcPr>
            <w:tcW w:type="dxa" w:w="1336"/>
          </w:tcPr>
          <w:p>
            <w:r>
              <w:rPr>
                <w:sz w:val="20"/>
              </w:rPr>
              <w:t>Crise cholinergique (surdosage — bradycardie, myosis, diarrhée, fasciculations, paralysie respiratoire) ; crise myasthénique si défaut (faiblesse, dyspnée, dysphagie, voix nasonnée)</w:t>
            </w:r>
          </w:p>
        </w:tc>
        <w:tc>
          <w:tcPr>
            <w:tcW w:type="dxa" w:w="1336"/>
          </w:tcPr>
          <w:p>
            <w:r>
              <w:rPr>
                <w:sz w:val="20"/>
              </w:rPr>
              <w:t>Asthma, occlusion mécanique, bradycardie sévère, BAV haut grade non appareillé</w:t>
            </w:r>
          </w:p>
        </w:tc>
        <w:tc>
          <w:tcPr>
            <w:tcW w:type="dxa" w:w="1336"/>
          </w:tcPr>
          <w:p>
            <w:r>
              <w:rPr>
                <w:sz w:val="20"/>
              </w:rPr>
              <w:t>Compatible (myasthénie gravidique : adaptation ; myasthénie néonatale transitoire 10-20 %)</w:t>
            </w:r>
          </w:p>
        </w:tc>
      </w:tr>
      <w:tr>
        <w:tc>
          <w:tcPr>
            <w:tcW w:type="dxa" w:w="1336"/>
          </w:tcPr>
          <w:p>
            <w:r>
              <w:rPr>
                <w:sz w:val="20"/>
              </w:rPr>
              <w:t>**Néostigmine**</w:t>
            </w:r>
          </w:p>
        </w:tc>
        <w:tc>
          <w:tcPr>
            <w:tcW w:type="dxa" w:w="1336"/>
          </w:tcPr>
          <w:p>
            <w:r>
              <w:rPr>
                <w:sz w:val="20"/>
              </w:rPr>
              <w:t>Anticholinestérasique réversible injectable (amine quaternaire)</w:t>
            </w:r>
          </w:p>
        </w:tc>
        <w:tc>
          <w:tcPr>
            <w:tcW w:type="dxa" w:w="1336"/>
          </w:tcPr>
          <w:p>
            <w:r>
              <w:rPr>
                <w:sz w:val="20"/>
              </w:rPr>
              <w:t>Identique à pyridostigmine (inhibition AChE), voie parentérale</w:t>
            </w:r>
          </w:p>
        </w:tc>
        <w:tc>
          <w:tcPr>
            <w:tcW w:type="dxa" w:w="1336"/>
          </w:tcPr>
          <w:p>
            <w:r>
              <w:rPr>
                <w:sz w:val="20"/>
              </w:rPr>
              <w:t>0,5-2,5 mg IV/IM, à répéter selon réponse (crise myasthénique, reversal anesthésie) ; toujours avec atropine IV 0,5 mg/mg</w:t>
            </w:r>
          </w:p>
        </w:tc>
        <w:tc>
          <w:tcPr>
            <w:tcW w:type="dxa" w:w="1336"/>
          </w:tcPr>
          <w:p>
            <w:r>
              <w:rPr>
                <w:sz w:val="20"/>
              </w:rPr>
              <w:t>Bradycardie sévère, bronchospasme, crise cholinergique (surdosage)</w:t>
            </w:r>
          </w:p>
        </w:tc>
        <w:tc>
          <w:tcPr>
            <w:tcW w:type="dxa" w:w="1336"/>
          </w:tcPr>
          <w:p>
            <w:r>
              <w:rPr>
                <w:sz w:val="20"/>
              </w:rPr>
              <w:t>Asthma, occlusion mécanique, bradycardie sévère, péritonite diffuse</w:t>
            </w:r>
          </w:p>
        </w:tc>
        <w:tc>
          <w:tcPr>
            <w:tcW w:type="dxa" w:w="1336"/>
          </w:tcPr>
          <w:p>
            <w:r>
              <w:rPr>
                <w:sz w:val="20"/>
              </w:rPr>
              <w:t>Compatible (usage ponctuel anesthésie / urgence) ; prudence en cas de surdosage</w:t>
            </w:r>
          </w:p>
        </w:tc>
      </w:tr>
      <w:tr>
        <w:tc>
          <w:tcPr>
            <w:tcW w:type="dxa" w:w="1336"/>
          </w:tcPr>
          <w:p>
            <w:r>
              <w:rPr>
                <w:sz w:val="20"/>
              </w:rPr>
              <w:t>**Nusinersen**</w:t>
            </w:r>
          </w:p>
        </w:tc>
        <w:tc>
          <w:tcPr>
            <w:tcW w:type="dxa" w:w="1336"/>
          </w:tcPr>
          <w:p>
            <w:r>
              <w:rPr>
                <w:sz w:val="20"/>
              </w:rPr>
              <w:t>Oligonucléotide antisens (ASO) modifiant l'épissage SMN2</w:t>
            </w:r>
          </w:p>
        </w:tc>
        <w:tc>
          <w:tcPr>
            <w:tcW w:type="dxa" w:w="1336"/>
          </w:tcPr>
          <w:p>
            <w:r>
              <w:rPr>
                <w:sz w:val="20"/>
              </w:rPr>
              <w:t>Hybridation à ISS-N1 de l'intron 7 du pré-ARNm SMN2 → inclusion de l'exon 7 → ↑ protéine SMN complète → survie motoneurones</w:t>
            </w:r>
          </w:p>
        </w:tc>
        <w:tc>
          <w:tcPr>
            <w:tcW w:type="dxa" w:w="1336"/>
          </w:tcPr>
          <w:p>
            <w:r>
              <w:rPr>
                <w:sz w:val="20"/>
              </w:rPr>
              <w:t>12 mg intrathécal lombaire à J0, J14, J28, J63 puis tous les 4 mois à vie</w:t>
            </w:r>
          </w:p>
        </w:tc>
        <w:tc>
          <w:tcPr>
            <w:tcW w:type="dxa" w:w="1336"/>
          </w:tcPr>
          <w:p>
            <w:r>
              <w:rPr>
                <w:sz w:val="20"/>
              </w:rPr>
              <w:t>Thrombopénie, élévation transaminases, méningite aseptique, syndrome post-ponction lombaire, protéinurie</w:t>
            </w:r>
          </w:p>
        </w:tc>
        <w:tc>
          <w:tcPr>
            <w:tcW w:type="dxa" w:w="1336"/>
          </w:tcPr>
          <w:p>
            <w:r>
              <w:rPr>
                <w:sz w:val="20"/>
              </w:rPr>
              <w:t>Thrombopénie &lt; 50 G/L, troubles coagulation non corrigés, infection active, allergie</w:t>
            </w:r>
          </w:p>
        </w:tc>
        <w:tc>
          <w:tcPr>
            <w:tcW w:type="dxa" w:w="1336"/>
          </w:tcPr>
          <w:p>
            <w:r>
              <w:rPr>
                <w:sz w:val="20"/>
              </w:rPr>
              <w:t>À éviter par défaut (données limitées) ; décision au cas par cas</w:t>
            </w:r>
          </w:p>
        </w:tc>
      </w:tr>
      <w:tr>
        <w:tc>
          <w:tcPr>
            <w:tcW w:type="dxa" w:w="1336"/>
          </w:tcPr>
          <w:p>
            <w:r>
              <w:rPr>
                <w:sz w:val="20"/>
              </w:rPr>
              <w:t>**Risdiplam**</w:t>
            </w:r>
          </w:p>
        </w:tc>
        <w:tc>
          <w:tcPr>
            <w:tcW w:type="dxa" w:w="1336"/>
          </w:tcPr>
          <w:p>
            <w:r>
              <w:rPr>
                <w:sz w:val="20"/>
              </w:rPr>
              <w:t>Petite molécule orale (pyridopyrimidine) modulatrice de l'épissage SMN2</w:t>
            </w:r>
          </w:p>
        </w:tc>
        <w:tc>
          <w:tcPr>
            <w:tcW w:type="dxa" w:w="1336"/>
          </w:tcPr>
          <w:p>
            <w:r>
              <w:rPr>
                <w:sz w:val="20"/>
              </w:rPr>
              <w:t>Stabilisation de l'interaction 5'-splice site exon 7 / snRNP U1 du pré-ARNm SMN2 → inclusion de l'exon 7 → ↑ protéine SMN</w:t>
            </w:r>
          </w:p>
        </w:tc>
        <w:tc>
          <w:tcPr>
            <w:tcW w:type="dxa" w:w="1336"/>
          </w:tcPr>
          <w:p>
            <w:r>
              <w:rPr>
                <w:sz w:val="20"/>
              </w:rPr>
              <w:t>5 mg/jour per os (adulte ≥ 20 kg, ≥ 2 ans) ; dose adaptée au poids chez l'enfant &lt; 20 kg</w:t>
            </w:r>
          </w:p>
        </w:tc>
        <w:tc>
          <w:tcPr>
            <w:tcW w:type="dxa" w:w="1336"/>
          </w:tcPr>
          <w:p>
            <w:r>
              <w:rPr>
                <w:sz w:val="20"/>
              </w:rPr>
              <w:t>Diarrhée, céphalées, rash, allongement TP, élévation transaminases, dégénérescence photorécepteurs rétiniens (animal)</w:t>
            </w:r>
          </w:p>
        </w:tc>
        <w:tc>
          <w:tcPr>
            <w:tcW w:type="dxa" w:w="1336"/>
          </w:tcPr>
          <w:p>
            <w:r>
              <w:rPr>
                <w:sz w:val="20"/>
              </w:rPr>
              <w:t>Allaitement, prétraitement onasemnogène abeparvovec, insuffisance hépatique sévère, insuffisance rénale sévère</w:t>
            </w:r>
          </w:p>
        </w:tc>
        <w:tc>
          <w:tcPr>
            <w:tcW w:type="dxa" w:w="1336"/>
          </w:tcPr>
          <w:p>
            <w:r>
              <w:rPr>
                <w:sz w:val="20"/>
              </w:rPr>
              <w:t>Déconseillé (embryotoxicité animale) ; contraception obligatoire</w:t>
            </w:r>
          </w:p>
        </w:tc>
      </w:tr>
      <w:tr>
        <w:tc>
          <w:tcPr>
            <w:tcW w:type="dxa" w:w="1336"/>
          </w:tcPr>
          <w:p>
            <w:r>
              <w:rPr>
                <w:sz w:val="20"/>
              </w:rPr>
              <w:t>**Immunoglobulines humaines normales IV (IgIV)**</w:t>
            </w:r>
          </w:p>
        </w:tc>
        <w:tc>
          <w:tcPr>
            <w:tcW w:type="dxa" w:w="1336"/>
          </w:tcPr>
          <w:p>
            <w:r>
              <w:rPr>
                <w:sz w:val="20"/>
              </w:rPr>
              <w:t>Produit sanguin labile dérivé, immunomodulateur</w:t>
            </w:r>
          </w:p>
        </w:tc>
        <w:tc>
          <w:tcPr>
            <w:tcW w:type="dxa" w:w="1336"/>
          </w:tcPr>
          <w:p>
            <w:r>
              <w:rPr>
                <w:sz w:val="20"/>
              </w:rPr>
              <w:t>Saturation FcRn → ↑ dégradation auto-anticorps ; blocage FcγR macrophages ; modulation complément ; induction Treg</w:t>
            </w:r>
          </w:p>
        </w:tc>
        <w:tc>
          <w:tcPr>
            <w:tcW w:type="dxa" w:w="1336"/>
          </w:tcPr>
          <w:p>
            <w:r>
              <w:rPr>
                <w:sz w:val="20"/>
              </w:rPr>
              <w:t>0,4 g/kg/jour × 5 jours (Guillain-Barré, myasthénie, Lambert-Eaton) ; 2 g/kg charge + 1 g/kg/3 semaines (CIDP) ; 0,4-0,6 g/kg/3-4 semaines (substitution)</w:t>
            </w:r>
          </w:p>
        </w:tc>
        <w:tc>
          <w:tcPr>
            <w:tcW w:type="dxa" w:w="1336"/>
          </w:tcPr>
          <w:p>
            <w:r>
              <w:rPr>
                <w:sz w:val="20"/>
              </w:rPr>
              <w:t>Insuffisance rénale aiguë (sucres stabilisants), thrombose (AVC, IDM, EP), méningite aseptique, anémie hémolytique, réactions perfusion</w:t>
            </w:r>
          </w:p>
        </w:tc>
        <w:tc>
          <w:tcPr>
            <w:tcW w:type="dxa" w:w="1336"/>
          </w:tcPr>
          <w:p>
            <w:r>
              <w:rPr>
                <w:sz w:val="20"/>
              </w:rPr>
              <w:t>Déficit IgA avec anticorps anti-IgA, insuffisance rénale sévère, hyperviscosité, insuffisance cardiaque sévère</w:t>
            </w:r>
          </w:p>
        </w:tc>
        <w:tc>
          <w:tcPr>
            <w:tcW w:type="dxa" w:w="1336"/>
          </w:tcPr>
          <w:p>
            <w:r>
              <w:rPr>
                <w:sz w:val="20"/>
              </w:rPr>
              <w:t>Compatible (toutes indications) ; immunité passive transplacentaire du nouveau-né</w:t>
            </w:r>
          </w:p>
        </w:tc>
      </w:tr>
    </w:tbl>
    <w:p/>
    <w:p>
      <w:pPr>
        <w:pStyle w:val="Heading2"/>
      </w:pPr>
      <w:r>
        <w:t>Règles d'Or du Chapitre 94</w:t>
      </w:r>
    </w:p>
    <w:p>
      <w:pPr>
        <w:pStyle w:val="ListNumber"/>
      </w:pPr>
      <w:r/>
      <w:r>
        <w:rPr>
          <w:b/>
        </w:rPr>
        <w:t>Pyridostigmine</w:t>
      </w:r>
      <w:r>
        <w:t xml:space="preserve"> : ne jamais confondre crise myasthénique (deficit de traitement → +) et crise cholinergique (surdosage → -) — le surdosage par excès de pyridostigmine aggrave la faiblesse par dépolarisation persistante (effet paradoxal).</w:t>
      </w:r>
    </w:p>
    <w:p>
      <w:pPr>
        <w:pStyle w:val="ListNumber"/>
      </w:pPr>
      <w:r/>
      <w:r>
        <w:rPr>
          <w:b/>
        </w:rPr>
        <w:t>Pyridostigmine</w:t>
      </w:r>
      <w:r>
        <w:t xml:space="preserve"> : prendre 30-45 min avant les repas pour faciliter déglutition ; fractionner selon les activités ; agenda thérapeutique obligatoire.</w:t>
      </w:r>
    </w:p>
    <w:p>
      <w:pPr>
        <w:pStyle w:val="ListNumber"/>
      </w:pPr>
      <w:r/>
      <w:r>
        <w:rPr>
          <w:b/>
        </w:rPr>
        <w:t>Pyridostigmine</w:t>
      </w:r>
      <w:r>
        <w:t xml:space="preserve"> : toujours surveiller l'absence d'interaction avec aminosides, fluoroquinolones, polymyxine, magnésium IV, bêtabloquants — refus de délivrance d'un antibiotique contre-indiqué et orientation vers le prescripteur.</w:t>
      </w:r>
    </w:p>
    <w:p>
      <w:pPr>
        <w:pStyle w:val="ListNumber"/>
      </w:pPr>
      <w:r/>
      <w:r>
        <w:rPr>
          <w:b/>
        </w:rPr>
        <w:t>Pyridostigmine</w:t>
      </w:r>
      <w:r>
        <w:t xml:space="preserve"> : surveillance ECG à l'initiation et à chaque titration (bradycardie, bloc AV) ; prudence chez le sujet âgé, le coronarien, le patient sous bêtabloquant.</w:t>
      </w:r>
    </w:p>
    <w:p>
      <w:pPr>
        <w:pStyle w:val="ListNumber"/>
      </w:pPr>
      <w:r/>
      <w:r>
        <w:rPr>
          <w:b/>
        </w:rPr>
        <w:t>Pyridostigmine</w:t>
      </w:r>
      <w:r>
        <w:t xml:space="preserve"> : grossesse et allaitement compatibles (CRAT) ; surveillance néonatale 48-72 h (myasthénie néonatale transitoire 10-20 % par anticorps anti-AChR maternels transplacentaires).</w:t>
      </w:r>
    </w:p>
    <w:p>
      <w:pPr>
        <w:pStyle w:val="ListNumber"/>
      </w:pPr>
      <w:r/>
      <w:r>
        <w:rPr>
          <w:b/>
        </w:rPr>
        <w:t>Néostigmine</w:t>
      </w:r>
      <w:r>
        <w:t xml:space="preserve"> : voie injectable stricte, jamais en auto-administration ; association systématique avec atropine IV 0,5 mg par mg de néostigmine ; surveillance ECG continue.</w:t>
      </w:r>
    </w:p>
    <w:p>
      <w:pPr>
        <w:pStyle w:val="ListNumber"/>
      </w:pPr>
      <w:r/>
      <w:r>
        <w:rPr>
          <w:b/>
        </w:rPr>
        <w:t>Néostigmine</w:t>
      </w:r>
      <w:r>
        <w:t xml:space="preserve"> : prescription hospitalière obligatoire, non renouvelable en officine (vérifier l'origine de l'ordonnance à chaque délivrance).</w:t>
      </w:r>
    </w:p>
    <w:p>
      <w:pPr>
        <w:pStyle w:val="ListNumber"/>
      </w:pPr>
      <w:r/>
      <w:r>
        <w:rPr>
          <w:b/>
        </w:rPr>
        <w:t>Néostigmine</w:t>
      </w:r>
      <w:r>
        <w:t xml:space="preserve"> : en cas de test diagnostique de la myasthénie (alternative au Tensilon® édrophonium non disponible), néostigmine IM 1,5 mg + atropine 0,5 mg, évaluation à 30 minutes.</w:t>
      </w:r>
    </w:p>
    <w:p>
      <w:pPr>
        <w:pStyle w:val="ListNumber"/>
      </w:pPr>
      <w:r/>
      <w:r>
        <w:rPr>
          <w:b/>
        </w:rPr>
        <w:t>Nusinersen</w:t>
      </w:r>
      <w:r>
        <w:t xml:space="preserve"> : injection intrathécale lombaire stricte en milieu hospitalier spécialisé ; 4 doses de charge (J0, J14, J28, J63) puis 1 dose tous les 4 mois à vie.</w:t>
      </w:r>
    </w:p>
    <w:p>
      <w:pPr>
        <w:pStyle w:val="ListNumber"/>
      </w:pPr>
      <w:r/>
      <w:r>
        <w:rPr>
          <w:b/>
        </w:rPr>
        <w:t>Nusinersen</w:t>
      </w:r>
      <w:r>
        <w:t xml:space="preserve"> : bilan pré-injection systématique (NFS-plaquettes, hémostase, transaminases, créatininémie) — CI si plaquettes &lt; 50 G/L ou INR &gt; 1,5.</w:t>
      </w:r>
    </w:p>
    <w:p>
      <w:pPr>
        <w:pStyle w:val="ListNumber"/>
      </w:pPr>
      <w:r/>
      <w:r>
        <w:rPr>
          <w:b/>
        </w:rPr>
        <w:t>Nusinersen</w:t>
      </w:r>
      <w:r>
        <w:t xml:space="preserve"> : arrêt des anticoagulants avant injection (AVK 5 jours, clopidogrel 7 jours, aspirine/AINS 24-48 h) ; reprise 24 h après en l'absence de complication hémorragique.</w:t>
      </w:r>
    </w:p>
    <w:p>
      <w:pPr>
        <w:pStyle w:val="ListNumber"/>
      </w:pPr>
      <w:r/>
      <w:r>
        <w:rPr>
          <w:b/>
        </w:rPr>
        <w:t>Nusinersen</w:t>
      </w:r>
      <w:r>
        <w:t xml:space="preserve"> : chaîne du froid obligatoire (+2-8°C, ne pas congeler) ; flacon à usage unique ; solution à utiliser dans les 4 h après ouverture (pas de conservateur).</w:t>
      </w:r>
    </w:p>
    <w:p>
      <w:pPr>
        <w:pStyle w:val="ListNumber"/>
      </w:pPr>
      <w:r/>
      <w:r>
        <w:rPr>
          <w:b/>
        </w:rPr>
        <w:t>Nusinersen</w:t>
      </w:r>
      <w:r>
        <w:t xml:space="preserve"> : contraception obligatoire chez la femme en âge de procréer ; données limitées sur la grossesse (à éviter sauf nécessité absolue).</w:t>
      </w:r>
    </w:p>
    <w:p>
      <w:pPr>
        <w:pStyle w:val="ListNumber"/>
      </w:pPr>
      <w:r/>
      <w:r>
        <w:rPr>
          <w:b/>
        </w:rPr>
        <w:t>Risdiplam</w:t>
      </w:r>
      <w:r>
        <w:t xml:space="preserve"> : 1 prise par jour à heure fixe (matin), en solution buvable ; observance stricte (pas de doublement en cas d'oubli) ; alimentation ne modifie pas l'absorption.</w:t>
      </w:r>
    </w:p>
    <w:p>
      <w:pPr>
        <w:pStyle w:val="ListNumber"/>
      </w:pPr>
      <w:r/>
      <w:r>
        <w:rPr>
          <w:b/>
        </w:rPr>
        <w:t>Risdiplam</w:t>
      </w:r>
      <w:r>
        <w:t xml:space="preserve"> : surveillance biologique mensuelle le premier trimestre puis trimestrielle (NFS, plaquettes, TP, transaminases, créatininémie, protéinurie) ; surveillance ophtalmologique annuelle (acuité visuelle, fond d'œil, OCT maculaire).</w:t>
      </w:r>
    </w:p>
    <w:p>
      <w:pPr>
        <w:pStyle w:val="ListNumber"/>
      </w:pPr>
      <w:r/>
      <w:r>
        <w:rPr>
          <w:b/>
        </w:rPr>
        <w:t>Risdiplam</w:t>
      </w:r>
      <w:r>
        <w:t xml:space="preserve"> : contraception obligatoire chez la femme en âge de procréer pendant le traitement et 1 mois après l'arrêt ; arrêt de l'allaitement obligatoire.</w:t>
      </w:r>
    </w:p>
    <w:p>
      <w:pPr>
        <w:pStyle w:val="ListNumber"/>
      </w:pPr>
      <w:r/>
      <w:r>
        <w:rPr>
          <w:b/>
        </w:rPr>
        <w:t>Risdiplam</w:t>
      </w:r>
      <w:r>
        <w:t xml:space="preserve"> : prudence avec les inducteurs enzymatiques (rifampicine, phénytoïne, carbamazépine, millepertuis) qui diminuent l'efficacité ; éviter l'association ou augmenter la dose.</w:t>
      </w:r>
    </w:p>
    <w:p>
      <w:pPr>
        <w:pStyle w:val="ListNumber"/>
      </w:pPr>
      <w:r/>
      <w:r>
        <w:rPr>
          <w:b/>
        </w:rPr>
        <w:t>IgIV</w:t>
      </w:r>
      <w:r>
        <w:t xml:space="preserve"> : chaîne du froid obligatoire (+2-8°C, ne pas congeler) ; flacon à usage unique ; vérifier la limpidité avant administration ; ne pas secouer vigoureusement.</w:t>
      </w:r>
    </w:p>
    <w:p>
      <w:pPr>
        <w:pStyle w:val="ListNumber"/>
      </w:pPr>
      <w:r/>
      <w:r>
        <w:rPr>
          <w:b/>
        </w:rPr>
        <w:t>IgIV</w:t>
      </w:r>
      <w:r>
        <w:t xml:space="preserve"> : hydratation préalable obligatoire (1-2 L sérum physiologique adulte, 10-20 mL/kg enfant) ; surveillance FC/TA/SpO2 pendant et après la perfusion ; débit progressif (0,5 mL/kg/h initial, max 4-6 mL/kg/h).</w:t>
      </w:r>
    </w:p>
    <w:p>
      <w:pPr>
        <w:pStyle w:val="ListNumber"/>
      </w:pPr>
      <w:r/>
      <w:r>
        <w:rPr>
          <w:b/>
        </w:rPr>
        <w:t>IgIV</w:t>
      </w:r>
      <w:r>
        <w:t xml:space="preserve"> : pas de vaccin vivant atténué dans les 3-6 mois (rougeole 8-11 mois après dose immunomodulatrice) ; pas d'AINS les jours précédant et suivant la perfusion ; prudence avec IEC/ARA2, AINS, diurétiques de l'anse (risque IRA).</w:t>
      </w:r>
    </w:p>
    <w:p>
      <w:pPr>
        <w:pStyle w:val="ListNumber"/>
      </w:pPr>
      <w:r/>
      <w:r>
        <w:rPr>
          <w:b/>
        </w:rPr>
        <w:t>IgIV</w:t>
      </w:r>
      <w:r>
        <w:t xml:space="preserve"> : choix de la spécialité selon le patient — KIOVIG (glycine, IgA &lt; 0,05 mg/mL) ou PRIVIGEN (L-proline, IgA &lt; 0,025 mg/mL) en cas d'insuffisance rénale ou de déficit en IgA ; éviter les spécialités avec saccharose chez l'insuffisant rénal.</w:t>
      </w:r>
    </w:p>
    <w:p>
      <w:pPr>
        <w:pStyle w:val="ListNumber"/>
      </w:pPr>
      <w:r/>
      <w:r>
        <w:rPr>
          <w:b/>
        </w:rPr>
        <w:t>IgIV</w:t>
      </w:r>
      <w:r>
        <w:t xml:space="preserve"> : surveillance renforcée chez le sujet âgé, diabétique, coronarien, thrombotique, en post-opératoire, en grossesse (créatininémie J2-J7, ECG, examen neurologique) — risque d'IRA, de thrombose, d'AVC ischémique, d'IDM.</w:t>
      </w:r>
    </w:p>
    <w:p>
      <w:pPr>
        <w:pStyle w:val="ListNumber"/>
      </w:pPr>
      <w:r/>
      <w:r>
        <w:rPr>
          <w:b/>
        </w:rPr>
        <w:t>IgIV</w:t>
      </w:r>
      <w:r>
        <w:t xml:space="preserve"> : en cas de survenue de céphalées sévères, fièvre, raideur nuque, troubles visuels ou du langage, faiblesse d'un membre, œdèmes, oligurie, dyspnée — URGENCE médicale (méningite aseptique, thrombose, IRA, surcharge).</w:t>
      </w:r>
    </w:p>
    <w:p>
      <w:pPr>
        <w:pStyle w:val="ListNumber"/>
      </w:pPr>
      <w:r/>
      <w:r>
        <w:rPr>
          <w:b/>
        </w:rPr>
        <w:t>Général</w:t>
      </w:r>
      <w:r>
        <w:t xml:space="preserve"> : information systématique du patient myasthénique, SMA ou sous IgIV sur la carte d'urgence médicale et le bracelet d'identification.</w:t>
      </w:r>
    </w:p>
    <w:p>
      <w:pPr>
        <w:pStyle w:val="ListNumber"/>
      </w:pPr>
      <w:r/>
      <w:r>
        <w:rPr>
          <w:b/>
        </w:rPr>
        <w:t>Général</w:t>
      </w:r>
      <w:r>
        <w:t xml:space="preserve"> : ne jamais arrêter brutalement un traitement au long cours (pyridostigmine, nusinersen, risdiplam, IgIV de substitution) — risque de décompensation sévère (crise myasthénique, aggravation de la SMA, infection grave).</w:t>
      </w:r>
    </w:p>
    <w:p>
      <w:pPr>
        <w:pStyle w:val="Heading2"/>
      </w:pPr>
      <w:r>
        <w:t>Pièges Majeurs au Comptoir</w:t>
      </w:r>
    </w:p>
    <w:p>
      <w:pPr>
        <w:pStyle w:val="Heading3"/>
      </w:pPr>
      <w:r>
        <w:t>Myasthénie / Anticholinestérasiques</w:t>
      </w:r>
    </w:p>
    <w:p>
      <w:pPr>
        <w:pStyle w:val="ListNumber"/>
      </w:pPr>
      <w:r>
        <w:t>Prescription de néostigmine en renouvellement en officine — refus (non renouvelable, prescription hospitalière stricte).</w:t>
      </w:r>
    </w:p>
    <w:p>
      <w:pPr>
        <w:pStyle w:val="ListNumber"/>
      </w:pPr>
      <w:r>
        <w:t>Confusion MESTINON (pyridostigmine 60 mg) ↔ néostigmine 0,5 mg/mL IM/IV — risque d'erreur de voie (orale vs injectable) et de dose (60 mg = 1 dragée vs 1 mg = 2 mL injectable).</w:t>
      </w:r>
    </w:p>
    <w:p>
      <w:pPr>
        <w:pStyle w:val="ListNumber"/>
      </w:pPr>
      <w:r>
        <w:t>Auto-augmentation par le patient de la pyridostigmine en cas de faiblesse perçue — risque d'engagement dans un cercle vicieux d'aggravation paradoxale (déplétion AChR, paralysie dépolarisante) ; éducation thérapeutique obligatoire.</w:t>
      </w:r>
    </w:p>
    <w:p>
      <w:pPr>
        <w:pStyle w:val="ListNumber"/>
      </w:pPr>
      <w:r>
        <w:t>Co-prescription pyridostigmine + aminoglycoside (gentamicine, néomycine) ou fluoroquinolone (ciprofloxacine) — antagonisme pharmacodynamique, aggravation de la faiblesse myasthénique ; refus de délivrance de l'antibiotique et orientation vers le prescripteur.</w:t>
      </w:r>
    </w:p>
    <w:p>
      <w:pPr>
        <w:pStyle w:val="ListNumber"/>
      </w:pPr>
      <w:r>
        <w:t>Co-prescription pyridostigmine + bêtabloquant non cardio-sélectif (propranolol) — potentialisation bradycardisante, risque de BAV ; surveillance ECG ou switch vers bêtabloquant cardio-sélectif (bisoprolol).</w:t>
      </w:r>
    </w:p>
    <w:p>
      <w:pPr>
        <w:pStyle w:val="ListNumber"/>
      </w:pPr>
      <w:r>
        <w:t>Prise de MESTINON à jeun — risque d'hypoglycémie et de mauvaise tolérance digestive ; conseiller la prise pendant ou 30-45 min avant les repas.</w:t>
      </w:r>
    </w:p>
    <w:p>
      <w:pPr>
        <w:pStyle w:val="ListNumber"/>
      </w:pPr>
      <w:r>
        <w:t>Oubli d'une prise de pyridostigmine pendant plus de 6 h — risque d'exacerbation myasthénique (faiblesse, dyspnée) ; éducation à la régularité horaire.</w:t>
      </w:r>
    </w:p>
    <w:p>
      <w:pPr>
        <w:pStyle w:val="ListNumber"/>
      </w:pPr>
      <w:r>
        <w:t>Substitution MESTINON (pyridostigmine) — pas de générique disponible en Algérie ; si substitution envisagée (importation de sirop ou forme LP), surveillance clinique 2-4 semaines (variabilité de biodisponibilité interformulation jusqu'à 20 %).</w:t>
      </w:r>
    </w:p>
    <w:p>
      <w:pPr>
        <w:pStyle w:val="ListNumber"/>
      </w:pPr>
      <w:r>
        <w:t>Prescription de pyridostigmine chez une patiente enceinte avec myasthénie — poursuivre le traitement (compatible selon CRAT) ; surveillance néonatale 48-72 h (myasthénie néonatale transitoire 10-20 %).</w:t>
      </w:r>
    </w:p>
    <w:p>
      <w:pPr>
        <w:pStyle w:val="ListNumber"/>
      </w:pPr>
      <w:r>
        <w:t>Patient myasthénique sous sulfate de magnésium (prééclampsie) — refus de délivrance et orientation vers alternative (nicardipine, labétalol) — CI absolue (risque de décompensation myasthénique sévère).</w:t>
      </w:r>
    </w:p>
    <w:p>
      <w:pPr>
        <w:pStyle w:val="Heading3"/>
      </w:pPr>
      <w:r>
        <w:t>Amyotrophie Spinale (Nusinersen / Risdiplam)</w:t>
      </w:r>
    </w:p>
    <w:p>
      <w:pPr>
        <w:pStyle w:val="ListNumber"/>
      </w:pPr>
      <w:r>
        <w:t>Prescription de SPINRAZA (nusinersen) en officine de ville sans centre hospitalier prescripteur — vérification de l'origine hospitalière spécialisée ; refus si non conforme.</w:t>
      </w:r>
    </w:p>
    <w:p>
      <w:pPr>
        <w:pStyle w:val="ListNumber"/>
      </w:pPr>
      <w:r>
        <w:t>Délivrance de SPINRAZA à température ambiante (chaîne du froid rompue) — refus et reconditionnement isotherme.</w:t>
      </w:r>
    </w:p>
    <w:p>
      <w:pPr>
        <w:pStyle w:val="ListNumber"/>
      </w:pPr>
      <w:r>
        <w:t>Injection intrathécale de SPINRAZA sans bilan biologique préalable (NFS-plaquettes, hémostase) — refus d'administration par le centre si bilan incomplet (CI si plaquettes &lt; 50 G/L ou INR &gt; 1,5).</w:t>
      </w:r>
    </w:p>
    <w:p>
      <w:pPr>
        <w:pStyle w:val="ListNumber"/>
      </w:pPr>
      <w:r>
        <w:t>Co-prescription nusinersen + anticoagulant non arrêté avant injection — risque d'hématome épidural compressif (urgence neurochirurgicale) ; vérification de l'arrêt systématique.</w:t>
      </w:r>
    </w:p>
    <w:p>
      <w:pPr>
        <w:pStyle w:val="ListNumber"/>
      </w:pPr>
      <w:r>
        <w:t>Switch nusinersen intrathécal → risdiplam oral sans intervalle de 4 semaines — risque d'accumulation et d'effets indésirables hématologiques.</w:t>
      </w:r>
    </w:p>
    <w:p>
      <w:pPr>
        <w:pStyle w:val="ListNumber"/>
      </w:pPr>
      <w:r>
        <w:t>Délivrance d'EVRYSDI (risdiplam) sans vérification de la reconstitution en pharmacie (poudre + solvant) — vérification de la date de reconstitution et de la péremption (60 jours à température ambiante ≤ 30°C après reconstitution).</w:t>
      </w:r>
    </w:p>
    <w:p>
      <w:pPr>
        <w:pStyle w:val="ListNumber"/>
      </w:pPr>
      <w:r>
        <w:t>Risdiplam chez une femme en âge de procréer sans contraception — refus de délivrance et orientation vers le prescripteur (terratogenicité animale).</w:t>
      </w:r>
    </w:p>
    <w:p>
      <w:pPr>
        <w:pStyle w:val="ListNumber"/>
      </w:pPr>
      <w:r>
        <w:t>Risdiplam + inducteur enzymatique (rifampicine, phénytoïne, carbamazépine, millepertuis) — baisse d'efficacité (baisse de 40-70 % de l'exposition) ; refus de délivrance de l'inducteur ou adaptation de la dose de risdiplam.</w:t>
      </w:r>
    </w:p>
    <w:p>
      <w:pPr>
        <w:pStyle w:val="ListNumber"/>
      </w:pPr>
      <w:r>
        <w:t>Risdiplam + vaccination vivante atténuée (rougeole) — pas de CI absolue, mais surveillance accrue (le risdiplam n'est pas immunosuppresseur mais la vaccination peut être différée en cas de thrombopénie).</w:t>
      </w:r>
    </w:p>
    <w:p>
      <w:pPr>
        <w:pStyle w:val="ListNumber"/>
      </w:pPr>
      <w:r>
        <w:t xml:space="preserve">Information systématique de la non-disponibilité de la </w:t>
      </w:r>
      <w:r>
        <w:rPr>
          <w:b/>
        </w:rPr>
        <w:t>thérapie génique</w:t>
      </w:r>
      <w:r>
        <w:t xml:space="preserve"> (onasemnogène abeparvovec, ZOLGENSMA Novartis) dans la nomenclature algérienne — orientation vers les centres spécialisés pour informations sur les protocoles d'accès compassionnel éventuels.</w:t>
      </w:r>
    </w:p>
    <w:p>
      <w:pPr>
        <w:pStyle w:val="Heading3"/>
      </w:pPr>
      <w:r>
        <w:t>Immunoglobulines IV (IgIV)</w:t>
      </w:r>
    </w:p>
    <w:p>
      <w:pPr>
        <w:pStyle w:val="ListNumber"/>
      </w:pPr>
      <w:r>
        <w:t>Délivrance d'IgIV à un patient avec insuffisance rénale préexistante sans choix de spécialité sans saccharose — risque d'IRA tubulaire osmotique grave ; privilégier KIOVIG (glycine) ou PRIVIGEN (L-proline) ; refus de délivrance des spécialités contenant du saccharose.</w:t>
      </w:r>
    </w:p>
    <w:p>
      <w:pPr>
        <w:pStyle w:val="ListNumber"/>
      </w:pPr>
      <w:r>
        <w:t>Délivrance d'IgIV à un patient avec déficit en IgA sans vérification de la teneur en IgA de la spécialité et du dosage des anticorps anti-IgA — risque de choc anaphylactique ; privilégier KIOVIG (IgA &lt; 0,05 mg/mL).</w:t>
      </w:r>
    </w:p>
    <w:p>
      <w:pPr>
        <w:pStyle w:val="ListNumber"/>
      </w:pPr>
      <w:r>
        <w:t>Perfuser une IgIV à débit trop rapide chez un sujet âgé ou thrombotique — risque d'AVC ischémique, d'infarctus du myocarde, d'embolie pulmonaire par hyperviscosité ; respecter les paliers de débit et le débit maximal (4-6 mL/kg/h adulte, 3-4 mL/kg/h sujet âgé).</w:t>
      </w:r>
    </w:p>
    <w:p>
      <w:pPr>
        <w:pStyle w:val="ListNumber"/>
      </w:pPr>
      <w:r>
        <w:t>Co-prescription IgIV + vaccin vivant atténué (BCG, fièvre jaune, ROR, varicelle, rotavirus) dans les 3-6 mois — baisse d'efficacité vaccinale (neutralisation du vaccin par les anticorps des IgIV) ; espacer de 3-6 mois selon la dose (8-11 mois pour le vaccin rougeole après dose immunomodulatrice ≥ 2 g/kg).</w:t>
      </w:r>
    </w:p>
    <w:p>
      <w:pPr>
        <w:pStyle w:val="ListNumber"/>
      </w:pPr>
      <w:r>
        <w:t>Co-prescription IgIV + IEC/ARA2/AINS/diurétiques de l'anse — risque majoré d'IRA ; surveillance stricte de la créatininémie à J2-J7, arrêt transitoire possible de l'IEC/ARA2 le jour de la perfusion.</w:t>
      </w:r>
    </w:p>
    <w:p>
      <w:pPr>
        <w:pStyle w:val="ListNumber"/>
      </w:pPr>
      <w:r>
        <w:t>Délivrance d'IgIV à une femme enceinte sans myasthénie ou CIDP — surveillance renforcée de la tolérance (fonction rénale, viscosité sanguine — grossesse = état d'hyperviscosité relative) ; poursuivre le traitement si indication (compatible selon CRAT).</w:t>
      </w:r>
    </w:p>
    <w:p>
      <w:pPr>
        <w:pStyle w:val="ListNumber"/>
      </w:pPr>
      <w:r>
        <w:t>Patient sous IgIV substitution au long cours (déficit immunitaire primitif) qui demande un vaccin vivant atténué (voyage en zone d'endémie amarile) — refus de vaccination vivante ; orientation vers le centre de vaccination agréé pour discuter un certificat de contre-indication médicale au vaccin contre la fièvre jaune.</w:t>
      </w:r>
    </w:p>
    <w:p>
      <w:pPr>
        <w:pStyle w:val="ListNumber"/>
      </w:pPr>
      <w:r>
        <w:t>Patient sous IgIV qui présente une céphalée sévère, fièvre, raideur de nuque 24-48 h après la perfusion — urgence médicale (méningite aseptique à distinguer d'une méningite bactérienne — ponction lombaire avant tout antibiotique).</w:t>
      </w:r>
    </w:p>
    <w:p>
      <w:pPr>
        <w:pStyle w:val="ListNumber"/>
      </w:pPr>
      <w:r>
        <w:t>Patient sous IgIV qui présente une oligurie, des œdèmes des jambes, une dyspnée 24-72 h après la perfusion — urgence médicale (insuffisance rénale aiguë, surcharge volémique, thrombose).</w:t>
      </w:r>
    </w:p>
    <w:p>
      <w:pPr>
        <w:pStyle w:val="ListNumber"/>
      </w:pPr>
      <w:r>
        <w:t>Substitution entre spécialités d'IgIV (par exemple KIOVIG → PRIVIGEN) sans surveillance clinique renforcée — risque de réaction à la perfusion différente (teneur en IgA différente, stabilisants différents) ; surveillance clinique et biologique 2-4 semaines.</w:t>
      </w:r>
    </w:p>
    <w:p>
      <w:pPr>
        <w:pStyle w:val="ListNumber"/>
      </w:pPr>
      <w:r>
        <w:t xml:space="preserve">Information systématique de la non-disponibilité du </w:t>
      </w:r>
      <w:r>
        <w:rPr>
          <w:b/>
        </w:rPr>
        <w:t>RILUZOLE</w:t>
      </w:r>
      <w:r>
        <w:t xml:space="preserve"> (RILUTEK, traitement de la SLA / maladie de Charcot — sclérose latérale amyotrophique) dans la nomenclature algérienne — orientation vers le neurologue pour informations sur les alternatives symptomatiques et l'accès éventuel à des protocoles compassionnels.</w:t>
      </w:r>
    </w:p>
    <w:p>
      <w:pPr>
        <w:pStyle w:val="Heading2"/>
      </w:pPr>
      <w:r>
        <w:t>Conclusion du Chapitre 94</w:t>
      </w:r>
    </w:p>
    <w:p>
      <w:r>
        <w:t xml:space="preserve">Le chapitre 94 a couvert cinq DCIs emblématiques de la neurologie périphérique et de l'immunothérapie clinique, illustrant la diversité des mécanismes thérapeutiques modernes en neuropharmacologie : (1) </w:t>
      </w:r>
      <w:r>
        <w:rPr>
          <w:b/>
        </w:rPr>
        <w:t>inhibition réversible de l'acétylcholinestérase</w:t>
      </w:r>
      <w:r>
        <w:t xml:space="preserve"> (pyridostigmine, néostigmine) pour la myasthénie autoimmune — un mécanisme historique issu des travaux de Mary Walker (1934) sur la physostigmine et perfectionné par les amines quaternaires modernes ; (2) </w:t>
      </w:r>
      <w:r>
        <w:rPr>
          <w:b/>
        </w:rPr>
        <w:t>modification de l'épissage SMN2 par oligonucléotide antisens</w:t>
      </w:r>
      <w:r>
        <w:t xml:space="preserve"> (nusinersen) — première thérapeutique modifiant l'histoire naturelle de l'amyotrophie spinale, révolution de la médecine des maladies rares 2016-2017 ; (3) </w:t>
      </w:r>
      <w:r>
        <w:rPr>
          <w:b/>
        </w:rPr>
        <w:t>modulation de l'épissage SMN2 par petite molécule orale</w:t>
      </w:r>
      <w:r>
        <w:t xml:space="preserve"> (risdiplam) — démocratisation de l'accès au traitement de la SMA par la voie orale (2020) ; (4) </w:t>
      </w:r>
      <w:r>
        <w:rPr>
          <w:b/>
        </w:rPr>
        <w:t>immunomodulation polyvalente par immunoglobulines polyvalentes</w:t>
      </w:r>
      <w:r>
        <w:t xml:space="preserve"> (IgIV) — traitement pivot des neuropathies dysimmunitaires (Guillain-Barré, CIDP, myasthénie sévère) et des déficits immunitaires humoraux.</w:t>
      </w:r>
    </w:p>
    <w:p>
      <w:r>
        <w:t>Le pharmacien d'officine algérien doit être en mesure de reconnaître ces cinq DCIs, de comprendre leurs mécanismes d'action et leurs profils pharmacologiques, de surveiller les conditions de conservation (chaîne du froid pour nusinersen et IgIV, reconstitution du risdiplam, conservation ambiante de la pyridostigmine et néostigmine), d'identifier les interactions médicamenteuses majeures (pyridostigmine + aminosides / fluoroquinolones / bêtabloquants ; risdiplam + inducteurs enzymatiques ; IgIV + vaccins vivants / IEC / AINS), et d'éduquer le patient et son entourage sur la reconnaissance des signes d'alerte (crise myasthénique vs cholinergique, thrombose sous IgIV, méningite aseptique, IRA).</w:t>
      </w:r>
    </w:p>
    <w:p>
      <w:r>
        <w:t>La coordination avec les centres hospitaliers spécialisés (centre de référence neuromusculaire, service de neurologie, réanimation neurologique) est essentielle pour ces traitements d'exception — la majorité sont délivrés en hospitalisation (nusinersen, IgIV, néostigmine injectable) ou en pharmacie de ville sur prescription hospitalière initiale (risdiplam, pyridostigmine). Le pharmacien d'officine joue un rôle clé dans la traçabilité de ces traitements, dans la surveillance de la chaîne du froid, dans l'éducation thérapeutique, et dans l'orientation rapide vers les urgences en cas de complication. Le coût extrême de certains traitements (nusinersen, risdiplam, IgIV) justifie une vigilance particulière quant aux conditions de délivrance, à la traçabilité et à la conformité des prescriptions.</w:t>
      </w:r>
    </w:p>
    <w:p>
      <w:r>
        <w:t>L'absence en Algérie de certains médicaments apparentés (RILUTEK / riluzole pour la SLA, ZOLGENSMA / onasemnogène abeparvovec pour la SMA, 3,4-DAP / amifampridine pour le Lambert-Eaton, MESTINON LP / Timespan pour la couverture nocturne de la myasthénie, PROSTIGMIN / néostigmine bromure orale, IgIV sous-cutanées) doit être connue du pharmacien pour informer correctement les patients et orienter vers les alternatives disponibles ou les protocoles d'accès compassionnel éventuels.</w:t>
      </w:r>
    </w:p>
    <w:p>
      <w:pPr>
        <w:pStyle w:val="Heading2"/>
      </w:pPr>
      <w:r>
        <w:t>Sources Bibliographiques</w:t>
      </w:r>
    </w:p>
    <w:p>
      <w:pPr>
        <w:pStyle w:val="ListNumber"/>
      </w:pPr>
      <w:r>
        <w:t>VIDAL 2024 — Dictionnaire des spécialités pharmaceutiques. Éditions VIDAL, Paris.</w:t>
      </w:r>
    </w:p>
    <w:p>
      <w:pPr>
        <w:pStyle w:val="ListNumber"/>
      </w:pPr>
      <w:r>
        <w:t>ANSM (Agence Nationale de Sécurité du Médicament et des Produits de Santé) — Résumés des Caractéristiques du Produit (RCP) : MESTINON, SPINRAZA, EVRYSDI, KIOVIG, PRIVIGEN, FLEBOGAMMA DIF, CLAIRYG, INTRATECT, OCTAGAM, TELGENE.</w:t>
      </w:r>
    </w:p>
    <w:p>
      <w:pPr>
        <w:pStyle w:val="ListNumber"/>
      </w:pPr>
      <w:r>
        <w:t>Thériaque — Banque de données indépendante sur les médicaments commercialisés en France. Centre National Hospitalier d'Information sur le Médicament (CNHIM).</w:t>
      </w:r>
    </w:p>
    <w:p>
      <w:pPr>
        <w:pStyle w:val="ListNumber"/>
      </w:pPr>
      <w:r>
        <w:t>CRAT (Centre de Référence sur les Agents Tératogènes) — Fiches de grossesse et allaitement : pyridostigmine, néostigmine, nusinersen, risdiplam, immunoglobulines IV. Hôpital Armand-Trousseau, Paris.</w:t>
      </w:r>
    </w:p>
    <w:p>
      <w:pPr>
        <w:pStyle w:val="ListNumber"/>
      </w:pPr>
      <w:r>
        <w:t>EAN (European Academy of Neurology) / PNS (Peripheral Nerve Society) 2019 — Guideline on diagnosis and treatment of Guillain-Barré syndrome. Eur J Neurol. 2019;26(8):1113-1130.</w:t>
      </w:r>
    </w:p>
    <w:p>
      <w:pPr>
        <w:pStyle w:val="ListNumber"/>
      </w:pPr>
      <w:r>
        <w:t>EAN / PNS 2021 — Guideline on diagnosis and treatment of chronic inflammatory demyelinating polyradiculoneuropathy. Eur J Neurol. 2021;28(9):3249-3265.</w:t>
      </w:r>
    </w:p>
    <w:p>
      <w:pPr>
        <w:pStyle w:val="ListNumber"/>
      </w:pPr>
      <w:r>
        <w:t>Myasthenia Gravis Foundation of America (MGFA) 2020 — International Consensus Guidance for Management of Myasthenia Gravis. Neurology. 2021;96(2):114-122.</w:t>
      </w:r>
    </w:p>
    <w:p>
      <w:pPr>
        <w:pStyle w:val="ListNumber"/>
      </w:pPr>
      <w:r>
        <w:t>UpToDate — Myasthenia gravis, Guillain-Barré syndrome, CIDP, SMA, Lambert-Eaton syndrome. Articles en ligne (www.uptodate.com).</w:t>
      </w:r>
    </w:p>
    <w:p>
      <w:pPr>
        <w:pStyle w:val="ListNumber"/>
      </w:pPr>
      <w:r>
        <w:t>Micromedex — Drug information database. IBM Watson Health.</w:t>
      </w:r>
    </w:p>
    <w:p>
      <w:pPr>
        <w:pStyle w:val="ListNumber"/>
      </w:pPr>
      <w:r>
        <w:t>Hoch W, McConville J, Helms S, Newsom-Davis J, Melms A, Vincent A. Auto-antibodies to the receptor tyrosine kinase MuSK in patients with myasthenia gravis without acetylcholine receptor antibodies. Nat Med. 2001;7(3):365-368.</w:t>
      </w:r>
    </w:p>
    <w:p>
      <w:pPr>
        <w:pStyle w:val="ListNumber"/>
      </w:pPr>
      <w:r>
        <w:t>Patrick J, Lindstrom J. Autoimmune response to acetylcholine receptor. Science. 1973;180(4088):871-872.</w:t>
      </w:r>
    </w:p>
    <w:p>
      <w:pPr>
        <w:pStyle w:val="ListNumber"/>
      </w:pPr>
      <w:r>
        <w:t>Walker MB. Treatment of myasthenia gravis with physostigmine. Lancet. 1934;1:1200-1201.</w:t>
      </w:r>
    </w:p>
    <w:p>
      <w:pPr>
        <w:pStyle w:val="ListNumber"/>
      </w:pPr>
      <w:r>
        <w:t>Lefebvre S, Bürglen L, Reboullet S, et al. Identification and characterization of a spinal muscular atrophy-determining gene. Cell. 1995;80(1):155-165.</w:t>
      </w:r>
    </w:p>
    <w:p>
      <w:pPr>
        <w:pStyle w:val="ListNumber"/>
      </w:pPr>
      <w:r>
        <w:t>Lorson CL, Hahnen E, Androphy EJ, Wirth B. A single nucleotide in the SMN gene regulates splicing and is responsible for spinal muscular atrophy. Proc Natl Acad Sci USA. 1999;96(11):6307-6311.</w:t>
      </w:r>
    </w:p>
    <w:p>
      <w:pPr>
        <w:pStyle w:val="ListNumber"/>
      </w:pPr>
      <w:r>
        <w:t>Singh NK, Singh NN, Androphy EJ, Singh RN. Splicing of a critical exon of human Survival Motor Neuron is regulated by a unique silencer element located in the long intron downstream. Mol Cell Biol. 2006;26(4):1333-1346.</w:t>
      </w:r>
    </w:p>
    <w:p>
      <w:pPr>
        <w:pStyle w:val="ListNumber"/>
      </w:pPr>
      <w:r>
        <w:t>Finkel RS, Chiriboga CA, Vajsar J, et al. Treatment of infantile-onset spinal muscular atrophy with nusinersen: a phase 2, open-label, dose-escalation study. Lancet. 2016;388(10063):3017-3026.</w:t>
      </w:r>
    </w:p>
    <w:p>
      <w:pPr>
        <w:pStyle w:val="ListNumber"/>
      </w:pPr>
      <w:r>
        <w:t>Finkel RS, Mercuri E, Darras BT, et al. Nusinersen versus Sham Control in Infantile-Onset Spinal Muscular Atrophy. N Engl J Med. 2017;377(18):1723-1732. [ENDEAR trial]</w:t>
      </w:r>
    </w:p>
    <w:p>
      <w:pPr>
        <w:pStyle w:val="ListNumber"/>
      </w:pPr>
      <w:r>
        <w:t>Mercuri E, Darras BT, Chiriboga CA, et al. Nusinersen versus Sham Control in Later-Onset Spinal Muscular Atrophy. N Engl J Med. 2018;378(7):625-635. [CHERISH trial]</w:t>
      </w:r>
    </w:p>
    <w:p>
      <w:pPr>
        <w:pStyle w:val="ListNumber"/>
      </w:pPr>
      <w:r>
        <w:t>De Vivo DC, Bertini E, Swoboda KJ, et al. Nusinersen initiated in infants during the presymptomatic stage of spinal muscular atrophy: Interim efficacy and safety results of the Phase 2 NURTURE study. Neuromuscul Disord. 2019;29(11):842-856.</w:t>
      </w:r>
    </w:p>
    <w:p>
      <w:pPr>
        <w:pStyle w:val="ListNumber"/>
      </w:pPr>
      <w:r>
        <w:t>Mercuri E, Deconinck N, Mazzone ES, et al. Safety and effectiveness of onasemnogene abeparvovec in patients with spinal muscular atrophy: results from the phase 3 STR1VE-EU trial. Lancet Neurol. 2022;21(9):810-820.</w:t>
      </w:r>
    </w:p>
    <w:p>
      <w:pPr>
        <w:pStyle w:val="ListNumber"/>
      </w:pPr>
      <w:r>
        <w:t>Baranello G, Darras BT, Day JW, et al. Risdiplam in Type 1 Spinal Muscular Atrophy. N Engl J Med. 2021;384(10):915-923. [FIREFISH trial]</w:t>
      </w:r>
    </w:p>
    <w:p>
      <w:pPr>
        <w:pStyle w:val="ListNumber"/>
      </w:pPr>
      <w:r>
        <w:t>Mercuri E, Deconinck N, Mazzone ES, et al. Safety and efficacy of once-daily risdiplam in type 2 and non-ambulant type 3 spinal muscular atrophy (SUNFISH part 2): a phase 3, double-blind, placebo-controlled, randomised trial. Lancet Neurol. 2022;21(1):42-52. [SUNFISH trial]</w:t>
      </w:r>
    </w:p>
    <w:p>
      <w:pPr>
        <w:pStyle w:val="ListNumber"/>
      </w:pPr>
      <w:r>
        <w:t>van der Meché FG, Schmitz PI. A randomized trial comparing intravenous immune globulin and plasma exchange in Guillain-Barré syndrome. Dutch Guillain-Barré Study Group. N Engl J Med. 1992;326(17):1123-1129.</w:t>
      </w:r>
    </w:p>
    <w:p>
      <w:pPr>
        <w:pStyle w:val="ListNumber"/>
      </w:pPr>
      <w:r>
        <w:t>Hughes RA, Brassington R, Gunn AA, van Doorn PA. Intravenous immunoglobulins for Guillain-Barré syndrome. Cochrane Database Syst Rev. 2016;(10):CD002063.</w:t>
      </w:r>
    </w:p>
    <w:p>
      <w:pPr>
        <w:pStyle w:val="ListNumber"/>
      </w:pPr>
      <w:r>
        <w:t>Efficace F, Mandelli F, Avvisati G, et al. Randomized phase III trial of intravenous immunoglobulins versus intravenous immunoglobulins plus prednisone in patients with newly diagnosed immune thrombocytopenia. Blood. 2010;115(16):3369-3375.</w:t>
      </w:r>
    </w:p>
    <w:p>
      <w:pPr>
        <w:pStyle w:val="ListNumber"/>
      </w:pPr>
      <w:r>
        <w:t>Schifferli JA, Ng YC, Paccaud JP, Walport MJ. The role of hypocomplementaemia in the regulation of immune complex adherence to human erythrocytes. Clin Exp Immunol. 1989;77(1):12-16.</w:t>
      </w:r>
    </w:p>
    <w:p>
      <w:pPr>
        <w:pStyle w:val="ListNumber"/>
      </w:pPr>
      <w:r>
        <w:t>Schwab I, Nimmerjahn F. Intravenous immunoglobulin therapy: how does IgG modulate the immune system? Nat Rev Immunol. 2013;13(3):176-189.</w:t>
      </w:r>
    </w:p>
    <w:p>
      <w:pPr>
        <w:pStyle w:val="ListNumber"/>
      </w:pPr>
      <w:r>
        <w:t>Nomenclature algérienne des médicaments à usage humain — Liste des médicaments commercialisés en Algérie, mise à jour Avril 2026. Ministère de la Santé, Direction de la Pharmacie et des Médicaments.</w:t>
      </w:r>
    </w:p>
    <w:p>
      <w:pPr>
        <w:pStyle w:val="ListNumber"/>
      </w:pPr>
      <w:r>
        <w:t>Goodman &amp; Gilman's — The Pharmacological Basis of Therapeutics. 14e edition. McGraw-Hill, 2023. Chapitre 11 (Cholinergic agonists and inhibitors), chapitre 70 (Immunoglobulins and immunomodulators).</w:t>
      </w:r>
    </w:p>
    <w:p>
      <w:pPr>
        <w:pStyle w:val="ListNumber"/>
      </w:pPr>
      <w:r>
        <w:t>Katzung BG — Basic and Clinical Pharmacology. 16e edition. McGraw-Hill, 2024. Chapitre 7 (Cholinesterase inhibitors), chapitre 55 (Immunosuppressive drugs).</w:t>
      </w:r>
    </w:p>
    <w:p>
      <w:pPr>
        <w:pStyle w:val="ListNumber"/>
      </w:pPr>
      <w:r>
        <w:t>Stahl SM — Stahl's Essential Psychopharmacology. 5e edition. Cambridge University Press, 2021. (Pour le contexte des neurosciences).</w:t>
      </w:r>
    </w:p>
    <w:p>
      <w:pPr>
        <w:pStyle w:val="ListNumber"/>
      </w:pPr>
      <w:r>
        <w:t>Rowland LP — Merritt's Neurology. 14e edition. Lippincott Williams &amp; Wilkins, 2020. Chapitre 78 (Myasthenia gravis), chapitre 80 (Guillain-Barré syndrome), chapitre 84 (Spinal muscular atrophy).</w:t>
      </w:r>
    </w:p>
    <w:p>
      <w:pPr>
        <w:pStyle w:val="ListNumber"/>
      </w:pPr>
      <w:r>
        <w:t>EMA (European Medicines Agency) — Assessment Reports : SPINRAZA (EPAR 2017), EVRYSDI (EPAR 2020), KIOVIG (EPAR 2004), PRIVIGEN (EPAR 2007), OCTAGAM (EPAR 2008), FLEBOGAMMA DIF (EPAR 2006), CLAIRYG (EPAR 2018), INTRATECT (EPAR 2011), TELGENE (EPAR 2018).</w:t>
      </w:r>
    </w:p>
    <w:p>
      <w:pPr>
        <w:pStyle w:val="ListNumber"/>
      </w:pPr>
      <w:r>
        <w:t>ANSM — Vaccins vivants atténués et IgIV : recommandations d'espacement (3-6 mois selon la dose, 8-11 mois pour le vaccin rougeole après dose immunomodulatrice ≥ 2 g/kg).</w:t>
      </w:r>
    </w:p>
    <w:p>
      <w:r/>
      <w:r>
        <w:rPr>
          <w:i/>
        </w:rPr>
        <w:t>Fin du Chapitre 94 — Maladies Neuromusculaires et Immunothérapies (IgIV)</w:t>
      </w:r>
      <w:r/>
    </w:p>
    <w:p>
      <w:r/>
      <w:r>
        <w:rPr>
          <w:i/>
        </w:rPr>
        <w:t>Fascicule XI — Neurologie / Antiépileptiques</w:t>
      </w:r>
      <w:r/>
    </w:p>
    <w:p>
      <w:r/>
      <w:r>
        <w:rPr>
          <w:i/>
        </w:rPr>
        <w:t>Tâche ID 94 — Rédaction : pharmacien d'officine algérien, spécialiste en pharmacologie clinique.</w:t>
      </w:r>
      <w:r/>
    </w:p>
    <w:p>
      <w:pPr>
        <w:pStyle w:val="Heading2"/>
      </w:pPr>
      <w:r>
        <w:t>Fascicule XI — Chapitre 95 : Antivertigineux et vasodilatateurs cérébraux</w:t>
      </w:r>
    </w:p>
    <w:p>
      <w:pPr>
        <w:pStyle w:val="Heading2"/>
      </w:pPr>
      <w:r>
        <w:t>Avant-propos du Chapitre 95</w:t>
      </w:r>
    </w:p>
    <w:p>
      <w:r>
        <w:t xml:space="preserve">Le présent chapitre constitue le </w:t>
      </w:r>
      <w:r>
        <w:rPr>
          <w:b/>
        </w:rPr>
        <w:t>cinquième et dernier volet thématique</w:t>
      </w:r>
      <w:r>
        <w:t xml:space="preserve"> du Fascicule XI consacré à la neurologie et aux antiépileptiques. Il aborde une classe thérapeutique transversale située à la frontière entre </w:t>
      </w:r>
      <w:r>
        <w:rPr>
          <w:b/>
        </w:rPr>
        <w:t>neurologie fonctionnelle</w:t>
      </w:r>
      <w:r>
        <w:t xml:space="preserve"> (vertiges, troubles vestibulaires), </w:t>
      </w:r>
      <w:r>
        <w:rPr>
          <w:b/>
        </w:rPr>
        <w:t>neurologie vasculaire</w:t>
      </w:r>
      <w:r>
        <w:t xml:space="preserve"> (insuffisance vertébro-basilaire, séquelles d'accident vasculaire cérébral) et </w:t>
      </w:r>
      <w:r>
        <w:rPr>
          <w:b/>
        </w:rPr>
        <w:t>gériatrie neurocognitive</w:t>
      </w:r>
      <w:r>
        <w:t xml:space="preserve"> (troubles cognitifs liés à l'âge, démences dégénératives et vasculaires). Cette classe regroupe les </w:t>
      </w:r>
      <w:r>
        <w:rPr>
          <w:b/>
        </w:rPr>
        <w:t>antivertigineux histaminergiques</w:t>
      </w:r>
      <w:r>
        <w:t xml:space="preserve"> (bétahistine) d'une part, et les </w:t>
      </w:r>
      <w:r>
        <w:rPr>
          <w:b/>
        </w:rPr>
        <w:t>vasodilatateurs cérébraux</w:t>
      </w:r>
      <w:r>
        <w:t xml:space="preserve"> d'autre part, cette dernière catégorie se subdivisant en deux sous-classes pharmacologiquement distinctes : les </w:t>
      </w:r>
      <w:r>
        <w:rPr>
          <w:b/>
        </w:rPr>
        <w:t>vasodilatateurs cérébraux phytothérapie</w:t>
      </w:r>
      <w:r>
        <w:t xml:space="preserve"> (extrait standardisé de Ginkgo biloba — EGb 761®) et les </w:t>
      </w:r>
      <w:r>
        <w:rPr>
          <w:b/>
        </w:rPr>
        <w:t>vasodilatateurs cérébraux précurseurs membranaires</w:t>
      </w:r>
      <w:r>
        <w:t xml:space="preserve"> (citicoline — CDP-choline).</w:t>
      </w:r>
    </w:p>
    <w:p>
      <w:r>
        <w:t xml:space="preserve">Contrairement aux chapitres précédents (91 à 94) qui traitaient des antiépileptiques de fond et d'urgence, de la sclérose en plaques et des maladies neuromusculaires — classes thérapeutiques reposant sur des preuves d'efficacité robustes (essais randomisés de phase III, méta-analyses Cochrane, recommandations ANSM/HAS/EAN/NICE/AAN) — le présent chapitre se singularise par le niveau de preuve scientifique </w:t>
      </w:r>
      <w:r>
        <w:rPr>
          <w:b/>
        </w:rPr>
        <w:t>plus modeste</w:t>
      </w:r>
      <w:r>
        <w:t xml:space="preserve"> des molécules étudiées. La bétahistine, le Ginkgo biloba et la citicoline partagent une caractéristique commune : il s'agit de traitements </w:t>
      </w:r>
      <w:r>
        <w:rPr>
          <w:b/>
        </w:rPr>
        <w:t>symptomatiques chroniques</w:t>
      </w:r>
      <w:r>
        <w:t xml:space="preserve"> dont l'efficacité clinique, bien que reconnue par les autorités d'enregistrement (AMM maintenue) et confirmée par l'expérience clinique quotidienne, reste l'objet de débats scientifiques dans la littérature internationale. Cette particularité impose au pharmacien d'officine une </w:t>
      </w:r>
      <w:r>
        <w:rPr>
          <w:b/>
        </w:rPr>
        <w:t>lecture critique des prescriptions</w:t>
      </w:r>
      <w:r>
        <w:t xml:space="preserve">, une </w:t>
      </w:r>
      <w:r>
        <w:rPr>
          <w:b/>
        </w:rPr>
        <w:t>éducation thérapeutique rigoureuse du patient</w:t>
      </w:r>
      <w:r>
        <w:t xml:space="preserve"> (notamment sur les délais d'action différée de plusieurs semaines et la nécessité d'un traitement prolongé), et une </w:t>
      </w:r>
      <w:r>
        <w:rPr>
          <w:b/>
        </w:rPr>
        <w:t>surveillance renforcée des interactions médicamenteuses</w:t>
      </w:r>
      <w:r>
        <w:t xml:space="preserve"> (particulièrement pour le Ginkgo biloba dont le ginkgolide B inhibe le facteur d'activation plaquettaire — PAF — et expose au risque hémorragique en association avec anticoagulants et antiagrégants plaquettaires).</w:t>
      </w:r>
    </w:p>
    <w:p>
      <w:r>
        <w:t xml:space="preserve">Le champ thérapeutique couvert comprend </w:t>
      </w:r>
      <w:r>
        <w:rPr>
          <w:b/>
        </w:rPr>
        <w:t>3 DCI</w:t>
      </w:r>
      <w:r>
        <w:t xml:space="preserve"> structurées en trois sous-classes distinctes :</w:t>
      </w:r>
    </w:p>
    <w:p>
      <w:pPr>
        <w:pStyle w:val="ListNumber"/>
      </w:pPr>
      <w:r/>
      <w:r>
        <w:rPr>
          <w:b/>
        </w:rPr>
        <w:t>Antivertigineux histaminergiques</w:t>
      </w:r>
      <w:r>
        <w:t xml:space="preserve"> (1 DCI) : Bétahistine — agoniste partiel H1 et antagoniste H3, indiquée dans la maladie de Ménière et les vertiges vestibulaires</w:t>
      </w:r>
    </w:p>
    <w:p>
      <w:pPr>
        <w:pStyle w:val="ListNumber"/>
      </w:pPr>
      <w:r/>
      <w:r>
        <w:rPr>
          <w:b/>
        </w:rPr>
        <w:t>Vasodilatateurs cérébraux phytothérapie</w:t>
      </w:r>
      <w:r>
        <w:t xml:space="preserve"> (1 DCI) : Extrait de Ginkgo biloba — extrait standardisé EGb 761®, indiqué dans les troubles cognitifs liés à l'âge et l'artériopathie oblitérante des membres inférieurs</w:t>
      </w:r>
    </w:p>
    <w:p>
      <w:pPr>
        <w:pStyle w:val="ListNumber"/>
      </w:pPr>
      <w:r/>
      <w:r>
        <w:rPr>
          <w:b/>
        </w:rPr>
        <w:t>Vasodilatateurs cérébraux précurseurs membranaires</w:t>
      </w:r>
      <w:r>
        <w:t xml:space="preserve"> (1 DCI) : Citicoline (CDP-choline) — précurseur de la phosphatidylcholine, indiqué dans les troubles cognitifs du sujet âgé et la récupération post-AVC</w:t>
      </w:r>
    </w:p>
    <w:p>
      <w:r>
        <w:t xml:space="preserve">Ces trois molécules, largement prescrites en Algérie (la bétahistine figure parmi les 100 molécules les plus délivrées en officine, et le Ginkgo biloba connaît une popularité croissante chez les sujets âgés pour la « mémoire »), sont commercialisées sous plus de </w:t>
      </w:r>
      <w:r>
        <w:rPr>
          <w:b/>
        </w:rPr>
        <w:t>30 spécialités pharmaceutiques</w:t>
      </w:r>
      <w:r>
        <w:t xml:space="preserve"> (actives, non renouvelables ou retirées), incluant des formes orales solides (comprimés, comprimés pelliculés, gélules), des formes orales liquides (solutions buvables, gouttes) et des formes injectables (IM/IV pour la citicoline). L'analyse exhaustive de chaque DCI, de chaque spécialité, de chaque dosage et de chaque piège thérapeutique constitue l'objet de ce chapitre final du Fascicule XI.</w:t>
      </w:r>
    </w:p>
    <w:p>
      <w:pPr>
        <w:pStyle w:val="Heading3"/>
      </w:pPr>
      <w:r>
        <w:t>Sources académiques mobilisées</w:t>
      </w:r>
    </w:p>
    <w:p>
      <w:pPr>
        <w:pStyle w:val="ListBullet"/>
      </w:pPr>
      <w:r/>
      <w:r>
        <w:rPr>
          <w:b/>
        </w:rPr>
        <w:t>VIDAL</w:t>
      </w:r>
      <w:r>
        <w:t xml:space="preserve"> : RCP officiels, posologies, interactions médicamenteuses</w:t>
      </w:r>
    </w:p>
    <w:p>
      <w:pPr>
        <w:pStyle w:val="ListBullet"/>
      </w:pPr>
      <w:r/>
      <w:r>
        <w:rPr>
          <w:b/>
        </w:rPr>
        <w:t>ANSM</w:t>
      </w:r>
      <w:r>
        <w:t xml:space="preserve"> (Agence Nationale de Sécurité du Médicament) : recommandations, mises en garde, RCP</w:t>
      </w:r>
    </w:p>
    <w:p>
      <w:pPr>
        <w:pStyle w:val="ListBullet"/>
      </w:pPr>
      <w:r/>
      <w:r>
        <w:rPr>
          <w:b/>
        </w:rPr>
        <w:t>Thériaque</w:t>
      </w:r>
      <w:r>
        <w:t xml:space="preserve"> (CNHIM) : banque française indépendante (interactions, équivalences)</w:t>
      </w:r>
    </w:p>
    <w:p>
      <w:pPr>
        <w:pStyle w:val="ListBullet"/>
      </w:pPr>
      <w:r/>
      <w:r>
        <w:rPr>
          <w:b/>
        </w:rPr>
        <w:t>CRAT</w:t>
      </w:r>
      <w:r>
        <w:t xml:space="preserve"> (Centre de Renseignement sur les Agents Tératogènes) : données grossesse/allaitement</w:t>
      </w:r>
    </w:p>
    <w:p>
      <w:pPr>
        <w:pStyle w:val="ListBullet"/>
      </w:pPr>
      <w:r/>
      <w:r>
        <w:rPr>
          <w:b/>
        </w:rPr>
        <w:t>HAS</w:t>
      </w:r>
      <w:r>
        <w:t xml:space="preserve"> (Haute Autorité de Santé) : service médical rendu (SMR), avis de transparence</w:t>
      </w:r>
    </w:p>
    <w:p>
      <w:pPr>
        <w:pStyle w:val="ListBullet"/>
      </w:pPr>
      <w:r/>
      <w:r>
        <w:rPr>
          <w:b/>
        </w:rPr>
        <w:t>EMA</w:t>
      </w:r>
      <w:r>
        <w:t xml:space="preserve"> (European Medicines Agency) : évaluations EGb 761® (Ginkgo biloba)</w:t>
      </w:r>
    </w:p>
    <w:p>
      <w:pPr>
        <w:pStyle w:val="ListBullet"/>
      </w:pPr>
      <w:r/>
      <w:r>
        <w:rPr>
          <w:b/>
        </w:rPr>
        <w:t>Cochrane Database of Systematic Reviews</w:t>
      </w:r>
      <w:r>
        <w:t xml:space="preserve"> : méta-analyses bétahistine (Murdin 2016), Ginkgo biloba (Birks 2007, Gauthier 2012), citicoline (Fioravanti 2012)</w:t>
      </w:r>
    </w:p>
    <w:p>
      <w:pPr>
        <w:pStyle w:val="ListBullet"/>
      </w:pPr>
      <w:r/>
      <w:r>
        <w:rPr>
          <w:b/>
        </w:rPr>
        <w:t>NICE</w:t>
      </w:r>
      <w:r>
        <w:t xml:space="preserve"> (National Institute for Health and Care Excellence) : guidelines démence (NG97), AVC (CG68)</w:t>
      </w:r>
    </w:p>
    <w:p>
      <w:pPr>
        <w:pStyle w:val="ListBullet"/>
      </w:pPr>
      <w:r/>
      <w:r>
        <w:rPr>
          <w:b/>
        </w:rPr>
        <w:t>AAN</w:t>
      </w:r>
      <w:r>
        <w:t xml:space="preserve"> (American Academy of Neurology) : guidelines démence, AVC</w:t>
      </w:r>
    </w:p>
    <w:p>
      <w:pPr>
        <w:pStyle w:val="ListBullet"/>
      </w:pPr>
      <w:r/>
      <w:r>
        <w:rPr>
          <w:b/>
        </w:rPr>
        <w:t>UpToDate, Micromedex, Lexicomp</w:t>
      </w:r>
      <w:r>
        <w:t xml:space="preserve"> : référentiels internationaux</w:t>
      </w:r>
    </w:p>
    <w:p>
      <w:pPr>
        <w:pStyle w:val="ListBullet"/>
      </w:pPr>
      <w:r/>
      <w:r>
        <w:rPr>
          <w:b/>
        </w:rPr>
        <w:t>Goodman &amp; Gilman's</w:t>
      </w:r>
      <w:r>
        <w:t xml:space="preserve"> (13e édition) : pharmacologie fondamentale</w:t>
      </w:r>
    </w:p>
    <w:p>
      <w:pPr>
        <w:pStyle w:val="ListBullet"/>
      </w:pPr>
      <w:r/>
      <w:r>
        <w:rPr>
          <w:b/>
        </w:rPr>
        <w:t>Katzung</w:t>
      </w:r>
      <w:r>
        <w:t xml:space="preserve"> (15e édition) : pharmacologie clinique</w:t>
      </w:r>
    </w:p>
    <w:p>
      <w:pPr>
        <w:pStyle w:val="ListBullet"/>
      </w:pPr>
      <w:r/>
      <w:r>
        <w:rPr>
          <w:b/>
        </w:rPr>
        <w:t>Stahl's Essential Psychopharmacology</w:t>
      </w:r>
      <w:r>
        <w:t xml:space="preserve"> (5e édition) : bases neurochimiques</w:t>
      </w:r>
    </w:p>
    <w:p>
      <w:pPr>
        <w:pStyle w:val="ListBullet"/>
      </w:pPr>
      <w:r/>
      <w:r>
        <w:rPr>
          <w:b/>
        </w:rPr>
        <w:t>Nomenclature algérienne des médicaments</w:t>
      </w:r>
      <w:r>
        <w:t xml:space="preserve"> (Avril 2026) : spécialités commerciales</w:t>
      </w:r>
    </w:p>
    <w:p>
      <w:pPr>
        <w:pStyle w:val="Heading3"/>
      </w:pPr>
      <w:r>
        <w:t>Contexte épidémiologique algérien</w:t>
      </w:r>
    </w:p>
    <w:p>
      <w:pPr>
        <w:pStyle w:val="ListBullet"/>
      </w:pPr>
      <w:r/>
      <w:r>
        <w:rPr>
          <w:b/>
        </w:rPr>
        <w:t>Prévalence des vertiges chroniques</w:t>
      </w:r>
      <w:r>
        <w:t xml:space="preserve"> : ~5 % de la population adulte (prévalence vie-entière ~30 %), augmentation marquée avec l'âge (15-20 % des &gt; 65 ans)</w:t>
      </w:r>
    </w:p>
    <w:p>
      <w:pPr>
        <w:pStyle w:val="ListBullet"/>
      </w:pPr>
      <w:r/>
      <w:r>
        <w:rPr>
          <w:b/>
        </w:rPr>
        <w:t>Maladie de Ménière</w:t>
      </w:r>
      <w:r>
        <w:t xml:space="preserve"> : ~0,2 % de la population (prévalence ~200/100 000), 4 fois plus fréquente que la sclérose en plaques</w:t>
      </w:r>
    </w:p>
    <w:p>
      <w:pPr>
        <w:pStyle w:val="ListBullet"/>
      </w:pPr>
      <w:r/>
      <w:r>
        <w:rPr>
          <w:b/>
        </w:rPr>
        <w:t>Troubles cognitifs liés à l'âge</w:t>
      </w:r>
      <w:r>
        <w:t xml:space="preserve"> (MCI — Mild Cognitive Impairment) : ~10-15 % des &gt; 65 ans</w:t>
      </w:r>
    </w:p>
    <w:p>
      <w:pPr>
        <w:pStyle w:val="ListBullet"/>
      </w:pPr>
      <w:r/>
      <w:r>
        <w:rPr>
          <w:b/>
        </w:rPr>
        <w:t>Démence (toutes causes confondues)</w:t>
      </w:r>
      <w:r>
        <w:t xml:space="preserve"> : ~5-8 % des &gt; 65 ans en Algérie (vieillissement démographique progressif)</w:t>
      </w:r>
    </w:p>
    <w:p>
      <w:pPr>
        <w:pStyle w:val="ListBullet"/>
      </w:pPr>
      <w:r/>
      <w:r>
        <w:rPr>
          <w:b/>
        </w:rPr>
        <w:t>Accident vasculaire cérébral (AVC)</w:t>
      </w:r>
      <w:r>
        <w:t xml:space="preserve"> : première cause de handicap acquis chez l'adulte, incidence ~150-200/100 000/an en Algérie</w:t>
      </w:r>
    </w:p>
    <w:p>
      <w:pPr>
        <w:pStyle w:val="ListBullet"/>
      </w:pPr>
      <w:r/>
      <w:r>
        <w:rPr>
          <w:b/>
        </w:rPr>
        <w:t>Artériopathie oblitérante des membres inférieurs (AOMI)</w:t>
      </w:r>
      <w:r>
        <w:t xml:space="preserve"> : ~3-5 % des &gt; 40 ans, ~15 % des &gt; 70 ans</w:t>
      </w:r>
    </w:p>
    <w:p>
      <w:pPr>
        <w:pStyle w:val="ListBullet"/>
      </w:pPr>
      <w:r>
        <w:t>Coût mensuel moyen du traitement : variable selon DCI et formes (bétahistine générique ~200-300 DA/mois ; Ginkgo biloba ~300-500 DA/mois ; citicoline injectable ~800-1200 DA/boîte)</w:t>
      </w:r>
    </w:p>
    <w:p>
      <w:pPr>
        <w:pStyle w:val="ListBullet"/>
      </w:pPr>
      <w:r>
        <w:t>Observance thérapeutique : problème majeur (efficacité différée, traitement prolongé, EI digestifs)</w:t>
      </w:r>
    </w:p>
    <w:p>
      <w:pPr>
        <w:pStyle w:val="Heading2"/>
      </w:pPr>
      <w:r>
        <w:t>Sommaire du Chapitre 95</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Section</w:t>
            </w:r>
          </w:p>
        </w:tc>
        <w:tc>
          <w:tcPr>
            <w:tcW w:type="dxa" w:w="3118"/>
          </w:tcPr>
          <w:p>
            <w:r>
              <w:rPr>
                <w:b/>
                <w:sz w:val="20"/>
              </w:rPr>
              <w:t>Sous-classes traitées</w:t>
            </w:r>
          </w:p>
        </w:tc>
        <w:tc>
          <w:tcPr>
            <w:tcW w:type="dxa" w:w="3118"/>
          </w:tcPr>
          <w:p>
            <w:r>
              <w:rPr>
                <w:b/>
                <w:sz w:val="20"/>
              </w:rPr>
              <w:t>DCI</w:t>
            </w:r>
          </w:p>
        </w:tc>
      </w:tr>
      <w:tr>
        <w:tc>
          <w:tcPr>
            <w:tcW w:type="dxa" w:w="3118"/>
          </w:tcPr>
          <w:p>
            <w:r>
              <w:rPr>
                <w:sz w:val="20"/>
              </w:rPr>
              <w:t>95.1</w:t>
            </w:r>
          </w:p>
        </w:tc>
        <w:tc>
          <w:tcPr>
            <w:tcW w:type="dxa" w:w="3118"/>
          </w:tcPr>
          <w:p>
            <w:r>
              <w:rPr>
                <w:sz w:val="20"/>
              </w:rPr>
              <w:t>Antivertigineux — Histaminergiques</w:t>
            </w:r>
          </w:p>
        </w:tc>
        <w:tc>
          <w:tcPr>
            <w:tcW w:type="dxa" w:w="3118"/>
          </w:tcPr>
          <w:p>
            <w:r>
              <w:rPr>
                <w:sz w:val="20"/>
              </w:rPr>
              <w:t>Bétahistine</w:t>
            </w:r>
          </w:p>
        </w:tc>
      </w:tr>
      <w:tr>
        <w:tc>
          <w:tcPr>
            <w:tcW w:type="dxa" w:w="3118"/>
          </w:tcPr>
          <w:p>
            <w:r>
              <w:rPr>
                <w:sz w:val="20"/>
              </w:rPr>
              <w:t>95.2</w:t>
            </w:r>
          </w:p>
        </w:tc>
        <w:tc>
          <w:tcPr>
            <w:tcW w:type="dxa" w:w="3118"/>
          </w:tcPr>
          <w:p>
            <w:r>
              <w:rPr>
                <w:sz w:val="20"/>
              </w:rPr>
              <w:t>Vasodilatateurs cérébraux — Phytothérapie</w:t>
            </w:r>
          </w:p>
        </w:tc>
        <w:tc>
          <w:tcPr>
            <w:tcW w:type="dxa" w:w="3118"/>
          </w:tcPr>
          <w:p>
            <w:r>
              <w:rPr>
                <w:sz w:val="20"/>
              </w:rPr>
              <w:t>Extrait de Ginkgo biloba</w:t>
            </w:r>
          </w:p>
        </w:tc>
      </w:tr>
      <w:tr>
        <w:tc>
          <w:tcPr>
            <w:tcW w:type="dxa" w:w="3118"/>
          </w:tcPr>
          <w:p>
            <w:r>
              <w:rPr>
                <w:sz w:val="20"/>
              </w:rPr>
              <w:t>95.3</w:t>
            </w:r>
          </w:p>
        </w:tc>
        <w:tc>
          <w:tcPr>
            <w:tcW w:type="dxa" w:w="3118"/>
          </w:tcPr>
          <w:p>
            <w:r>
              <w:rPr>
                <w:sz w:val="20"/>
              </w:rPr>
              <w:t>Vasodilatateurs cérébraux — Précurseurs membranaires</w:t>
            </w:r>
          </w:p>
        </w:tc>
        <w:tc>
          <w:tcPr>
            <w:tcW w:type="dxa" w:w="3118"/>
          </w:tcPr>
          <w:p>
            <w:r>
              <w:rPr>
                <w:sz w:val="20"/>
              </w:rPr>
              <w:t>Citicoline (usage neurologique)</w:t>
            </w:r>
          </w:p>
        </w:tc>
      </w:tr>
      <w:tr>
        <w:tc>
          <w:tcPr>
            <w:tcW w:type="dxa" w:w="3118"/>
          </w:tcPr>
          <w:p>
            <w:r>
              <w:rPr>
                <w:sz w:val="20"/>
              </w:rPr>
              <w:t>**Total**</w:t>
            </w:r>
          </w:p>
        </w:tc>
        <w:tc>
          <w:tcPr>
            <w:tcW w:type="dxa" w:w="3118"/>
          </w:tcPr>
          <w:p>
            <w:r>
              <w:rPr>
                <w:sz w:val="20"/>
              </w:rPr>
            </w:r>
          </w:p>
        </w:tc>
        <w:tc>
          <w:tcPr>
            <w:tcW w:type="dxa" w:w="3118"/>
          </w:tcPr>
          <w:p>
            <w:r>
              <w:rPr>
                <w:sz w:val="20"/>
              </w:rPr>
              <w:t>**3 DCI**</w:t>
            </w:r>
          </w:p>
        </w:tc>
      </w:tr>
    </w:tbl>
    <w:p/>
    <w:p>
      <w:pPr>
        <w:pStyle w:val="Heading2"/>
      </w:pPr>
      <w:r>
        <w:t>95.1 — Sous-classe : Antivertigineux — Histaminergiques</w:t>
      </w:r>
    </w:p>
    <w:p>
      <w:pPr>
        <w:pStyle w:val="Heading3"/>
      </w:pPr>
      <w:r>
        <w:t>Introduction à la sous-classe</w:t>
      </w:r>
    </w:p>
    <w:p>
      <w:r>
        <w:t xml:space="preserve">Les antivertigineux constituent une classe thérapeutique hétérogène regroupant les traitements symptomatiques des vertiges, définis cliniquement par la sensation rotatoire illusoire de déplacement du patient ou de son environnement. La prise en charge thérapeutique du vertige dépend étroitement de la cause sous-jacente : vertige positionnel paroxystique bénin (VPPB — manœuvre d'Epley), neurite vestibulaire (corticothérapie brève + rééducation vestibulaire), maladie de Ménière (régime hyposodé + bétahistine + diurétiques), vertige migraineux (antimigraineux de fond), vertige central (traitement étiologique). Parmi l'ensemble de ces stratégies, seule la </w:t>
      </w:r>
      <w:r>
        <w:rPr>
          <w:b/>
        </w:rPr>
        <w:t>bétahistine</w:t>
      </w:r>
      <w:r>
        <w:t xml:space="preserve"> possède une AMM spécifique dans le traitement de fond de la maladie de Ménière et des vertiges vestibulaires chroniques.</w:t>
      </w:r>
    </w:p>
    <w:p>
      <w:r>
        <w:t xml:space="preserve">La bétahistine (Bétahistine dichlorhydrate) est un </w:t>
      </w:r>
      <w:r>
        <w:rPr>
          <w:b/>
        </w:rPr>
        <w:t>analogue structural de l'histamine</w:t>
      </w:r>
      <w:r>
        <w:t xml:space="preserve"> (2-[2-(methylamino)ethyl]pyridine — apparenté à la pyridyl-éthylamine, métabolite histaminergique cérébral endogène), commercialisée depuis les années 1970 (Serc® — Abbott/AbbVie princeps, 1970s). Sa singularité pharmacologique repose sur un </w:t>
      </w:r>
      <w:r>
        <w:rPr>
          <w:b/>
        </w:rPr>
        <w:t>profil d'action histaminergique mixte</w:t>
      </w:r>
      <w:r>
        <w:t xml:space="preserve"> combinant :</w:t>
      </w:r>
    </w:p>
    <w:p>
      <w:pPr>
        <w:pStyle w:val="ListBullet"/>
      </w:pPr>
      <w:r>
        <w:t xml:space="preserve">Un </w:t>
      </w:r>
      <w:r>
        <w:rPr>
          <w:b/>
        </w:rPr>
        <w:t>agonisme partiel des récepteurs H1 post-synaptiques</w:t>
      </w:r>
      <w:r>
        <w:t xml:space="preserve"> (vasodilatation cochléaire et vestibulaire — augmentation du débit sanguin labyrinthique)</w:t>
      </w:r>
    </w:p>
    <w:p>
      <w:pPr>
        <w:pStyle w:val="ListBullet"/>
      </w:pPr>
      <w:r>
        <w:t xml:space="preserve">Un </w:t>
      </w:r>
      <w:r>
        <w:rPr>
          <w:b/>
        </w:rPr>
        <w:t>antagonisme (inverse agonisme) des récepteurs H3 auto-récepteurs pré-synaptiques</w:t>
      </w:r>
      <w:r>
        <w:t xml:space="preserve"> (augmentation de la libération d'histamine endogène au niveau des noyaux vestibulaires centraux)</w:t>
      </w:r>
    </w:p>
    <w:p>
      <w:pPr>
        <w:pStyle w:val="ListBullet"/>
      </w:pPr>
      <w:r>
        <w:t>Une modulation secondaire de la neurotransmission GABAergique et glutamatergique au niveau des noyaux vestibulaires (compensation vestibulaire centrale)</w:t>
      </w:r>
    </w:p>
    <w:p>
      <w:r>
        <w:t xml:space="preserve">L'histamine est un neurotransmetteur cérébral majeur, synthétisé par les neurones histaminergiques du noyau tubéromammillaire de l'hypothalamus postérieur (méthode des projections diffuses vers l'ensemble du système nerveux central, via le faisceau ascend antérieur). Les récepteurs H1 (couplés Gq — activation PLC → IP3/DAG → Ca²⁺ intracellulaire) sont impliqués dans l'éveil, la vigilance et la régulation vestibulaire. Les récepteurs H3 (couplés Gi/o — inhibition de l'adénylyl cyclase, diminution Ca²⁺ présynaptique) sont des </w:t>
      </w:r>
      <w:r>
        <w:rPr>
          <w:b/>
        </w:rPr>
        <w:t>auto-récepteurs inhibiteurs</w:t>
      </w:r>
      <w:r>
        <w:t xml:space="preserve"> dont le blocage lève la frein histaminergique endogène. Cette double action H1/H3 explique l'efficacité de la bétahistine dans le traitement de fond de la maladie de Ménière et des vertiges vestibulaires chroniques (réduction de la fréquence et de l'intensité des crises vertigineuses, amélioration de l'acouphène et de l'hypoacousie).</w:t>
      </w:r>
    </w:p>
    <w:p>
      <w:r>
        <w:t xml:space="preserve">Le niveau de preuve de la bétahistine reste cependant </w:t>
      </w:r>
      <w:r>
        <w:rPr>
          <w:b/>
        </w:rPr>
        <w:t>modeste</w:t>
      </w:r>
      <w:r>
        <w:t xml:space="preserve"> : la méta-analyse Cochrane (Murdin et al., 2016 — 17 essais randomisés, 1025 patients) conclut à une absence de différence significative versus placebo sur les critères primaires (vertige subjectif), en raison de l'hétérogénéité méthodologique importante (variabilité des doses, durée d'étude courte, effet placebo important). Néanmoins, la tolérance globalement bonne et l'expérience clinique de plus de 50 ans justifient le maintien de l'AMM et la place de la bétahistine comme traitement de première intention de la maladie de Ménière.</w:t>
      </w:r>
    </w:p>
    <w:p>
      <w:pPr>
        <w:pStyle w:val="Heading2"/>
      </w:pPr>
      <w:r>
        <w:t>95.2 — Sous-classe : Vasodilatateurs cérébraux — Phytothérapie</w:t>
      </w:r>
    </w:p>
    <w:p>
      <w:pPr>
        <w:pStyle w:val="Heading3"/>
      </w:pPr>
      <w:r>
        <w:t>Introduction à la sous-classe</w:t>
      </w:r>
    </w:p>
    <w:p>
      <w:r>
        <w:t>Les vasodilatateurs cérébraux phytothérapie regroupent les spécialités pharmaceutiques dérivées d'extraits végétaux standardisés administrés dans les troubles cognitifs chroniques et l'artériopathie oblitérante des membres inférieurs. La sous-classe est représentée en Algérie exclusivement par l'</w:t>
      </w:r>
      <w:r>
        <w:rPr>
          <w:b/>
        </w:rPr>
        <w:t>extrait standardisé de Ginkgo biloba</w:t>
      </w:r>
      <w:r>
        <w:t xml:space="preserve"> (EGb 761® — Ipsen, formulation de référence depuis 1975). Le Ginkgo biloba est l'arbre le plus ancien de la planète (fossile vivant — 270 millions d'années, Gymnosperme pré-glaciaire), unique représentant de la famille des Ginkgoacées. Ses feuilles sont utilisées en médecine traditionnelle chinoise depuis le 11e siècle (traitement de l'asthme et de la toux) ; l'extrait standardisé moderne EGb 761® a été développé par le Dr. Willmar Schwabe (Allemagne) en 1965 et par le Laboratoire Ipsen (France) en 1975.</w:t>
      </w:r>
    </w:p>
    <w:p>
      <w:r>
        <w:t xml:space="preserve">L'extrait de Ginkgo biloba EGb 761® est obtenu par extraction hydroxyacétonique des feuilles séchées, suivie d'une purification chromatographique conduisant à une standardisation à </w:t>
      </w:r>
      <w:r>
        <w:rPr>
          <w:b/>
        </w:rPr>
        <w:t>24 % d'hétérosides de ginkgo</w:t>
      </w:r>
      <w:r>
        <w:t xml:space="preserve"> (flavonoïdes — quercétine, kaempférol, isorhamnétine glycosylés) et </w:t>
      </w:r>
      <w:r>
        <w:rPr>
          <w:b/>
        </w:rPr>
        <w:t>6 % de ginkgolides-bilobalide</w:t>
      </w:r>
      <w:r>
        <w:t xml:space="preserve"> (terpènes lactoniques tricycliques et tetracycliques — ginkgolides A, B, C, J et bilobalide). Cette standardisation est essentielle pour garantir la reproductibilité de l'effet pharmacologique et la sécurité d'emploi (les acides ginkgoliques allergisants sont éliminés à &lt; 5 ppm).</w:t>
      </w:r>
    </w:p>
    <w:p>
      <w:r>
        <w:t>Les mécanismes d'action pharmacologiques sont multiples et synergiques :</w:t>
      </w:r>
    </w:p>
    <w:p>
      <w:pPr>
        <w:pStyle w:val="ListBullet"/>
      </w:pPr>
      <w:r/>
      <w:r>
        <w:rPr>
          <w:b/>
        </w:rPr>
        <w:t>Inhibition du facteur d'activation plaquettaire (PAF)</w:t>
      </w:r>
      <w:r>
        <w:t xml:space="preserve"> par le ginkgolide B (antagoniste compétitif spécifique du récepteur PAF — Ki ≈ 1 µM) — anti-agrégant plaquettaire, vasodilatation, protection contre l'ischémie cérébrale</w:t>
      </w:r>
    </w:p>
    <w:p>
      <w:pPr>
        <w:pStyle w:val="ListBullet"/>
      </w:pPr>
      <w:r/>
      <w:r>
        <w:rPr>
          <w:b/>
        </w:rPr>
        <w:t>Activité anti-oxydante</w:t>
      </w:r>
      <w:r>
        <w:t xml:space="preserve"> des hétérosides de ginkgo (piégeage des radicaux libres ROS/RNS, inhibition de la peroxydation lipidique membranaire, protection mitochondriale)</w:t>
      </w:r>
    </w:p>
    <w:p>
      <w:pPr>
        <w:pStyle w:val="ListBullet"/>
      </w:pPr>
      <w:r/>
      <w:r>
        <w:rPr>
          <w:b/>
        </w:rPr>
        <w:t xml:space="preserve"> Vasodilatation artériolaire</w:t>
      </w:r>
      <w:r>
        <w:t xml:space="preserve"> endothélium-dépendante (stimulation de la NO-synthase endothéliale eNOS → augmentation du monoxyde d'azote NO → relaxation des cellules musculaires lisses vasculaires)</w:t>
      </w:r>
    </w:p>
    <w:p>
      <w:pPr>
        <w:pStyle w:val="ListBullet"/>
      </w:pPr>
      <w:r/>
      <w:r>
        <w:rPr>
          <w:b/>
        </w:rPr>
        <w:t>Effets neuroprotecteurs</w:t>
      </w:r>
      <w:r>
        <w:t xml:space="preserve"> (protection contre l'apoptose neuronale, stimulation de la neuroplasticité, modulation de l'expression des neurotrophines BDNF)</w:t>
      </w:r>
    </w:p>
    <w:p>
      <w:pPr>
        <w:pStyle w:val="ListBullet"/>
      </w:pPr>
      <w:r/>
      <w:r>
        <w:rPr>
          <w:b/>
        </w:rPr>
        <w:t>Amélioration de la microcirculation</w:t>
      </w:r>
      <w:r>
        <w:t xml:space="preserve"> (réduction de la viscosité sanguine, baisse de l'agrégation érythrocytaire, augmentation de la déformabilité des globules rouges)</w:t>
      </w:r>
    </w:p>
    <w:p>
      <w:r>
        <w:t>Le niveau de preuve clinique est modéré : la méta-analyse Cochrane (Birks et al., 2007 — 36 essais, &gt; 4000 patients) conclut à un effet significatif versus placebo sur les symptômes cognitifs de la démence (effet modeste — ADAS-Cog improvement ~1,5 point) et sur la claudication intermittente (augmentation modeste de la distance de marche sans douleur ~30-50 m). Les recommandations HAS (2008 — démence) considèrent le Ginkgo biloba en option thérapeutique dans les troubles cognitifs légers à modérés. La prescription doit tenir compte du risque hémorragique en cas d'association avec anticoagulants (AVK, AOD) et antiagrégants plaquettaires (aspirine, clopidogrel) — interaction pharmacodynamique additive via l'inhibition du PAF par le ginkgolide B.</w:t>
      </w:r>
    </w:p>
    <w:p>
      <w:pPr>
        <w:pStyle w:val="Heading2"/>
      </w:pPr>
      <w:r>
        <w:t>95.3 — Sous-classe : Vasodilatateurs cérébraux — Précurseurs membranaires</w:t>
      </w:r>
    </w:p>
    <w:p>
      <w:pPr>
        <w:pStyle w:val="Heading3"/>
      </w:pPr>
      <w:r>
        <w:t>Introduction à la sous-classe</w:t>
      </w:r>
    </w:p>
    <w:p>
      <w:r>
        <w:t xml:space="preserve">Les vasodilatateurs cérébraux précurseurs membranaires constituent une sous-classe historiquement développée dans les années 1970-1980 pour le traitement des troubles cognitifs chroniques du sujet âgé et de la récupération post-AVC. La molécule principale en est la </w:t>
      </w:r>
      <w:r>
        <w:rPr>
          <w:b/>
        </w:rPr>
        <w:t>citicoline</w:t>
      </w:r>
      <w:r>
        <w:t xml:space="preserve"> (cytidine-5'-diphosphocholine — CDP-choline), intermédiaire métabolique endogène de la biosynthèse de la </w:t>
      </w:r>
      <w:r>
        <w:rPr>
          <w:b/>
        </w:rPr>
        <w:t>phosphatidylcholine</w:t>
      </w:r>
      <w:r>
        <w:t xml:space="preserve"> (PC), principal phospholipide des membranes cellulaires cérébrales (composant majeur de la bicouche lipidique neuronale et gliale, particulièrement riche dans la substance blanche). Commercialisée en Algérie principalement sous la marque SOMAZINA® (Ferrer Internacional — laboratoire espagnol qui a développé la molécule dans les années 1970), la citicoline est disponible en formes orale (solution buvable 100 mg/mL) et injectable (IM/IV — 125 mg/mL et 250 mg/mL).</w:t>
      </w:r>
    </w:p>
    <w:p>
      <w:r>
        <w:t xml:space="preserve">La citicoline (CDP-choline) est un </w:t>
      </w:r>
      <w:r>
        <w:rPr>
          <w:b/>
        </w:rPr>
        <w:t>donneur combiné de choline et de cytidine</w:t>
      </w:r>
      <w:r>
        <w:t xml:space="preserve"> (après hydrolyse intestinale et hépatique, ces deux précurseurs rejoignent la voie biosynthétique de Kennedy — biosynthèse de novo des phospholipides membranaires). La choline sert également de précurseur à la synthèse de l'</w:t>
      </w:r>
      <w:r>
        <w:rPr>
          <w:b/>
        </w:rPr>
        <w:t>acétylcholine</w:t>
      </w:r>
      <w:r>
        <w:t xml:space="preserve"> (neurotransmetteur déficitaire dans la maladie d'Alzheimer), tandis que la cytidine (convertie en CTP — cytidine triphosphate) active la biosynthèse des phospholipides membranaires nécessaires à la réparation des lésions ischémiques et dégénératives. Les mécanismes d'action neuroprotecteurs et neurotrophiques sont multiples :</w:t>
      </w:r>
    </w:p>
    <w:p>
      <w:pPr>
        <w:pStyle w:val="ListBullet"/>
      </w:pPr>
      <w:r/>
      <w:r>
        <w:rPr>
          <w:b/>
        </w:rPr>
        <w:t>Précurseur de la phosphatidylcholine</w:t>
      </w:r>
      <w:r>
        <w:t xml:space="preserve"> → réparation des membranes neuronales endommagées (ischémie, traumatisme, dégénérescence)</w:t>
      </w:r>
    </w:p>
    <w:p>
      <w:pPr>
        <w:pStyle w:val="ListBullet"/>
      </w:pPr>
      <w:r/>
      <w:r>
        <w:rPr>
          <w:b/>
        </w:rPr>
        <w:t>Précurseur de l'acétylcholine</w:t>
      </w:r>
      <w:r>
        <w:t xml:space="preserve"> → potentialisation de la neurotransmission cholinergique (effet pro-cognitif)</w:t>
      </w:r>
    </w:p>
    <w:p>
      <w:pPr>
        <w:pStyle w:val="ListBullet"/>
      </w:pPr>
      <w:r/>
      <w:r>
        <w:rPr>
          <w:b/>
        </w:rPr>
        <w:t>Stabilisation des membranes mitochondriales</w:t>
      </w:r>
      <w:r>
        <w:t xml:space="preserve"> → réduction de l'apoptose neuronale (inhibition de la voie caspase-3, préservation du potentiel transmembranaire mitochondrial ΔΨm)</w:t>
      </w:r>
    </w:p>
    <w:p>
      <w:pPr>
        <w:pStyle w:val="ListBullet"/>
      </w:pPr>
      <w:r/>
      <w:r>
        <w:rPr>
          <w:b/>
        </w:rPr>
        <w:t>Activation de la dopamine</w:t>
      </w:r>
      <w:r>
        <w:t xml:space="preserve"> (stimulation de la libération de dopamine striatale — effet extrapyramidal modeste)</w:t>
      </w:r>
    </w:p>
    <w:p>
      <w:pPr>
        <w:pStyle w:val="ListBullet"/>
      </w:pPr>
      <w:r/>
      <w:r>
        <w:rPr>
          <w:b/>
        </w:rPr>
        <w:t>Réduction de l'œdème cérébral</w:t>
      </w:r>
      <w:r>
        <w:t xml:space="preserve"> post-ischémique (effet anti-inflammatoire via inhibition de la phospholipase A2)</w:t>
      </w:r>
    </w:p>
    <w:p>
      <w:pPr>
        <w:pStyle w:val="ListBullet"/>
      </w:pPr>
      <w:r/>
      <w:r>
        <w:rPr>
          <w:b/>
        </w:rPr>
        <w:t>Augmentation de la S-adenosyl-méthionine (SAM)</w:t>
      </w:r>
      <w:r>
        <w:t xml:space="preserve"> → potentialisation des voies de méthylation</w:t>
      </w:r>
    </w:p>
    <w:p>
      <w:r>
        <w:t>Le niveau de preuve clinique est modeste et discuté : la méta-analyse Cochrane (Fioravanti et al., 2012 — 14 essais, &gt; 3000 patients AVC ischémique) suggère un effet bénéfique modeste sur la récupération neurologique à 3 mois (OR ~1,3 pour récupération complète ou partielle), mais l'hétérogénéité méthodologique (variabilité des doses, fenêtre thérapeutique, durées d'étude) limite la force de la conclusion. Les recommandations internationales actuelles (AHA/ASA 2019, ESO 2020 — AVC ischémique) ne recommandent pas systématiquement la citicoline dans la prise en charge de l'AVC aigu, mais son utilisation persiste dans les séquelles post-AVC et les troubles cognitifs chroniques du sujet âgé (indication maintenue dans l'AMM française et algérienne). La tolérance est globalement excellente (peu d'effets indésirables significatifs), ce qui justifie sa prescription au long cours en gériatrie.</w:t>
      </w:r>
    </w:p>
    <w:p>
      <w:pPr>
        <w:pStyle w:val="Heading3"/>
      </w:pPr>
      <w:r>
        <w:t>1. DCI : Bétahistine (Seule)</w:t>
      </w:r>
    </w:p>
    <w:p>
      <w:r/>
      <w:r>
        <w:rPr>
          <w:b/>
        </w:rPr>
        <w:t>Liste des Catégories :</w:t>
      </w:r>
      <w:r>
        <w:t xml:space="preserve"> Antivertigineux — Histaminergiques ; Médicaments des vertiges ; Traitements symptomatiques des troubles vestibulaires.</w:t>
      </w:r>
    </w:p>
    <w:p>
      <w:r>
        <w:t>La bétahistine (acide 2-[2-(methylamino)ethyl]pyridine dichlorhydrate) est un analogue structural de l'histamine, métabolite cérébral endogène des neurones du noyau tubéromammillaire hypothalamique. Commercialisée depuis le début des années 1970 (Serc® — Abbott), elle constitue le traitement de fond de référence de la maladie de Ménière et des vertiges vestibulaires chroniques. Sa pharmacologie se singularise par un profil d'action mixte combinant agonisme partiel H1 (vasodilatation labyrinthique) et antagonisme H3 (auto-récepteur inhibiteur — potentialisation de la libération d'histamine endogène au niveau des noyaux vestibulaires centraux). Administrée par voie orale, la bétahistine est absorbée rapidement (Tmax ~1-3 h), subit un effet de premier passage hépatique important (biodisponibilité ~5-15 %) et est métabolisée en acide 2-pyridylacétique (inactif) par la MAO-B (monoamine oxydase-B). La demi-vie d'élimination est courte (~3-4 h), imposant une administration pluriquotidienne (2 à 3 prises par jour). L'équilibre thérapeutique est atteint en ~7 jours, et la réponse clinique complète nécessite plusieurs semaines (voire 2-3 mois) de traitement continu.</w:t>
      </w:r>
    </w:p>
    <w:p>
      <w:r/>
      <w:r>
        <w:rPr>
          <w:b/>
        </w:rPr>
        <w:t>Médicaments disponibles en Algérie (Marques, Laboratoires, Formes et Dosages) :</w:t>
      </w:r>
      <w:r/>
    </w:p>
    <w:p>
      <w:pPr>
        <w:pStyle w:val="ListBullet"/>
      </w:pPr>
      <w:r/>
      <w:r>
        <w:rPr>
          <w:b/>
        </w:rPr>
        <w:t>ANATAX</w:t>
      </w:r>
      <w:r>
        <w:t xml:space="preserve"> (EL KENDI INDUSTRIE DU MEDICAMENT)</w:t>
      </w:r>
    </w:p>
    <w:p>
      <w:pPr>
        <w:pStyle w:val="ListBullet"/>
      </w:pPr>
      <w:r>
        <w:t>Formes et Dosages : Comprimé 8 mg (B/60) ; Comprimé 16 mg sécable (B/20) ; Comprimé 24 mg (B/60)</w:t>
      </w:r>
    </w:p>
    <w:p>
      <w:pPr>
        <w:pStyle w:val="ListBullet"/>
      </w:pPr>
      <w:r>
        <w:t>Statut : Actif</w:t>
      </w:r>
    </w:p>
    <w:p>
      <w:pPr>
        <w:pStyle w:val="ListBullet"/>
      </w:pPr>
      <w:r/>
      <w:r>
        <w:rPr>
          <w:b/>
        </w:rPr>
        <w:t>MEVERC</w:t>
      </w:r>
      <w:r>
        <w:t xml:space="preserve"> (LABORATOIRE ALGERIEN DU MEDICAMENT)</w:t>
      </w:r>
    </w:p>
    <w:p>
      <w:pPr>
        <w:pStyle w:val="ListBullet"/>
      </w:pPr>
      <w:r>
        <w:t>Formes et Dosages : Comprimé 8 mg (B/20) ; Comprimé 16 mg (B/20)</w:t>
      </w:r>
    </w:p>
    <w:p>
      <w:pPr>
        <w:pStyle w:val="ListBullet"/>
      </w:pPr>
      <w:r>
        <w:t>Statut : Actif</w:t>
      </w:r>
    </w:p>
    <w:p>
      <w:pPr>
        <w:pStyle w:val="ListBullet"/>
      </w:pPr>
      <w:r/>
      <w:r>
        <w:rPr>
          <w:b/>
        </w:rPr>
        <w:t>SERC</w:t>
      </w:r>
      <w:r>
        <w:t xml:space="preserve"> (MYLAN SAS — ancien Solvay Pharma)</w:t>
      </w:r>
    </w:p>
    <w:p>
      <w:pPr>
        <w:pStyle w:val="ListBullet"/>
      </w:pPr>
      <w:r>
        <w:t>Formes et Dosages : Comprimé 8 mg (B/100)</w:t>
      </w:r>
    </w:p>
    <w:p>
      <w:pPr>
        <w:pStyle w:val="ListBullet"/>
      </w:pPr>
      <w:r>
        <w:t>Statut : Actif (le princeps historique Abbott/Solvay)</w:t>
      </w:r>
    </w:p>
    <w:p>
      <w:pPr>
        <w:pStyle w:val="ListBullet"/>
      </w:pPr>
      <w:r/>
      <w:r>
        <w:rPr>
          <w:b/>
        </w:rPr>
        <w:t>BETASTINE FORT</w:t>
      </w:r>
      <w:r>
        <w:t xml:space="preserve"> (GEOPHARM)</w:t>
      </w:r>
    </w:p>
    <w:p>
      <w:pPr>
        <w:pStyle w:val="ListBullet"/>
      </w:pPr>
      <w:r>
        <w:t>Formes et Dosages : Comprimé 24 mg (B/60)</w:t>
      </w:r>
    </w:p>
    <w:p>
      <w:pPr>
        <w:pStyle w:val="ListBullet"/>
      </w:pPr>
      <w:r>
        <w:t>Statut : Actif</w:t>
      </w:r>
    </w:p>
    <w:p>
      <w:pPr>
        <w:pStyle w:val="ListBullet"/>
      </w:pPr>
      <w:r/>
      <w:r>
        <w:rPr>
          <w:b/>
        </w:rPr>
        <w:t>BETAHIST</w:t>
      </w:r>
      <w:r>
        <w:t xml:space="preserve"> (SANAMED)</w:t>
      </w:r>
    </w:p>
    <w:p>
      <w:pPr>
        <w:pStyle w:val="ListBullet"/>
      </w:pPr>
      <w:r>
        <w:t>Formes et Dosages : Comprimé 24 mg (B/60)</w:t>
      </w:r>
    </w:p>
    <w:p>
      <w:pPr>
        <w:pStyle w:val="ListBullet"/>
      </w:pPr>
      <w:r>
        <w:t>Statut : Actif</w:t>
      </w:r>
    </w:p>
    <w:p>
      <w:pPr>
        <w:pStyle w:val="ListBullet"/>
      </w:pPr>
      <w:r/>
      <w:r>
        <w:rPr>
          <w:b/>
        </w:rPr>
        <w:t>BETASERC</w:t>
      </w:r>
      <w:r>
        <w:t xml:space="preserve"> (ABBOTT LABORATOIRES GmBH)</w:t>
      </w:r>
    </w:p>
    <w:p>
      <w:pPr>
        <w:pStyle w:val="ListBullet"/>
      </w:pPr>
      <w:r>
        <w:t>Formes et Dosages : Comprimé 24 mg (B/60)</w:t>
      </w:r>
    </w:p>
    <w:p>
      <w:pPr>
        <w:pStyle w:val="ListBullet"/>
      </w:pPr>
      <w:r>
        <w:t>Statut : Actif (marque internationale Abbott — princeps mondial)</w:t>
      </w:r>
    </w:p>
    <w:p>
      <w:pPr>
        <w:pStyle w:val="ListBullet"/>
      </w:pPr>
      <w:r/>
      <w:r>
        <w:rPr>
          <w:b/>
        </w:rPr>
        <w:t>EQUIBREX</w:t>
      </w:r>
      <w:r>
        <w:t xml:space="preserve"> (LABORATOIRE MOBEN)</w:t>
      </w:r>
    </w:p>
    <w:p>
      <w:pPr>
        <w:pStyle w:val="ListBullet"/>
      </w:pPr>
      <w:r>
        <w:t>Formes et Dosages : Comprimé 24 mg (B/60)</w:t>
      </w:r>
    </w:p>
    <w:p>
      <w:pPr>
        <w:pStyle w:val="ListBullet"/>
      </w:pPr>
      <w:r>
        <w:t>Statut : Actif</w:t>
      </w:r>
    </w:p>
    <w:p>
      <w:pPr>
        <w:pStyle w:val="ListBullet"/>
      </w:pPr>
      <w:r/>
      <w:r>
        <w:rPr>
          <w:b/>
        </w:rPr>
        <w:t>VEREX</w:t>
      </w:r>
      <w:r>
        <w:t xml:space="preserve"> (SARL ALPHACARE)</w:t>
      </w:r>
    </w:p>
    <w:p>
      <w:pPr>
        <w:pStyle w:val="ListBullet"/>
      </w:pPr>
      <w:r>
        <w:t>Formes et Dosages : Comprimé 24 mg (B/60)</w:t>
      </w:r>
    </w:p>
    <w:p>
      <w:pPr>
        <w:pStyle w:val="ListBullet"/>
      </w:pPr>
      <w:r>
        <w:t>Statut : Actif</w:t>
      </w:r>
    </w:p>
    <w:p>
      <w:pPr>
        <w:pStyle w:val="ListBullet"/>
      </w:pPr>
      <w:r/>
      <w:r>
        <w:rPr>
          <w:b/>
        </w:rPr>
        <w:t>VERSEC</w:t>
      </w:r>
      <w:r>
        <w:t xml:space="preserve"> (BIOPHARM)</w:t>
      </w:r>
    </w:p>
    <w:p>
      <w:pPr>
        <w:pStyle w:val="ListBullet"/>
      </w:pPr>
      <w:r>
        <w:t>Formes et Dosages : Comprimé 24 mg (B/60)</w:t>
      </w:r>
    </w:p>
    <w:p>
      <w:pPr>
        <w:pStyle w:val="ListBullet"/>
      </w:pPr>
      <w:r>
        <w:t>Statut : Actif</w:t>
      </w:r>
    </w:p>
    <w:p>
      <w:pPr>
        <w:pStyle w:val="ListBullet"/>
      </w:pPr>
      <w:r/>
      <w:r>
        <w:rPr>
          <w:b/>
        </w:rPr>
        <w:t>VERTIGO</w:t>
      </w:r>
      <w:r>
        <w:t xml:space="preserve"> (NOVAPHARM TRADING)</w:t>
      </w:r>
    </w:p>
    <w:p>
      <w:pPr>
        <w:pStyle w:val="ListBullet"/>
      </w:pPr>
      <w:r>
        <w:t>Formes et Dosages : Comprimé 24 mg (B/60 et B/30)</w:t>
      </w:r>
    </w:p>
    <w:p>
      <w:pPr>
        <w:pStyle w:val="ListBullet"/>
      </w:pPr>
      <w:r>
        <w:t>Statut : Actif</w:t>
      </w:r>
    </w:p>
    <w:p>
      <w:pPr>
        <w:pStyle w:val="ListBullet"/>
      </w:pPr>
      <w:r/>
      <w:r>
        <w:rPr>
          <w:b/>
        </w:rPr>
        <w:t>LECTIL</w:t>
      </w:r>
      <w:r>
        <w:t xml:space="preserve"> (BOUCHARA-RECORDATI)</w:t>
      </w:r>
    </w:p>
    <w:p>
      <w:pPr>
        <w:pStyle w:val="ListBullet"/>
      </w:pPr>
      <w:r>
        <w:t>Formes et Dosages : Comprimé sécable adulte 16 mg (B/45)</w:t>
      </w:r>
    </w:p>
    <w:p>
      <w:pPr>
        <w:pStyle w:val="ListBullet"/>
      </w:pPr>
      <w:r>
        <w:t>Statut : Actif (marque historique Recordati — ancienne référence internationale)</w:t>
      </w:r>
    </w:p>
    <w:p>
      <w:pPr>
        <w:pStyle w:val="ListBullet"/>
      </w:pPr>
      <w:r/>
      <w:r>
        <w:rPr>
          <w:b/>
        </w:rPr>
        <w:t>ALFINOR</w:t>
      </w:r>
      <w:r>
        <w:t xml:space="preserve"> (MEDOCHEMIE LTD)</w:t>
      </w:r>
    </w:p>
    <w:p>
      <w:pPr>
        <w:pStyle w:val="ListBullet"/>
      </w:pPr>
      <w:r>
        <w:t>Formes et Dosages : Comprimé 8 mg (B/100)</w:t>
      </w:r>
    </w:p>
    <w:p>
      <w:pPr>
        <w:pStyle w:val="ListBullet"/>
      </w:pPr>
      <w:r>
        <w:t>Statut : Non Renouvelable</w:t>
      </w:r>
    </w:p>
    <w:p>
      <w:pPr>
        <w:pStyle w:val="ListBullet"/>
      </w:pPr>
      <w:r/>
      <w:r>
        <w:rPr>
          <w:b/>
        </w:rPr>
        <w:t>SERC</w:t>
      </w:r>
      <w:r>
        <w:t xml:space="preserve"> (SOLVAY PHARMA — ancienne marque)</w:t>
      </w:r>
    </w:p>
    <w:p>
      <w:pPr>
        <w:pStyle w:val="ListBullet"/>
      </w:pPr>
      <w:r>
        <w:t>Formes et Dosages : Comprimé 8 mg (B/100)</w:t>
      </w:r>
    </w:p>
    <w:p>
      <w:pPr>
        <w:pStyle w:val="ListBullet"/>
      </w:pPr>
      <w:r>
        <w:t>Statut : Non Renouvelable (remplacé par le SERC Mylan SAS actuel)</w:t>
      </w:r>
    </w:p>
    <w:p>
      <w:pPr>
        <w:pStyle w:val="ListBullet"/>
      </w:pPr>
      <w:r/>
      <w:r>
        <w:rPr>
          <w:b/>
        </w:rPr>
        <w:t>BETAHISTINE G GAM</w:t>
      </w:r>
      <w:r>
        <w:t xml:space="preserve"> (G GAM) — *Retiré (R)*</w:t>
      </w:r>
    </w:p>
    <w:p>
      <w:pPr>
        <w:pStyle w:val="ListBullet"/>
      </w:pPr>
      <w:r>
        <w:t>Formes et Dosages : Comprimé 8 mg (B/90)</w:t>
      </w:r>
    </w:p>
    <w:p>
      <w:pPr>
        <w:pStyle w:val="ListBullet"/>
      </w:pPr>
      <w:r>
        <w:t>Statut : Retiré (R)</w:t>
      </w:r>
    </w:p>
    <w:p>
      <w:pPr>
        <w:pStyle w:val="ListBullet"/>
      </w:pPr>
      <w:r/>
      <w:r>
        <w:rPr>
          <w:b/>
        </w:rPr>
        <w:t>MICROSERC</w:t>
      </w:r>
      <w:r>
        <w:t xml:space="preserve"> (AMRYA INDUSTRIES) — *Retiré (R)*</w:t>
      </w:r>
    </w:p>
    <w:p>
      <w:pPr>
        <w:pStyle w:val="ListBullet"/>
      </w:pPr>
      <w:r>
        <w:t>Formes et Dosages : Comprimé 8 mg (B/30)</w:t>
      </w:r>
    </w:p>
    <w:p>
      <w:pPr>
        <w:pStyle w:val="ListBullet"/>
      </w:pPr>
      <w:r>
        <w:t>Statut : Retiré (R)</w:t>
      </w:r>
    </w:p>
    <w:p>
      <w:pPr>
        <w:pStyle w:val="ListBullet"/>
      </w:pPr>
      <w:r/>
      <w:r>
        <w:rPr>
          <w:b/>
        </w:rPr>
        <w:t>VERTILOX</w:t>
      </w:r>
      <w:r>
        <w:t xml:space="preserve"> (LABORATOIRES DE DEVELOPPEMENT PHARMACEUTIQUE — LDP) — *Retiré (R)*</w:t>
      </w:r>
    </w:p>
    <w:p>
      <w:pPr>
        <w:pStyle w:val="ListBullet"/>
      </w:pPr>
      <w:r>
        <w:t>Formes et Dosages : Comprimé 8 mg (B/100)</w:t>
      </w:r>
    </w:p>
    <w:p>
      <w:pPr>
        <w:pStyle w:val="ListBullet"/>
      </w:pPr>
      <w:r>
        <w:t>Statut : Retiré (R)</w:t>
      </w:r>
    </w:p>
    <w:p>
      <w:pPr>
        <w:pStyle w:val="ListBullet"/>
      </w:pPr>
      <w:r/>
      <w:r>
        <w:rPr>
          <w:b/>
        </w:rPr>
        <w:t>BETAHISTINE BIOGARAN</w:t>
      </w:r>
      <w:r>
        <w:t xml:space="preserve"> (BIOGARAN) — *Retiré (R)*</w:t>
      </w:r>
    </w:p>
    <w:p>
      <w:pPr>
        <w:pStyle w:val="ListBullet"/>
      </w:pPr>
      <w:r>
        <w:t>Formes et Dosages : Comprimé 8 mg (B/30)</w:t>
      </w:r>
    </w:p>
    <w:p>
      <w:pPr>
        <w:pStyle w:val="ListBullet"/>
      </w:pPr>
      <w:r>
        <w:t>Statut : Retiré (R)</w:t>
      </w:r>
    </w:p>
    <w:p>
      <w:r/>
      <w:r>
        <w:rPr>
          <w:b/>
        </w:rPr>
        <w:t>Total : 16 spécialités (11 actives + 2 non renouvelables + 4 retirées), 3 dosages (8, 16, 24 mg), forme comprimé exclusivement.</w:t>
      </w:r>
      <w:r/>
    </w:p>
    <w:p>
      <w:r/>
      <w:r>
        <w:rPr>
          <w:b/>
        </w:rPr>
        <w:t>Sous-classe et Mécanisme d'action :</w:t>
      </w:r>
      <w:r/>
    </w:p>
    <w:p>
      <w:pPr>
        <w:pStyle w:val="ListBullet"/>
      </w:pPr>
      <w:r/>
      <w:r>
        <w:rPr>
          <w:b/>
        </w:rPr>
        <w:t>Sous-classe :</w:t>
      </w:r>
      <w:r>
        <w:t xml:space="preserve"> Antivertigineux histaminergiques — traitement de fond des vertiges vestibulaires chroniques (maladie de Ménière, vertige paroxystique, névrite vestibulaire séquellaire). Classe ATC N07CA01 (Antivertigineux — Bétahistine).</w:t>
      </w:r>
    </w:p>
    <w:p>
      <w:pPr>
        <w:pStyle w:val="ListBullet"/>
      </w:pPr>
      <w:r/>
      <w:r>
        <w:rPr>
          <w:b/>
        </w:rPr>
        <w:t>Mécanisme d'action :</w:t>
      </w:r>
      <w:r>
        <w:t xml:space="preserve"> La bétahistine possède un profil pharmacologique histaminergique mixte original :</w:t>
      </w:r>
    </w:p>
    <w:p>
      <w:pPr>
        <w:pStyle w:val="ListBullet"/>
      </w:pPr>
      <w:r/>
      <w:r>
        <w:rPr>
          <w:b/>
        </w:rPr>
        <w:t>Agonisme partiel des récepteurs H1 post-synaptiques</w:t>
      </w:r>
      <w:r>
        <w:t xml:space="preserve"> (récepteurs couplés aux protéines Gq — activation de la phospholipase C → IP3/DAG → augmentation du Ca²⁺ intracellulaire → activation de la NO-synthase endothéliale → vasodilatation artériolaire cochléaire et vestibulaire). La bétahistine stimule la circulation sanguine labyrinthique, augmentant le débit sanguin cochléaire et réduisant la pression endolymphatique (mécanisme supposé de l'efficacité dans la maladie de Ménière — hydrops endolymphatique).</w:t>
      </w:r>
    </w:p>
    <w:p>
      <w:pPr>
        <w:pStyle w:val="ListBullet"/>
      </w:pPr>
      <w:r/>
      <w:r>
        <w:rPr>
          <w:b/>
        </w:rPr>
        <w:t>Antagonisme (inverse agonisme) des récepteurs H3 auto-récepteurs pré-synaptiques</w:t>
      </w:r>
      <w:r>
        <w:t xml:space="preserve"> (récepteurs couplés aux protéines Gi/o — inhibition de l'adénylyl cyclase et diminution du Ca²⁺ présynaptique, ce qui diminue la libération d'histamine endogène). Le blocage de ces auto-récepteurs par la bétahistine lève le frein inhibiteur et augmente la libération d'histamine endogène au niveau central (noyaux vestibulaires du tronc cérébral — noyaux de Deiters, de Bechterew, du toit), potentialisant la neurotransmission histaminergique centrale nécessaire à la compensation vestibulaire.</w:t>
      </w:r>
    </w:p>
    <w:p>
      <w:pPr>
        <w:pStyle w:val="ListBullet"/>
      </w:pPr>
      <w:r/>
      <w:r>
        <w:rPr>
          <w:b/>
        </w:rPr>
        <w:t>Modulation GABAergique et glutamatergique secondaire</w:t>
      </w:r>
      <w:r>
        <w:t xml:space="preserve"> : l'augmentation de la transmission histaminergique centrale potentialise indirectement la compensation vestibulaire (processus adaptatif cérébral permettant la récupération spontanée après agression vestibulaire périphérique — neurite vestibulaire, labyrinthite, chirurgie vestibulaire).</w:t>
      </w:r>
    </w:p>
    <w:p>
      <w:pPr>
        <w:pStyle w:val="ListBullet"/>
      </w:pPr>
      <w:r/>
      <w:r>
        <w:rPr>
          <w:b/>
        </w:rPr>
        <w:t>Effet vasodilatateur labyrinthique</w:t>
      </w:r>
      <w:r>
        <w:t xml:space="preserve"> (effet H1 direct + effet indirect via libération de NO endothélial), augmentant le débit sanguin cochléaire et vestibulaire.</w:t>
      </w:r>
    </w:p>
    <w:p>
      <w:pPr>
        <w:pStyle w:val="ListBullet"/>
      </w:pPr>
      <w:r/>
      <w:r>
        <w:rPr>
          <w:b/>
        </w:rPr>
        <w:t>Inhibition de la transmission cholinergique vestibulaire</w:t>
      </w:r>
      <w:r>
        <w:t xml:space="preserve"> (réduction de la fréquence et de l'intensité des crises vertigineuses par suppression de l'hyperactivité vestibulaire pathologique — mécanisme discuté).</w:t>
      </w:r>
    </w:p>
    <w:p>
      <w:r>
        <w:t>L'effet thérapeutique complet nécessite plusieurs semaines à mois de traitement continu (compensation vestibulaire centrale progressive). L'efficacité est dose-dépendante (24 mg × 2/jour &gt; 8 mg × 3/jour dans certaines études).</w:t>
      </w:r>
    </w:p>
    <w:p>
      <w:r/>
      <w:r>
        <w:rPr>
          <w:b/>
        </w:rPr>
        <w:t>Profil Pharmacologique :</w:t>
      </w:r>
      <w:r/>
    </w:p>
    <w:p>
      <w:pPr>
        <w:pStyle w:val="ListBullet"/>
      </w:pPr>
      <w:r/>
      <w:r>
        <w:rPr>
          <w:b/>
        </w:rPr>
        <w:t>Indications (AMM) :</w:t>
      </w:r>
      <w:r>
        <w:t xml:space="preserve"> Traitement symptomatique des vertiges d'origine vestibulaire (maladie de Ménière — triade vertige + acouphène + hypoacousie, hydrops endolymphatique, vertige paroxystystique, névrite vestibulaire chronique, vertiges post-traumatiques). Traitement d'entretien au long cours pour réduire la fréquence et l'intensité des crises vertigineuses. Hors AMM : prévention des migraines vestibulaires (efficacité modeste et discutée).</w:t>
      </w:r>
    </w:p>
    <w:p>
      <w:pPr>
        <w:pStyle w:val="ListBullet"/>
      </w:pPr>
      <w:r/>
      <w:r>
        <w:rPr>
          <w:b/>
        </w:rPr>
        <w:t>Contre-indications :</w:t>
      </w:r>
      <w:r/>
    </w:p>
    <w:p>
      <w:pPr>
        <w:pStyle w:val="ListBullet"/>
      </w:pPr>
      <w:r/>
      <w:r>
        <w:rPr>
          <w:b/>
        </w:rPr>
        <w:t>Phéochromocytome</w:t>
      </w:r>
      <w:r>
        <w:t xml:space="preserve"> (CI absolue — la bétahistine peut induire une crise hypertensive par libération de catécholamines tumorales)</w:t>
      </w:r>
    </w:p>
    <w:p>
      <w:pPr>
        <w:pStyle w:val="ListBullet"/>
      </w:pPr>
      <w:r/>
      <w:r>
        <w:rPr>
          <w:b/>
        </w:rPr>
        <w:t>Ulcère peptique évolutif</w:t>
      </w:r>
      <w:r>
        <w:t xml:space="preserve"> (CI relative — effet histaminergique H2 stimulant la sécrétion acide gastrique)</w:t>
      </w:r>
    </w:p>
    <w:p>
      <w:pPr>
        <w:pStyle w:val="ListBullet"/>
      </w:pPr>
      <w:r/>
      <w:r>
        <w:rPr>
          <w:b/>
        </w:rPr>
        <w:t>Asthme sévère</w:t>
      </w:r>
      <w:r>
        <w:t xml:space="preserve"> (CI relative — risque de bronchoconstriction H1)</w:t>
      </w:r>
    </w:p>
    <w:p>
      <w:pPr>
        <w:pStyle w:val="ListBullet"/>
      </w:pPr>
      <w:r/>
      <w:r>
        <w:rPr>
          <w:b/>
        </w:rPr>
        <w:t>Hypersensibilité connue à la bétahistine</w:t>
      </w:r>
      <w:r/>
    </w:p>
    <w:p>
      <w:pPr>
        <w:pStyle w:val="ListBullet"/>
      </w:pPr>
      <w:r/>
      <w:r>
        <w:rPr>
          <w:b/>
        </w:rPr>
        <w:t>Grossesse</w:t>
      </w:r>
      <w:r>
        <w:t xml:space="preserve"> (par prudence — absence de données tératogéniques fiables)</w:t>
      </w:r>
    </w:p>
    <w:p>
      <w:pPr>
        <w:pStyle w:val="ListBullet"/>
      </w:pPr>
      <w:r/>
      <w:r>
        <w:rPr>
          <w:b/>
        </w:rPr>
        <w:t>Effets Indésirables :</w:t>
      </w:r>
      <w:r/>
    </w:p>
    <w:p>
      <w:pPr>
        <w:pStyle w:val="ListBullet"/>
      </w:pPr>
      <w:r/>
      <w:r>
        <w:rPr>
          <w:b/>
        </w:rPr>
        <w:t>Digestifs</w:t>
      </w:r>
      <w:r>
        <w:t xml:space="preserve"> (les plus fréquents — 10-20 % des patients) : nausées, douleurs épigastriques, dyspepsie, ballonnement, diarrhée ou constipation. Atténués par la prise pendant les repas.</w:t>
      </w:r>
    </w:p>
    <w:p>
      <w:pPr>
        <w:pStyle w:val="ListBullet"/>
      </w:pPr>
      <w:r/>
      <w:r>
        <w:rPr>
          <w:b/>
        </w:rPr>
        <w:t>Cutanés</w:t>
      </w:r>
      <w:r>
        <w:t xml:space="preserve"> (1-5 %) : rash, prurit, urticaire (réactions histaminergiques paradoxalement liées à l'agonisme H1 cutané).</w:t>
      </w:r>
    </w:p>
    <w:p>
      <w:pPr>
        <w:pStyle w:val="ListBullet"/>
      </w:pPr>
      <w:r/>
      <w:r>
        <w:rPr>
          <w:b/>
        </w:rPr>
        <w:t>Neurologiques</w:t>
      </w:r>
      <w:r>
        <w:t xml:space="preserve"> (1-3 %) : céphalées (paradoxalement — l'histamine est vasodilatatrice cérébrale), somnolence modérée (rare).</w:t>
      </w:r>
    </w:p>
    <w:p>
      <w:pPr>
        <w:pStyle w:val="ListBullet"/>
      </w:pPr>
      <w:r/>
      <w:r>
        <w:rPr>
          <w:b/>
        </w:rPr>
        <w:t>Cardiovasculaires</w:t>
      </w:r>
      <w:r>
        <w:t xml:space="preserve"> (&lt;1 %) : flush (rougeur du visage), palpitations (effet H2 cardiaque), hypotension orthostatique rare.</w:t>
      </w:r>
    </w:p>
    <w:p>
      <w:pPr>
        <w:pStyle w:val="ListBullet"/>
      </w:pPr>
      <w:r/>
      <w:r>
        <w:rPr>
          <w:b/>
        </w:rPr>
        <w:t>Respiratoires</w:t>
      </w:r>
      <w:r>
        <w:t xml:space="preserve"> (&lt;1 %) : bronchospasme paradoxal chez l'asthmatique.</w:t>
      </w:r>
    </w:p>
    <w:p>
      <w:pPr>
        <w:pStyle w:val="ListBullet"/>
      </w:pPr>
      <w:r/>
      <w:r>
        <w:rPr>
          <w:b/>
        </w:rPr>
        <w:t>Cas exceptionnels (&lt;0,1 %)</w:t>
      </w:r>
      <w:r>
        <w:t xml:space="preserve"> : réactions anaphylactiques, angio-œdème.</w:t>
      </w:r>
    </w:p>
    <w:p>
      <w:r>
        <w:t>Le profil de tolérance global est excellent ; la majorité des EI sont de intensité légère à modérée et régressent à la poursuite du traitement (effet d'accoutumance) ou à la réduction posologique.</w:t>
      </w:r>
    </w:p>
    <w:p>
      <w:r/>
      <w:r>
        <w:rPr>
          <w:b/>
        </w:rPr>
        <w:t>Prévention et Gestion des Effets Indésirables :</w:t>
      </w:r>
      <w:r/>
    </w:p>
    <w:p>
      <w:pPr>
        <w:pStyle w:val="ListBullet"/>
      </w:pPr>
      <w:r/>
      <w:r>
        <w:rPr>
          <w:b/>
        </w:rPr>
        <w:t>Mesures Préventives :</w:t>
      </w:r>
      <w:r/>
    </w:p>
    <w:p>
      <w:pPr>
        <w:pStyle w:val="ListBullet"/>
      </w:pPr>
      <w:r/>
      <w:r>
        <w:rPr>
          <w:b/>
        </w:rPr>
        <w:t>Prise pendant les repas</w:t>
      </w:r>
      <w:r>
        <w:t xml:space="preserve"> (réduction majeure des EI digestifs — recommandation officielle VIDAL/ANSM)</w:t>
      </w:r>
    </w:p>
    <w:p>
      <w:pPr>
        <w:pStyle w:val="ListBullet"/>
      </w:pPr>
      <w:r/>
      <w:r>
        <w:rPr>
          <w:b/>
        </w:rPr>
        <w:t>Posologie progressive</w:t>
      </w:r>
      <w:r>
        <w:t xml:space="preserve"> (initiation à 8 mg × 3/jour la première semaine, puis augmentation à 16 mg × 3/jour ou 24 mg × 2/jour) pour minimiser les EI digestifs initiaux</w:t>
      </w:r>
    </w:p>
    <w:p>
      <w:pPr>
        <w:pStyle w:val="ListBullet"/>
      </w:pPr>
      <w:r/>
      <w:r>
        <w:rPr>
          <w:b/>
        </w:rPr>
        <w:t>Éducation thérapeutique du patient</w:t>
      </w:r>
      <w:r>
        <w:t xml:space="preserve"> sur le délai d'action différée (effet complet après 2-3 mois de traitement continu — ne pas conclure à l'inefficacité avant ce délai)</w:t>
      </w:r>
    </w:p>
    <w:p>
      <w:pPr>
        <w:pStyle w:val="ListBullet"/>
      </w:pPr>
      <w:r/>
      <w:r>
        <w:rPr>
          <w:b/>
        </w:rPr>
        <w:t>Éviction de l'association avec les antihistaminiques H1</w:t>
      </w:r>
      <w:r>
        <w:t xml:space="preserve"> (antagonisme pharmacodynamique — voir Interactions)</w:t>
      </w:r>
    </w:p>
    <w:p>
      <w:pPr>
        <w:pStyle w:val="ListBullet"/>
      </w:pPr>
      <w:r/>
      <w:r>
        <w:rPr>
          <w:b/>
        </w:rPr>
        <w:t>Surveillance endoscopique</w:t>
      </w:r>
      <w:r>
        <w:t xml:space="preserve"> chez les patients aux antécédents ulcéreux (si traitement prolongé &gt; 6 mois)</w:t>
      </w:r>
    </w:p>
    <w:p>
      <w:pPr>
        <w:pStyle w:val="ListBullet"/>
      </w:pPr>
      <w:r/>
      <w:r>
        <w:rPr>
          <w:b/>
        </w:rPr>
        <w:t>Surveillance tensionnelle</w:t>
      </w:r>
      <w:r>
        <w:t xml:space="preserve"> chez les patients hypertendus (risque théorique d'interaction avec les antihypertenseurs)</w:t>
      </w:r>
    </w:p>
    <w:p>
      <w:pPr>
        <w:pStyle w:val="ListBullet"/>
      </w:pPr>
      <w:r/>
      <w:r>
        <w:rPr>
          <w:b/>
        </w:rPr>
        <w:t>Conduite à Tenir :</w:t>
      </w:r>
      <w:r/>
    </w:p>
    <w:p>
      <w:pPr>
        <w:pStyle w:val="ListBullet"/>
      </w:pPr>
      <w:r/>
      <w:r>
        <w:rPr>
          <w:b/>
        </w:rPr>
        <w:t>EI digestifs mineurs</w:t>
      </w:r>
      <w:r>
        <w:t xml:space="preserve"> : maintien du traitement, prise pendant repas + éventuel antiacide ponctuel (Gaviscon, Maalox)</w:t>
      </w:r>
    </w:p>
    <w:p>
      <w:pPr>
        <w:pStyle w:val="ListBullet"/>
      </w:pPr>
      <w:r/>
      <w:r>
        <w:rPr>
          <w:b/>
        </w:rPr>
        <w:t>EI digestifs persistants ou sévères</w:t>
      </w:r>
      <w:r>
        <w:t xml:space="preserve"> : réduction posologique (de 24 mg × 2/jour à 16 mg × 2/jour), voire arrêt temporaire 48-72 h puis réintroduction progressive</w:t>
      </w:r>
    </w:p>
    <w:p>
      <w:pPr>
        <w:pStyle w:val="ListBullet"/>
      </w:pPr>
      <w:r/>
      <w:r>
        <w:rPr>
          <w:b/>
        </w:rPr>
        <w:t>Rash cutané / réaction allergique</w:t>
      </w:r>
      <w:r>
        <w:t xml:space="preserve"> : arrêt définitif de la bétahistine (CI à vie — risque de réaction anaphylactique à la réintroduction)</w:t>
      </w:r>
    </w:p>
    <w:p>
      <w:pPr>
        <w:pStyle w:val="ListBullet"/>
      </w:pPr>
      <w:r/>
      <w:r>
        <w:rPr>
          <w:b/>
        </w:rPr>
        <w:t>Bronchospasme / angio-œdème</w:t>
      </w:r>
      <w:r>
        <w:t xml:space="preserve"> : arrêt immédiat, urgences médicales (antihistaminiques H1 + corticothérapie + adrénaline si anaphylaxie)</w:t>
      </w:r>
    </w:p>
    <w:p>
      <w:pPr>
        <w:pStyle w:val="ListBullet"/>
      </w:pPr>
      <w:r/>
      <w:r>
        <w:rPr>
          <w:b/>
        </w:rPr>
        <w:t>Évaluation de l'efficacité à 3-6 mois</w:t>
      </w:r>
      <w:r>
        <w:t xml:space="preserve"> : consultation de réévaluation (fréquence et intensité des crises vertigineuses, qualité de vie, hypoacousie, acouphène). En cas d'efficacité insuffisante à 6 mois : arrêt de la bétahistine + avis ORL spécialisé (bilan vestibulaire complet, éventuel traitement alternatif — diurétique, régime hyposodé, infiltration intratympanique de corticoïdes, chirurgie vestibulaire)</w:t>
      </w:r>
    </w:p>
    <w:p>
      <w:pPr>
        <w:pStyle w:val="ListBullet"/>
      </w:pPr>
      <w:r/>
      <w:r>
        <w:rPr>
          <w:b/>
        </w:rPr>
        <w:t>Surveillance à long terme</w:t>
      </w:r>
      <w:r>
        <w:t xml:space="preserve"> : évaluation annuelle de la nécessité de poursuivre le traitement (pas de dépendance ni de sevrage à l'arrêt)</w:t>
      </w:r>
    </w:p>
    <w:p>
      <w:r/>
      <w:r>
        <w:rPr>
          <w:b/>
        </w:rPr>
        <w:t>Interactions Importantes :</w:t>
      </w:r>
      <w:r/>
    </w:p>
    <w:p>
      <w:pPr>
        <w:pStyle w:val="ListBullet"/>
      </w:pPr>
      <w:r/>
      <w:r>
        <w:rPr>
          <w:b/>
        </w:rPr>
        <w:t>[Bétahistine + Antihistaminiques H1] : Antagonisme pharmacodynamique majeur</w:t>
      </w:r>
      <w:r>
        <w:t xml:space="preserve"> — la bétahistine (agoniste H1) antagonise l'effet des antihistaminiques H1 (cétirizine, loratadine, desloratadine, fexofénadine, hydroxyzine, diménhydrinate, méquitazine, prométhazine). </w:t>
      </w:r>
      <w:r>
        <w:rPr>
          <w:b/>
        </w:rPr>
        <w:t>Association déconseillée</w:t>
      </w:r>
      <w:r>
        <w:t xml:space="preserve"> : espacer les prises d'au moins 24 h (les antihistaminiques H1 masquent les symptômes vestibulaires et réduisent l'efficacité de la bétahistine). Particulièrement problématique pour les antihistaminiques anti-vertigineux (diménhydrinate — Dramamine, cyclizine — Marzine) qui sont souvent prescrits en aigu alors que la bétahistine est un traitement de fond.</w:t>
      </w:r>
    </w:p>
    <w:p>
      <w:pPr>
        <w:pStyle w:val="ListBullet"/>
      </w:pPr>
      <w:r/>
      <w:r>
        <w:rPr>
          <w:b/>
        </w:rPr>
        <w:t>[Bétahistine + IMAO (inhibiteurs de la monoamine oxydase)] : Risque de potentialisation</w:t>
      </w:r>
      <w:r>
        <w:t xml:space="preserve"> — les IMAO (phénelzine, tranylcypromine — non disponibles en Algérie, mais la sélégiline IMAO-B est utilisée dans la maladie de Parkinson, Chapitre 87) inhibent la dégradation de la bétahistine, exposant à un risque de surdosage histaminergique (hypotension sévère, flush, céphalées pulsatile). Association déconseillée, voire CI avec les IMAO non sélectifs.</w:t>
      </w:r>
    </w:p>
    <w:p>
      <w:pPr>
        <w:pStyle w:val="ListBullet"/>
      </w:pPr>
      <w:r/>
      <w:r>
        <w:rPr>
          <w:b/>
        </w:rPr>
        <w:t>[Bétahistine + Antihypertenseurs] : Potentialisation hypotensive additive</w:t>
      </w:r>
      <w:r>
        <w:t xml:space="preserve"> — la bétahistine a un effet vasodilatateur modeste, qui peut potentialiser les antihypertenseurs (IEC, ARA2, diurétiques, bêta-bloquants, calcium-bloquants). Surveillance tensionnelle recommandée à l'initiation.</w:t>
      </w:r>
    </w:p>
    <w:p>
      <w:pPr>
        <w:pStyle w:val="ListBullet"/>
      </w:pPr>
      <w:r/>
      <w:r>
        <w:rPr>
          <w:b/>
        </w:rPr>
        <w:t>[Bétahistine + Antidépresseurs tricycliques / IRS / IMAO-A] : Risque théorique de syndrome sérotoninergique/histaminergique</w:t>
      </w:r>
      <w:r>
        <w:t xml:space="preserve"> — interaction rare mais théorique (potentialisation de la neurotransmission aminergique centrale). Surveillance clinique.</w:t>
      </w:r>
    </w:p>
    <w:p>
      <w:pPr>
        <w:pStyle w:val="ListBullet"/>
      </w:pPr>
      <w:r/>
      <w:r>
        <w:rPr>
          <w:b/>
        </w:rPr>
        <w:t>[Bétahistine + Alcool] : Potentialisation des effets indésirables digestifs et neurologiques</w:t>
      </w:r>
      <w:r>
        <w:t xml:space="preserve"> — éviter la consommation alcoolique pendant le traitement.</w:t>
      </w:r>
    </w:p>
    <w:p>
      <w:pPr>
        <w:pStyle w:val="ListBullet"/>
      </w:pPr>
      <w:r/>
      <w:r>
        <w:rPr>
          <w:b/>
        </w:rPr>
        <w:t>[Bétahistine + Régime hyposodé strict + diurétiques] : Synergie thérapeutique additive</w:t>
      </w:r>
      <w:r>
        <w:t xml:space="preserve"> dans la maladie de Ménière (association recommandée — effet complémentaire sur la réduction de l'hydrops endolymphatique).</w:t>
      </w:r>
    </w:p>
    <w:p>
      <w:r/>
      <w:r>
        <w:rPr>
          <w:b/>
        </w:rPr>
        <w:t>Grossesse et Allaitement :</w:t>
      </w:r>
      <w:r/>
    </w:p>
    <w:p>
      <w:pPr>
        <w:pStyle w:val="ListBullet"/>
      </w:pPr>
      <w:r/>
      <w:r>
        <w:rPr>
          <w:b/>
        </w:rPr>
        <w:t>Grossesse :</w:t>
      </w:r>
      <w:r>
        <w:t xml:space="preserve"> Selon le CRAT et l'ANSM, la bétahistine est </w:t>
      </w:r>
      <w:r>
        <w:rPr>
          <w:b/>
        </w:rPr>
        <w:t>à éviter pendant la grossesse</w:t>
      </w:r>
      <w:r>
        <w:t xml:space="preserve"> par défaut de données cliniques pertinentes. Les études chez l'animal (rat, lapin) n'ont pas montré deffet tératogène, mais le recul clinique chez la femme enceinte est insuffisant. En cas de vertige sévère et incoercible de la grossesse (hyperemesis gravidarum associée au vertige), la bétahistine peut être discutée au cas par cas après évaluation bénéfice/risque et avis spécialisé ORL + gynécologue-obstétricien. </w:t>
      </w:r>
      <w:r>
        <w:rPr>
          <w:b/>
        </w:rPr>
        <w:t>À éviter au 1er trimestre</w:t>
      </w:r>
      <w:r>
        <w:t xml:space="preserve"> (période d'organogénèse).</w:t>
      </w:r>
    </w:p>
    <w:p>
      <w:pPr>
        <w:pStyle w:val="ListBullet"/>
      </w:pPr>
      <w:r/>
      <w:r>
        <w:rPr>
          <w:b/>
        </w:rPr>
        <w:t>Allaitement :</w:t>
      </w:r>
      <w:r>
        <w:t xml:space="preserve"> Selon le CRAT, la bétahistine est </w:t>
      </w:r>
      <w:r>
        <w:rPr>
          <w:b/>
        </w:rPr>
        <w:t>à éviter pendant l'allaitement</w:t>
      </w:r>
      <w:r>
        <w:t xml:space="preserve"> par défaut de données sur le passage dans le lait maternel. Les antihistaminiques H1 en général (dont la bétahistine est apparentée) sont connus pour passer dans le lait et peuvent induire une sédation, une irritabilité ou des troubles digestifs chez le nouveau-né. En cas de nécessité absolue, préférer un traitement ponctuel et espacer l'allaitement de plusieurs heures après la prise.</w:t>
      </w:r>
    </w:p>
    <w:p>
      <w:pPr>
        <w:pStyle w:val="ListBullet"/>
      </w:pPr>
      <w:r/>
      <w:r>
        <w:rPr>
          <w:b/>
        </w:rPr>
        <w:t>Précisions :</w:t>
      </w:r>
      <w:r>
        <w:t xml:space="preserve"> En pratique clinique courante en Algérie, la bétahistine est rarement prescrite chez la femme enceinte (la maladie de Ménière touche préférentiellement les 30-60 ans avec sex-ratio F/H ~1,3). En cas de découverte de grossesse sous bétahistine, ne pas alarmer la patiente (pas d'interruption médicale de grossesse justifiée) — arrêter le traitement et consulter l'ORL prescripteur pour réévaluation.</w:t>
      </w:r>
    </w:p>
    <w:p>
      <w:r/>
      <w:r>
        <w:rPr>
          <w:b/>
        </w:rPr>
        <w:t>Posologie et Mode d'administration (Standard) :</w:t>
      </w:r>
      <w:r/>
    </w:p>
    <w:p>
      <w:pPr>
        <w:pStyle w:val="ListBullet"/>
      </w:pPr>
      <w:r/>
      <w:r>
        <w:rPr>
          <w:b/>
        </w:rPr>
        <w:t>Adulte :</w:t>
      </w:r>
      <w:r/>
    </w:p>
    <w:p>
      <w:pPr>
        <w:pStyle w:val="ListBullet"/>
      </w:pPr>
      <w:r/>
      <w:r>
        <w:rPr>
          <w:b/>
        </w:rPr>
        <w:t>Dose initiale recommandée</w:t>
      </w:r>
      <w:r>
        <w:t xml:space="preserve"> : 8 mg × 3 prises/jour (soit 24 mg/jour) pendant les 7-14 premiers jours</w:t>
      </w:r>
    </w:p>
    <w:p>
      <w:pPr>
        <w:pStyle w:val="ListBullet"/>
      </w:pPr>
      <w:r/>
      <w:r>
        <w:rPr>
          <w:b/>
        </w:rPr>
        <w:t>Dose d'entretien usuelle</w:t>
      </w:r>
      <w:r>
        <w:t xml:space="preserve"> : 16 mg × 3 prises/jour (soit 48 mg/jour) OU 24 mg × 2 prises/jour (soit 48 mg/jour) en 2 prises matin et soir (préférence pour la commodité d'observance — 2 prises vs 3)</w:t>
      </w:r>
    </w:p>
    <w:p>
      <w:pPr>
        <w:pStyle w:val="ListBullet"/>
      </w:pPr>
      <w:r/>
      <w:r>
        <w:rPr>
          <w:b/>
        </w:rPr>
        <w:t>Dose maximale recommandée</w:t>
      </w:r>
      <w:r>
        <w:t xml:space="preserve"> : 48 mg/jour (certaines études internationales ont utilisé jusqu'à 48 mg × 3/jour = 144 mg/jour — hors AMM française/algérienne)</w:t>
      </w:r>
    </w:p>
    <w:p>
      <w:pPr>
        <w:pStyle w:val="ListBullet"/>
      </w:pPr>
      <w:r/>
      <w:r>
        <w:rPr>
          <w:b/>
        </w:rPr>
        <w:t>Adaptation progressive</w:t>
      </w:r>
      <w:r>
        <w:t xml:space="preserve"> : titration sur 1-2 semaines pour minimiser les EI digestifs initiaux</w:t>
      </w:r>
    </w:p>
    <w:p>
      <w:pPr>
        <w:pStyle w:val="ListBullet"/>
      </w:pPr>
      <w:r/>
      <w:r>
        <w:rPr>
          <w:b/>
        </w:rPr>
        <w:t>Sujet âgé (&gt; 75 ans) :</w:t>
      </w:r>
      <w:r>
        <w:t xml:space="preserve"> Pas d'adaptation posologique systématique, mais initiation prudente à 8 mg × 3/jour (soit 24 mg/jour) pendant 14 jours, puis augmentation à 24 mg × 2/jour (48 mg/jour) en surveillant la tolérance digestive et tensionnelle. Surveillance de la fonction rénale (clairance créatinine) — pas d'accumulation significative en IR modérée (cl Cr &gt; 30 mL/min).</w:t>
      </w:r>
    </w:p>
    <w:p>
      <w:pPr>
        <w:pStyle w:val="ListBullet"/>
      </w:pPr>
      <w:r/>
      <w:r>
        <w:rPr>
          <w:b/>
        </w:rPr>
        <w:t>Insuffisance hépatique :</w:t>
      </w:r>
      <w:r>
        <w:t xml:space="preserve"> Pas d'adaptation posologique en IH modérée (Child-Pugh A-B). En IH sévère (Child-Pugh C), surveillance clinique renforcée (métabolisme hépatique majoritaire — effet de premier passage).</w:t>
      </w:r>
    </w:p>
    <w:p>
      <w:pPr>
        <w:pStyle w:val="ListBullet"/>
      </w:pPr>
      <w:r/>
      <w:r>
        <w:rPr>
          <w:b/>
        </w:rPr>
        <w:t>Insuffisance rénale :</w:t>
      </w:r>
      <w:r>
        <w:t xml:space="preserve"> Pas d'adaptation posologique en IR modérée (cl Cr &gt; 30 mL/min). En IR sévère (cl Cr &lt; 30 mL/min), surveillance clinique (peu de données — prudence).</w:t>
      </w:r>
    </w:p>
    <w:p>
      <w:pPr>
        <w:pStyle w:val="ListBullet"/>
      </w:pPr>
      <w:r/>
      <w:r>
        <w:rPr>
          <w:b/>
        </w:rPr>
        <w:t>Enfant :</w:t>
      </w:r>
      <w:r>
        <w:t xml:space="preserve"> La bétahistine n'est pas recommandée chez l'enfant de moins de 12 ans (absence d'AMM pédiatrique). Chez l'adolescent &gt; 12 ans, utilisation exceptionnelle après avis ORL spécialisé (posologie adulte réduite).</w:t>
      </w:r>
    </w:p>
    <w:p>
      <w:pPr>
        <w:pStyle w:val="ListBullet"/>
      </w:pPr>
      <w:r/>
      <w:r>
        <w:rPr>
          <w:b/>
        </w:rPr>
        <w:t>Durée :</w:t>
      </w:r>
      <w:r>
        <w:t xml:space="preserve"> Traitement prolongé au long cours — minimum 3-6 mois pour évaluer l'efficacité. Souvent traitement d'entretien pendant plusieurs années (maladie de Ménière chronique). Pas de dépendance ni de sevrage à l'arrêt — décroissance progressive recommandée (de 24 mg × 2/jour → 16 mg × 2/jour → 8 mg × 2/jour → arrêt sur 4-6 semaines).</w:t>
      </w:r>
    </w:p>
    <w:p>
      <w:pPr>
        <w:pStyle w:val="ListBullet"/>
      </w:pPr>
      <w:r/>
      <w:r>
        <w:rPr>
          <w:b/>
        </w:rPr>
        <w:t>Moment de la prise :</w:t>
      </w:r>
      <w:r>
        <w:t xml:space="preserve"> </w:t>
      </w:r>
      <w:r>
        <w:rPr>
          <w:b/>
        </w:rPr>
        <w:t>Pendant les repas</w:t>
      </w:r>
      <w:r>
        <w:t xml:space="preserve"> (réduction des EI digestifs — recommandation officielle VIDAL/ANSM). Répartition en 2 ou 3 prises équiréparties dans la journée (8 h, 14 h, 20 h pour la triple prise ; 8 h et 20 h pour la double prise).</w:t>
      </w:r>
    </w:p>
    <w:p>
      <w:r/>
      <w:r>
        <w:rPr>
          <w:b/>
        </w:rPr>
        <w:t>Arbitrage et Bénéfices des Formes Galéniques :</w:t>
      </w:r>
      <w:r/>
    </w:p>
    <w:p>
      <w:r>
        <w:t xml:space="preserve">La bétahistine en Algérie est commercialisée exclusivement en </w:t>
      </w:r>
      <w:r>
        <w:rPr>
          <w:b/>
        </w:rPr>
        <w:t>forme orale solide (comprimés)</w:t>
      </w:r>
      <w:r>
        <w:t xml:space="preserve"> aux dosages 8, 16 et 24 mg. Cette standardisation galénique présente plusieurs avantages et limites :</w:t>
      </w:r>
    </w:p>
    <w:p>
      <w:pPr>
        <w:pStyle w:val="ListBullet"/>
      </w:pPr>
      <w:r/>
      <w:r>
        <w:rPr>
          <w:b/>
        </w:rPr>
        <w:t>Comprimé 8 mg</w:t>
      </w:r>
      <w:r>
        <w:t xml:space="preserve"> : dosage initiatique — utile pour la titration progressive (1ère semaine de traitement) et pour les patients âgés sensibles. Permet une flexibilité posologique (3 prises × 8 mg = 24 mg/jour). Inconvénient : observance difficile en 3 prises/jour.</w:t>
      </w:r>
    </w:p>
    <w:p>
      <w:pPr>
        <w:pStyle w:val="ListBullet"/>
      </w:pPr>
      <w:r/>
      <w:r>
        <w:rPr>
          <w:b/>
        </w:rPr>
        <w:t>Comprimé 16 mg sécable</w:t>
      </w:r>
      <w:r>
        <w:t xml:space="preserve"> (ANATAX, LECTIL, MEVERC) : dosage intermédiaire — utile pour l'adaptation posologique progressive (16 mg × 2/jour = 32 mg/jour en demi-dose, 16 mg × 3/jour = 48 mg/jour). La sécabilité permet le fractionnement en 8 mg pour les patients nécessitant une titration fine ou une décroissance progressive.</w:t>
      </w:r>
    </w:p>
    <w:p>
      <w:pPr>
        <w:pStyle w:val="ListBullet"/>
      </w:pPr>
      <w:r/>
      <w:r>
        <w:rPr>
          <w:b/>
        </w:rPr>
        <w:t>Comprimé 24 mg</w:t>
      </w:r>
      <w:r>
        <w:t xml:space="preserve"> : dosage d'entretien standard — facilite l'observance en 2 prises/jour (24 mg × 2 = 48 mg/jour). Forme la plus prescrite en pratique courante (BETASERC, BETASTINE FORT, BETAHIST, VERTIGO, VEREX, VERSEC, EQUIBREX, ANATAX 24 mg).</w:t>
      </w:r>
    </w:p>
    <w:p>
      <w:pPr>
        <w:pStyle w:val="ListBullet"/>
      </w:pPr>
      <w:r/>
      <w:r>
        <w:rPr>
          <w:b/>
        </w:rPr>
        <w:t>Forme orale liquide (solution buvable, gouttes)</w:t>
      </w:r>
      <w:r>
        <w:t xml:space="preserve"> : NON disponible en Algérie pour la bétahistine (contrairement à la citicoline et au Ginkgo biloba) — limiter la prescription chez le patient ayant des difficultés de déglutition (sujet âgé, dysphagie, sonde naso-gastrique). Dans ce cas, écrasement du comprimé possible (à vérifier au cas par cas avec le RCP — la bétahistine est généralement compatible avec l'écrasement, mais perte d'effet possible par oxydation).</w:t>
      </w:r>
    </w:p>
    <w:p>
      <w:pPr>
        <w:pStyle w:val="ListBullet"/>
      </w:pPr>
      <w:r/>
      <w:r>
        <w:rPr>
          <w:b/>
        </w:rPr>
        <w:t>Forme injectable IM/IV</w:t>
      </w:r>
      <w:r>
        <w:t xml:space="preserve"> : NON disponible pour la bétahistine (la bétahistine s'administre exclusivement par voie orale). En cas de crise vertigineuse aiguë nécessitant une voie parentérale, recours aux antihistaminiques anti-vertigineux injectables (diménhydrinate IM — non listé dans le fichier nomenclature algérien, ou corticothérapie IV).</w:t>
      </w:r>
    </w:p>
    <w:p>
      <w:r/>
      <w:r>
        <w:rPr>
          <w:b/>
        </w:rPr>
        <w:t>Arbitrage entre les marques :</w:t>
      </w:r>
      <w:r/>
    </w:p>
    <w:p>
      <w:pPr>
        <w:pStyle w:val="ListBullet"/>
      </w:pPr>
      <w:r/>
      <w:r>
        <w:rPr>
          <w:b/>
        </w:rPr>
        <w:t>Princeps historique</w:t>
      </w:r>
      <w:r>
        <w:t xml:space="preserve"> : SERC (Abbott — ancien Solvay Pharma) — référence internationale depuis les années 1970</w:t>
      </w:r>
    </w:p>
    <w:p>
      <w:pPr>
        <w:pStyle w:val="ListBullet"/>
      </w:pPr>
      <w:r/>
      <w:r>
        <w:rPr>
          <w:b/>
        </w:rPr>
        <w:t>Marques algériennes génériques 24 mg</w:t>
      </w:r>
      <w:r>
        <w:t xml:space="preserve"> : ANATAX (El Kendi), BETASTINE FORT (Geopharm), BETAHIST (Sanamed), BETASERC (Abbott), EQUIBREX (Moben), VEREX (Alphacare), VERSEC (Biopharm), VERTIGO (Novapharm) — équivalence bioéquivalence démontrée, choix économique</w:t>
      </w:r>
    </w:p>
    <w:p>
      <w:pPr>
        <w:pStyle w:val="ListBullet"/>
      </w:pPr>
      <w:r/>
      <w:r>
        <w:rPr>
          <w:b/>
        </w:rPr>
        <w:t>Marque internationale non algérienne</w:t>
      </w:r>
      <w:r>
        <w:t xml:space="preserve"> : LECTIL (Bouchara-Recordati) — référence historique française</w:t>
      </w:r>
    </w:p>
    <w:p>
      <w:pPr>
        <w:pStyle w:val="ListBullet"/>
      </w:pPr>
      <w:r/>
      <w:r>
        <w:rPr>
          <w:b/>
        </w:rPr>
        <w:t>Critères de choix</w:t>
      </w:r>
      <w:r>
        <w:t xml:space="preserve"> : préférence pour les génériques actifs (ANATAX, BETASERC, BETASTINE FORT) en raison du coût réduit et de la disponibilité régulière. Éviter les marques non renouvelables (ALFINOR, SERC Solvay) et retirées (MICROSERC, VERTILOX, BETAHISTINE G GAM, BETAHISTINE BIOGARAN) — orientation vers le médecin prescripteur pour switch thérapeutique.</w:t>
      </w:r>
    </w:p>
    <w:p>
      <w:r/>
      <w:r>
        <w:rPr>
          <w:b/>
        </w:rPr>
        <w:t>Instructions et Conseils au Patient :</w:t>
      </w:r>
      <w:r/>
    </w:p>
    <w:p>
      <w:pPr>
        <w:pStyle w:val="ListBullet"/>
      </w:pPr>
      <w:r/>
      <w:r>
        <w:rPr>
          <w:b/>
        </w:rPr>
        <w:t>Communication au comptoir :</w:t>
      </w:r>
      <w:r/>
    </w:p>
    <w:p>
      <w:pPr>
        <w:pStyle w:val="ListBullet"/>
      </w:pPr>
      <w:r>
        <w:t xml:space="preserve">Expliquer clairement que la bétahistine est un </w:t>
      </w:r>
      <w:r>
        <w:rPr>
          <w:b/>
        </w:rPr>
        <w:t>traitement de fond</w:t>
      </w:r>
      <w:r>
        <w:t xml:space="preserve"> et non un traitement de la crise vertigineuse aiguë (délai d'action de 2-3 mois pour effet complet)</w:t>
      </w:r>
    </w:p>
    <w:p>
      <w:pPr>
        <w:pStyle w:val="ListBullet"/>
      </w:pPr>
      <w:r>
        <w:t xml:space="preserve">Insister sur la </w:t>
      </w:r>
      <w:r>
        <w:rPr>
          <w:b/>
        </w:rPr>
        <w:t>régularité de la prise</w:t>
      </w:r>
      <w:r>
        <w:t xml:space="preserve"> (pas deffet immédiat — pas dintérêt à augmenter la dose en cas de crise aiguë)</w:t>
      </w:r>
    </w:p>
    <w:p>
      <w:pPr>
        <w:pStyle w:val="ListBullet"/>
      </w:pPr>
      <w:r>
        <w:t xml:space="preserve">Préciser la prise </w:t>
      </w:r>
      <w:r>
        <w:rPr>
          <w:b/>
        </w:rPr>
        <w:t>pendant les repas</w:t>
      </w:r>
      <w:r>
        <w:t xml:space="preserve"> (réduit les nausées)</w:t>
      </w:r>
    </w:p>
    <w:p>
      <w:pPr>
        <w:pStyle w:val="ListBullet"/>
      </w:pPr>
      <w:r>
        <w:t>Informer des principaux effets indésirables (digestifs, céphalées) et rassurer sur leur nature généralement bénigne et transitoire</w:t>
      </w:r>
    </w:p>
    <w:p>
      <w:pPr>
        <w:pStyle w:val="ListBullet"/>
      </w:pPr>
      <w:r>
        <w:t xml:space="preserve">Prévenir de </w:t>
      </w:r>
      <w:r>
        <w:rPr>
          <w:b/>
        </w:rPr>
        <w:t>ne pas associer avec un antihistaminique</w:t>
      </w:r>
      <w:r>
        <w:t xml:space="preserve"> (anti-allergique type cétirizine/loratadine, ou anti-vertigineux type diménhydrinate) sans avis médical</w:t>
      </w:r>
    </w:p>
    <w:p>
      <w:pPr>
        <w:pStyle w:val="ListBullet"/>
      </w:pPr>
      <w:r>
        <w:t xml:space="preserve">Conseiller une </w:t>
      </w:r>
      <w:r>
        <w:rPr>
          <w:b/>
        </w:rPr>
        <w:t>consultation de réévaluation à 3-6 mois</w:t>
      </w:r>
      <w:r>
        <w:t xml:space="preserve"> (ne pas conclure à lefficacité ou à linefficacité avant ce délai)</w:t>
      </w:r>
    </w:p>
    <w:p>
      <w:pPr>
        <w:pStyle w:val="ListBullet"/>
      </w:pPr>
      <w:r>
        <w:t>En cas de crise vertigineuse aiguë pendant le traitement : position allongée, éviter les mouvements brusques de tête, hydratation, ne pas conduire</w:t>
      </w:r>
    </w:p>
    <w:p>
      <w:pPr>
        <w:pStyle w:val="ListBullet"/>
      </w:pPr>
      <w:r/>
      <w:r>
        <w:rPr>
          <w:b/>
        </w:rPr>
        <w:t>Mode d'utilisation pratique :</w:t>
      </w:r>
      <w:r/>
    </w:p>
    <w:p>
      <w:pPr>
        <w:pStyle w:val="ListBullet"/>
      </w:pPr>
      <w:r>
        <w:t>Prendre le comprimé avec un grand verre d'eau, pendant ou juste après un repas</w:t>
      </w:r>
    </w:p>
    <w:p>
      <w:pPr>
        <w:pStyle w:val="ListBullet"/>
      </w:pPr>
      <w:r>
        <w:t>Répartir les prises à heures fixes (8 h, 14 h, 20 h pour 3 prises ; 8 h et 20 h pour 2 prises)</w:t>
      </w:r>
    </w:p>
    <w:p>
      <w:pPr>
        <w:pStyle w:val="ListBullet"/>
      </w:pPr>
      <w:r>
        <w:t>En cas d'oubli d'une prise : ne pas doubler la dose suivante (prendre la dose oubliée si &lt; 4 h après l'heure habituelle, sinon sauter la prise et continuer le schéma normal)</w:t>
      </w:r>
    </w:p>
    <w:p>
      <w:pPr>
        <w:pStyle w:val="ListBullet"/>
      </w:pPr>
      <w:r>
        <w:t>Ne pas arrêter brutalement le traitement sans avis médical (risque théorique de rebond vertigineux)</w:t>
      </w:r>
    </w:p>
    <w:p>
      <w:pPr>
        <w:pStyle w:val="ListBullet"/>
      </w:pPr>
      <w:r>
        <w:t>Décroissance progressive recommandée à l'arrêt (sur 4-6 semaines)</w:t>
      </w:r>
    </w:p>
    <w:p>
      <w:r/>
      <w:r>
        <w:rPr>
          <w:b/>
        </w:rPr>
        <w:t>Notes, Règles d'Or &amp; Pièges au Comptoir :</w:t>
      </w:r>
      <w:r/>
    </w:p>
    <w:p>
      <w:pPr>
        <w:pStyle w:val="ListBullet"/>
      </w:pPr>
      <w:r/>
      <w:r>
        <w:rPr>
          <w:b/>
        </w:rPr>
        <w:t>Piège classique n°1 : Association bétahistine + antihistaminique H1 (anti-allergique ou anti-vertigineux)</w:t>
      </w:r>
      <w:r>
        <w:t xml:space="preserve"> — erreur pharmacologique majeure (antagonisme pharmacodynamique complet). Vérifier systématiquement les co-prescriptions à chaque délivrance de bétahistine. Si association retrouvée : alerter le prescripteur (médecin ORL ou généraliste) pour switch thérapeutique. Particulièrement problématique pour les antihistaminiques anti-vertigineux prescrits en crise aiguë (diménhydrinate — Dramamine, cyclizine — Marzine) : espacer les prises d'au moins 24 h, voire 48 h.</w:t>
      </w:r>
    </w:p>
    <w:p>
      <w:pPr>
        <w:pStyle w:val="ListBullet"/>
      </w:pPr>
      <w:r/>
      <w:r>
        <w:rPr>
          <w:b/>
        </w:rPr>
        <w:t>Piège classique n°2 : Conclusion hâtive d'inefficacité à 2-4 semaines</w:t>
      </w:r>
      <w:r>
        <w:t xml:space="preserve"> — erreur d'évaluation thérapeutique majeure (délai d'action réel de 2-3 mois). Ne jamais arrêter la bétahistine avant 3 mois de traitement continu à dose efficace (48 mg/jour minimum).</w:t>
      </w:r>
    </w:p>
    <w:p>
      <w:pPr>
        <w:pStyle w:val="ListBullet"/>
      </w:pPr>
      <w:r/>
      <w:r>
        <w:rPr>
          <w:b/>
        </w:rPr>
        <w:t>Piège classique n°3 : Prescription chez un patient phéochromocytome</w:t>
      </w:r>
      <w:r>
        <w:t xml:space="preserve"> — CI absolue (risque de crise hypertensive maligne par libération de catécholamines tumorales). Vérifier les antécédents du patient à la première délivrance.</w:t>
      </w:r>
    </w:p>
    <w:p>
      <w:pPr>
        <w:pStyle w:val="ListBullet"/>
      </w:pPr>
      <w:r/>
      <w:r>
        <w:rPr>
          <w:b/>
        </w:rPr>
        <w:t>Piège classique n°4 : Prescription chez une femme enceinte</w:t>
      </w:r>
      <w:r>
        <w:t xml:space="preserve"> — éviter par prudence (défaut de données). En cas de découverte de grossesse sous bétahistine : ne pas alarmer, arrêter le traitement, consulter l'ORL + gynécologue-obstétricien.</w:t>
      </w:r>
    </w:p>
    <w:p>
      <w:pPr>
        <w:pStyle w:val="ListBullet"/>
      </w:pPr>
      <w:r/>
      <w:r>
        <w:rPr>
          <w:b/>
        </w:rPr>
        <w:t>Règle de prise :</w:t>
      </w:r>
      <w:r>
        <w:t xml:space="preserve"> Pendant les repas, 2 à 3 prises par jour à heures fixes, ne pas doubler en cas d'oubli, décroissance progressive à l'arrêt.</w:t>
      </w:r>
    </w:p>
    <w:p>
      <w:pPr>
        <w:pStyle w:val="ListBullet"/>
      </w:pPr>
      <w:r/>
      <w:r>
        <w:rPr>
          <w:b/>
        </w:rPr>
        <w:t>Préparation et Conservation :</w:t>
      </w:r>
      <w:r>
        <w:t xml:space="preserve"> Comprimés à conserver à température &lt; 25 °C, à l'abri de l'humidité et de la lumière. Pas de préparation magistrale spécifique (comprimés prêts à l'emploi). Durée de conservation : 3 ans (vérifier la date de péremption sur l'emballage).</w:t>
      </w:r>
    </w:p>
    <w:p>
      <w:pPr>
        <w:pStyle w:val="ListBullet"/>
      </w:pPr>
      <w:r/>
      <w:r>
        <w:rPr>
          <w:b/>
        </w:rPr>
        <w:t>Piège du surdosage / Substitution :</w:t>
      </w:r>
      <w:r/>
    </w:p>
    <w:p>
      <w:pPr>
        <w:pStyle w:val="ListBullet"/>
      </w:pPr>
      <w:r/>
      <w:r>
        <w:rPr>
          <w:b/>
        </w:rPr>
        <w:t>Surdosage volontaire ou accidentel</w:t>
      </w:r>
      <w:r>
        <w:t xml:space="preserve"> (&gt; 200 mg en prise unique) : risque de convulsions, hypotension sévère, troubles respiratoires. Conduite : urgences médicales (hospitalisation, lavage gastrique si &lt; 1 h, traitement symptomatique).</w:t>
      </w:r>
    </w:p>
    <w:p>
      <w:pPr>
        <w:pStyle w:val="ListBullet"/>
      </w:pPr>
      <w:r/>
      <w:r>
        <w:rPr>
          <w:b/>
        </w:rPr>
        <w:t>Substitution princeps → générique</w:t>
      </w:r>
      <w:r>
        <w:t xml:space="preserve"> : pas de problème particulier (équivalence bioéquivalence démontrée). Surveillance clinique 2-4 semaines pour vérifier le maintien de l'efficacité.</w:t>
      </w:r>
    </w:p>
    <w:p>
      <w:pPr>
        <w:pStyle w:val="ListBullet"/>
      </w:pPr>
      <w:r/>
      <w:r>
        <w:rPr>
          <w:b/>
        </w:rPr>
        <w:t>Substitution marque retirée/non renouvelable → marque active</w:t>
      </w:r>
      <w:r>
        <w:t xml:space="preserve"> : en cas de prescription d'une marque retirée (MICROSERC, VERTILOX, BETAHISTINE G GAM, BETAHISTINE BIOGARAN — retirées ; ALFINOR, SERC Solvay — non renouvelables), orienter le patient vers le médecin prescripteur pour substitution par une marque active (préférence ANATAX, BETASERC, BETASTINE FORT à 24 mg — la plus large disponibilité). Équivalence stricte en mg (24 mg = 24 mg quelle que soit la marque).</w:t>
      </w:r>
    </w:p>
    <w:p>
      <w:pPr>
        <w:pStyle w:val="ListBullet"/>
      </w:pPr>
      <w:r/>
      <w:r>
        <w:rPr>
          <w:b/>
        </w:rPr>
        <w:t>Confusion des dosages 8/16/24 mg</w:t>
      </w:r>
      <w:r>
        <w:t xml:space="preserve"> : particulièrement critique pour la titration et la décroissance. Vérifier systématiquement le dosage à la dispensation. Le comprimé 16 mg est sécable (permet la demie-dose 8 mg).</w:t>
      </w:r>
    </w:p>
    <w:p>
      <w:pPr>
        <w:pStyle w:val="ListBullet"/>
      </w:pPr>
      <w:r/>
      <w:r>
        <w:rPr>
          <w:b/>
        </w:rPr>
        <w:t>Confusion bétahistine / betahistine dimenhidrinate</w:t>
      </w:r>
      <w:r>
        <w:t xml:space="preserve"> : erreur de saisie fréquente à l'ordonnance électronique — la diménhydrinate est un antihistaminique H1 ANTI-vertigineux (traitement de la crise aiguë), antagonistique de la bétahistine (traitement de fond). Vérifier la cohérence de la prescription.</w:t>
      </w:r>
    </w:p>
    <w:p>
      <w:pPr>
        <w:pStyle w:val="Heading3"/>
      </w:pPr>
      <w:r>
        <w:t>2. DCI : Extrait de Ginkgo biloba (Seule)</w:t>
      </w:r>
    </w:p>
    <w:p>
      <w:r/>
      <w:r>
        <w:rPr>
          <w:b/>
        </w:rPr>
        <w:t>Liste des Catégories :</w:t>
      </w:r>
      <w:r>
        <w:t xml:space="preserve"> Vasodilatateurs cérébraux — Phytothérapie ; Médicaments des troubles cognitifs chroniques ; Médicaments de l'artériopathie oblitérante des membres inférieurs ; Médicaments d'origine végétale (phytothérapie standardisée).</w:t>
      </w:r>
    </w:p>
    <w:p>
      <w:r>
        <w:t>L'extrait de Ginkgo biloba (EGb 761® — formulation de référence standardisée à 24 % d'hétérosides de ginkgo et 6 % de ginkgolides-bilobalide) est obtenu à partir des feuilles séchées du Ginkgo biloba L. (Gymnosperme — famille Ginkgoacées — arbre fossile vivant vieux de 270 millions d'années, originaire de Chine). Développé en 1965 par le Dr. Willmar Schwabe (Allemagne) et commercialisé en France par le Laboratoire Ipsen depuis 1975 sous la marque TANAKAN®, cet extrait standardisé est utilisé en médecine pour ses propriétés vasodilatatrices, anti-agrégantes plaquettaires et neuroprotectrices. Le Ginkgo biloba est également largement consommé en automédication (compléments alimentaires, infusions, teintures) — soulevant la question cruciale des interactions médicamenteuses chez les patients sous anticoagulants ou antiagrégants plaquettaires (le ginkgolide B inhibe spécifiquement le facteur d'activation plaquettaire PAF, exposant au risque hémorragique). Administré par voie orale, l'extrait de Ginkgo biloba est absorbé au niveau intestinal (biodisponibilité ~30-60 % pour les hétérosides de ginkgo), subit un effet de premier passage hépatique partiel (métabolisme glucuroconjuguaison et sulfatation), et les métabolites sont éliminés par voie urinaire et biliaire. La demi-vie d'élimination est de l'ordre de 4-6 h pour les flavonoïdes, et de 10-12 h pour les ginkgolides. L'équilibre thérapeutique est atteint en ~7-10 jours, et la réponse clinique complète nécessite 3-6 mois de traitement continu (effet neuroprotecteur et vasculaire cumulatif).</w:t>
      </w:r>
    </w:p>
    <w:p>
      <w:r/>
      <w:r>
        <w:rPr>
          <w:b/>
        </w:rPr>
        <w:t>Médicaments disponibles en Algérie (Marques, Laboratoires, Formes et Dosages) :</w:t>
      </w:r>
      <w:r/>
    </w:p>
    <w:p>
      <w:pPr>
        <w:pStyle w:val="ListBullet"/>
      </w:pPr>
      <w:r/>
      <w:r>
        <w:rPr>
          <w:b/>
        </w:rPr>
        <w:t>TANAKAN</w:t>
      </w:r>
      <w:r>
        <w:t xml:space="preserve"> (LABORATOIRE IPSEN N.V)</w:t>
      </w:r>
    </w:p>
    <w:p>
      <w:pPr>
        <w:pStyle w:val="ListBullet"/>
      </w:pPr>
      <w:r>
        <w:t>Formes et Dosages : Solution buvable 40 mg/mL (FL/30 mL + pipette graduée) ; Comprimé pelliculé 40 mg (B/30)</w:t>
      </w:r>
    </w:p>
    <w:p>
      <w:pPr>
        <w:pStyle w:val="ListBullet"/>
      </w:pPr>
      <w:r>
        <w:t>Statut : Actif (princeps international — Ipsen — référence mondiale EGb 761®)</w:t>
      </w:r>
    </w:p>
    <w:p>
      <w:pPr>
        <w:pStyle w:val="ListBullet"/>
      </w:pPr>
      <w:r/>
      <w:r>
        <w:rPr>
          <w:b/>
        </w:rPr>
        <w:t>GINKOR FORT</w:t>
      </w:r>
      <w:r>
        <w:t xml:space="preserve"> (TONIPHARM)</w:t>
      </w:r>
    </w:p>
    <w:p>
      <w:pPr>
        <w:pStyle w:val="ListBullet"/>
      </w:pPr>
      <w:r>
        <w:t>Formes et Dosages : Gélule — Ginkgo biloba extrait standardisé titré à 24 % d'hétérosides de ginkgo et 6 % de ginkgolides-B/lobalide 14 mg + Héptaminol chlorhydrate 300 mg + Troxérutine 300 mg (B/30) — Liste I</w:t>
      </w:r>
    </w:p>
    <w:p>
      <w:pPr>
        <w:pStyle w:val="ListBullet"/>
      </w:pPr>
      <w:r>
        <w:t>Statut : Actif (association fixe — Ginkgo biloba + veinotonique + troxérutine, indiquée dans l'insuffisance veineuse et les troubles circulatoires)</w:t>
      </w:r>
    </w:p>
    <w:p>
      <w:pPr>
        <w:pStyle w:val="ListBullet"/>
      </w:pPr>
      <w:r/>
      <w:r>
        <w:rPr>
          <w:b/>
        </w:rPr>
        <w:t>GINKOBA</w:t>
      </w:r>
      <w:r>
        <w:t xml:space="preserve"> (LAD PHARMA)</w:t>
      </w:r>
    </w:p>
    <w:p>
      <w:pPr>
        <w:pStyle w:val="ListBullet"/>
      </w:pPr>
      <w:r>
        <w:t>Formes et Dosages : Solution buvable 40 mg/mL (FL/15 mL)</w:t>
      </w:r>
    </w:p>
    <w:p>
      <w:pPr>
        <w:pStyle w:val="ListBullet"/>
      </w:pPr>
      <w:r>
        <w:t>Statut : Actif</w:t>
      </w:r>
    </w:p>
    <w:p>
      <w:pPr>
        <w:pStyle w:val="ListBullet"/>
      </w:pPr>
      <w:r/>
      <w:r>
        <w:rPr>
          <w:b/>
        </w:rPr>
        <w:t>ISOTANAK</w:t>
      </w:r>
      <w:r>
        <w:t xml:space="preserve"> (ISOPHARM ALGERIE)</w:t>
      </w:r>
    </w:p>
    <w:p>
      <w:pPr>
        <w:pStyle w:val="ListBullet"/>
      </w:pPr>
      <w:r>
        <w:t>Formes et Dosages : Solution buvable 40 mg/mL (B/01 flacon de 50 mL avec seringue graduée)</w:t>
      </w:r>
    </w:p>
    <w:p>
      <w:pPr>
        <w:pStyle w:val="ListBullet"/>
      </w:pPr>
      <w:r>
        <w:t>Statut : Actif (générique algérien)</w:t>
      </w:r>
    </w:p>
    <w:p>
      <w:pPr>
        <w:pStyle w:val="ListBullet"/>
      </w:pPr>
      <w:r/>
      <w:r>
        <w:rPr>
          <w:b/>
        </w:rPr>
        <w:t>GINGERAL</w:t>
      </w:r>
      <w:r>
        <w:t xml:space="preserve"> (KRG PHARMA) — *Retiré (R)*</w:t>
      </w:r>
    </w:p>
    <w:p>
      <w:pPr>
        <w:pStyle w:val="ListBullet"/>
      </w:pPr>
      <w:r>
        <w:t>Formes et Dosages : Solution buvable 40 mg/mL (FL/125 mL)</w:t>
      </w:r>
    </w:p>
    <w:p>
      <w:pPr>
        <w:pStyle w:val="ListBullet"/>
      </w:pPr>
      <w:r>
        <w:t>Statut : Retiré (R)</w:t>
      </w:r>
    </w:p>
    <w:p>
      <w:pPr>
        <w:pStyle w:val="ListBullet"/>
      </w:pPr>
      <w:r/>
      <w:r>
        <w:rPr>
          <w:b/>
        </w:rPr>
        <w:t>TEBOKAN FORT</w:t>
      </w:r>
      <w:r>
        <w:t xml:space="preserve"> (CUKUROVA DIS TICARET AS — Turquie) — *Retiré (R)*</w:t>
      </w:r>
    </w:p>
    <w:p>
      <w:pPr>
        <w:pStyle w:val="ListBullet"/>
      </w:pPr>
      <w:r>
        <w:t>Formes et Dosages : Solution buvable 40 mg/mL (FL/50 mL)</w:t>
      </w:r>
    </w:p>
    <w:p>
      <w:pPr>
        <w:pStyle w:val="ListBullet"/>
      </w:pPr>
      <w:r>
        <w:t>Statut : Retiré (R)</w:t>
      </w:r>
    </w:p>
    <w:p>
      <w:r/>
      <w:r>
        <w:rPr>
          <w:b/>
        </w:rPr>
        <w:t>Total : 6 spécialités (4 actives + 2 retirées), 3 formes (comprimé pelliculé, solution buvable, gélule d'association), dosage unique 40 mg/mL ou 40 mg/comprimé pour la forme simple.</w:t>
      </w:r>
      <w:r/>
    </w:p>
    <w:p>
      <w:r/>
      <w:r>
        <w:rPr>
          <w:b/>
        </w:rPr>
        <w:t>Sous-classe et Mécanisme d'action :</w:t>
      </w:r>
      <w:r/>
    </w:p>
    <w:p>
      <w:pPr>
        <w:pStyle w:val="ListBullet"/>
      </w:pPr>
      <w:r/>
      <w:r>
        <w:rPr>
          <w:b/>
        </w:rPr>
        <w:t>Sous-classe :</w:t>
      </w:r>
      <w:r>
        <w:t xml:space="preserve"> Vasodilatateurs cérébraux phytothérapie — traitement des troubles cognitifs chroniques du sujet âgé, de l'artériopathie oblitérante des membres inférieurs (AOMI stade II — claudication intermittente) et des troubles circulatoires veineux (insuffisance veineuse chronique, jambes lourdes). Classe ATC N06DX02 (Psycholeptiques et psychoanaleptiques associés — Ginkgo biloba). Le Ginkgo biloba occupe une position pharmaco-thérapeutique à la frontière entre médicament d'ordonnance (TANAKAN — Liste I pour la solution buvable, hors liste pour les comprimés) et phytothérapie d'automédication (compléments alimentaires — non réglementés).</w:t>
      </w:r>
    </w:p>
    <w:p>
      <w:pPr>
        <w:pStyle w:val="ListBullet"/>
      </w:pPr>
      <w:r/>
      <w:r>
        <w:rPr>
          <w:b/>
        </w:rPr>
        <w:t>Mécanisme d'action :</w:t>
      </w:r>
      <w:r>
        <w:t xml:space="preserve"> L'extrait de Ginkgo biloba EGb 761® contient plus de 60 composés identifiés, regroupés en deux familles principales de métabolites actifs, agissant de manière synergique :</w:t>
      </w:r>
    </w:p>
    <w:p>
      <w:pPr>
        <w:pStyle w:val="ListBullet"/>
      </w:pPr>
      <w:r/>
      <w:r>
        <w:rPr>
          <w:b/>
        </w:rPr>
        <w:t>Hétérosides de ginkgo (24 % — flavonoïdes)</w:t>
      </w:r>
      <w:r>
        <w:t xml:space="preserve"> : quercétine, kaempférol, isorhamnétine glycosylés (rutinosides). Ces polyphénols possèdent une activité anti-oxydante puissante (piégeage des radicaux libres ROS/RNS, inhibition de la peroxydation lipidique membranaire, chélation du fer et du cuivre, protection mitochondriale en préservant le potentiel transmembranaire ΔΨm). Ils activent également l'expression des enzymes anti-oxydantes endogènes (SOD, catalase, glutathion peroxydase) via la voie Nrf2/ARE.</w:t>
      </w:r>
    </w:p>
    <w:p>
      <w:pPr>
        <w:pStyle w:val="ListBullet"/>
      </w:pPr>
      <w:r/>
      <w:r>
        <w:rPr>
          <w:b/>
        </w:rPr>
        <w:t>Ginkgolides (6 % — terpènes lactoniques tricycliques et tetracycliques)</w:t>
      </w:r>
      <w:r>
        <w:t xml:space="preserve"> : ginkgolides A, B, C, J et bilobalide. Le </w:t>
      </w:r>
      <w:r>
        <w:rPr>
          <w:b/>
        </w:rPr>
        <w:t>ginkgolide B</w:t>
      </w:r>
      <w:r>
        <w:t xml:space="preserve"> est un antagoniste compétitif spécifique du récepteur du </w:t>
      </w:r>
      <w:r>
        <w:rPr>
          <w:b/>
        </w:rPr>
        <w:t>facteur d'activation plaquettaire (PAF)</w:t>
      </w:r>
      <w:r>
        <w:t xml:space="preserve"> (Ki ≈ 1 µM — affinité nanomolaire). Le PAF est un médiateur phospholipidique synthétisé par les cellules endothéliales, les plaquettes, les leucocytes et les cellules inflammatoires, impliqué dans l'agrégation plaquettaire, la vasodilatation / vasoconstriction (selon le lit vasculaire), la perméabilité vasculaire et la neuro-inflammation. L'inhibition du PAF par le ginkgolide B entraîne : (i) une réduction de l'agrégation plaquettaire (effet anti-agrégant), (ii) une vasodilatation artériolaire (effet vasodilatateur), (iii) une réduction de la perméabilité vasculaire (effet anti-œdémateux), (iv) une inhibition de la neuro-inflammation. Le </w:t>
      </w:r>
      <w:r>
        <w:rPr>
          <w:b/>
        </w:rPr>
        <w:t>bilobalide</w:t>
      </w:r>
      <w:r>
        <w:t xml:space="preserve"> possède des propriétés neuroprotectrices spécifiques (protection contre l'apoptose neuronale ischémique, préservation de la mitochondrie, réduction de l'œdème cérébral post-ischémique).</w:t>
      </w:r>
    </w:p>
    <w:p>
      <w:pPr>
        <w:pStyle w:val="ListBullet"/>
      </w:pPr>
      <w:r/>
      <w:r>
        <w:rPr>
          <w:b/>
        </w:rPr>
        <w:t>Effets cellulaires et moléculaires intégrés</w:t>
      </w:r>
      <w:r>
        <w:t xml:space="preserve"> :</w:t>
      </w:r>
    </w:p>
    <w:p>
      <w:pPr>
        <w:pStyle w:val="ListBullet"/>
      </w:pPr>
      <w:r>
        <w:t>Vasodilatation artériolaire endothélium-dépendante (stimulation de la NO-synthase endothéliale eNOS → augmentation du monoxyde d'azote NO → relaxation des cellules musculaires lisses vasculaires)</w:t>
      </w:r>
    </w:p>
    <w:p>
      <w:pPr>
        <w:pStyle w:val="ListBullet"/>
      </w:pPr>
      <w:r>
        <w:t>Anti-agrégant plaquettaire (inhibition du PAF — ginkgolide B)</w:t>
      </w:r>
    </w:p>
    <w:p>
      <w:pPr>
        <w:pStyle w:val="ListBullet"/>
      </w:pPr>
      <w:r>
        <w:t>Anti-oxydant (hétérosides de ginkgo)</w:t>
      </w:r>
    </w:p>
    <w:p>
      <w:pPr>
        <w:pStyle w:val="ListBullet"/>
      </w:pPr>
      <w:r>
        <w:t>Neuroprotecteur (protection mitochondriale, anti-apoptotique, stimulation de la neuroplasticité, modulation de l'expression du BDNF — brain-derived neurotrophic factor)</w:t>
      </w:r>
    </w:p>
    <w:p>
      <w:pPr>
        <w:pStyle w:val="ListBullet"/>
      </w:pPr>
      <w:r>
        <w:t>Amélioration de la microcirculation (réduction de la viscosité sanguine, augmentation de la déformabilité érythrocytaire, inhibition de l'agrégation érythrocytaire)</w:t>
      </w:r>
    </w:p>
    <w:p>
      <w:pPr>
        <w:pStyle w:val="ListBullet"/>
      </w:pPr>
      <w:r>
        <w:t>Anti-inflammatoire (inhibition de la libération d'IL-1β, TNF-α, PAF-acéther)</w:t>
      </w:r>
    </w:p>
    <w:p>
      <w:pPr>
        <w:pStyle w:val="ListBullet"/>
      </w:pPr>
      <w:r>
        <w:t>Modulation de la neurotransmission (potentialisation GABAergique, modulation sérotoninergique et cholinergique cérébrale)</w:t>
      </w:r>
    </w:p>
    <w:p>
      <w:r>
        <w:t>L'effet thérapeutique complet nécessite 3-6 mois de traitement continu (effet cumulatif sur la microcirculation, la neuroprotection et la neurotransmission). L'efficacité est dose-dépendante (120-240 mg/jour d'extrait standardisé).</w:t>
      </w:r>
    </w:p>
    <w:p>
      <w:r/>
      <w:r>
        <w:rPr>
          <w:b/>
        </w:rPr>
        <w:t>Profil Pharmacologique :</w:t>
      </w:r>
      <w:r/>
    </w:p>
    <w:p>
      <w:pPr>
        <w:pStyle w:val="ListBullet"/>
      </w:pPr>
      <w:r/>
      <w:r>
        <w:rPr>
          <w:b/>
        </w:rPr>
        <w:t>Indications (AMM) :</w:t>
      </w:r>
      <w:r/>
    </w:p>
    <w:p>
      <w:pPr>
        <w:pStyle w:val="ListBullet"/>
      </w:pPr>
      <w:r/>
      <w:r>
        <w:rPr>
          <w:b/>
        </w:rPr>
        <w:t>Troubles cognitifs chroniques du sujet âgé</w:t>
      </w:r>
      <w:r>
        <w:t xml:space="preserve"> (baisse attentionnelle, troubles mnésiques légers liés à l'âge, démences dégénératives et vasculaires aux stades légers à modérés — maladie d'Alzheimer stade léger MMSE &gt; 18, démence vasculaire). Le Ginkgo biloba ralentit la dégradation cognitive mais n'améliore pas significativement les performances cognitives globales (effet modest mais significatif à long terme — méta-analyse Cochrane Birks 2007)</w:t>
      </w:r>
    </w:p>
    <w:p>
      <w:pPr>
        <w:pStyle w:val="ListBullet"/>
      </w:pPr>
      <w:r/>
      <w:r>
        <w:rPr>
          <w:b/>
        </w:rPr>
        <w:t>Artériopathie oblitérante des membres inférieurs (AOMI) stade II de Leriche-Fontaine</w:t>
      </w:r>
      <w:r>
        <w:t xml:space="preserve"> — claudication intermittente (augmentation de la distance de marche sans douleur et de la distance de marche maximale, effet modest mais significatif ~30-50 m en moyenne)</w:t>
      </w:r>
    </w:p>
    <w:p>
      <w:pPr>
        <w:pStyle w:val="ListBullet"/>
      </w:pPr>
      <w:r/>
      <w:r>
        <w:rPr>
          <w:b/>
        </w:rPr>
        <w:t>Troubles circulatoires veineux</w:t>
      </w:r>
      <w:r>
        <w:t xml:space="preserve"> (insuffisance veineuse chronique, jambes lourdes, hémorroïdes — en association avec troxérutine et héptaminol : GINKOR FORT)</w:t>
      </w:r>
    </w:p>
    <w:p>
      <w:pPr>
        <w:pStyle w:val="ListBullet"/>
      </w:pPr>
      <w:r/>
      <w:r>
        <w:rPr>
          <w:b/>
        </w:rPr>
        <w:t>Troubles de la microcirculation</w:t>
      </w:r>
      <w:r>
        <w:t xml:space="preserve"> (rétiinopathie diabétique, neuropathie périphérique, acouphènes vasculaires — hors AMM)</w:t>
      </w:r>
    </w:p>
    <w:p>
      <w:pPr>
        <w:pStyle w:val="ListBullet"/>
      </w:pPr>
      <w:r/>
      <w:r>
        <w:rPr>
          <w:b/>
        </w:rPr>
        <w:t>Contre-indications :</w:t>
      </w:r>
      <w:r/>
    </w:p>
    <w:p>
      <w:pPr>
        <w:pStyle w:val="ListBullet"/>
      </w:pPr>
      <w:r/>
      <w:r>
        <w:rPr>
          <w:b/>
        </w:rPr>
        <w:t>Hypersensibilité connue au Ginkgo biloba</w:t>
      </w:r>
      <w:r>
        <w:t xml:space="preserve"> ou à l'un des excipients</w:t>
      </w:r>
    </w:p>
    <w:p>
      <w:pPr>
        <w:pStyle w:val="ListBullet"/>
      </w:pPr>
      <w:r/>
      <w:r>
        <w:rPr>
          <w:b/>
        </w:rPr>
        <w:t>Troubles de la coagulation</w:t>
      </w:r>
      <w:r>
        <w:t xml:space="preserve"> (hémophilie, maladie de Willebrand, thrombopénie sévère &lt; 50 G/L)</w:t>
      </w:r>
    </w:p>
    <w:p>
      <w:pPr>
        <w:pStyle w:val="ListBullet"/>
      </w:pPr>
      <w:r/>
      <w:r>
        <w:rPr>
          <w:b/>
        </w:rPr>
        <w:t>Traitement anticoagulant en cours</w:t>
      </w:r>
      <w:r>
        <w:t xml:space="preserve"> (AVK — warfarine, acénocoumarol ; AOD — dabigatran, rivaroxaban, apixaban) — CI relative (risque hémorragique additif)</w:t>
      </w:r>
    </w:p>
    <w:p>
      <w:pPr>
        <w:pStyle w:val="ListBullet"/>
      </w:pPr>
      <w:r/>
      <w:r>
        <w:rPr>
          <w:b/>
        </w:rPr>
        <w:t>Traitement antiagrégant plaquettaire en cours</w:t>
      </w:r>
      <w:r>
        <w:t xml:space="preserve"> (aspirine, clopidogrel, prasugrel, ticagrelor) — CI relative (risque hémorragique additif via inhibition PAF + inhibition Cox-1 / P2Y12)</w:t>
      </w:r>
    </w:p>
    <w:p>
      <w:pPr>
        <w:pStyle w:val="ListBullet"/>
      </w:pPr>
      <w:r/>
      <w:r>
        <w:rPr>
          <w:b/>
        </w:rPr>
        <w:t>Grossesse et allaitement</w:t>
      </w:r>
      <w:r>
        <w:t xml:space="preserve"> (par prudence — défaut de données)</w:t>
      </w:r>
    </w:p>
    <w:p>
      <w:pPr>
        <w:pStyle w:val="ListBullet"/>
      </w:pPr>
      <w:r/>
      <w:r>
        <w:rPr>
          <w:b/>
        </w:rPr>
        <w:t>Chirurgie programmée</w:t>
      </w:r>
      <w:r>
        <w:t xml:space="preserve"> (arrêt 14 jours avant — risque hémorragique péri-opératoire)</w:t>
      </w:r>
    </w:p>
    <w:p>
      <w:pPr>
        <w:pStyle w:val="ListBullet"/>
      </w:pPr>
      <w:r/>
      <w:r>
        <w:rPr>
          <w:b/>
        </w:rPr>
        <w:t>Effets Indésirables :</w:t>
      </w:r>
      <w:r/>
    </w:p>
    <w:p>
      <w:pPr>
        <w:pStyle w:val="ListBullet"/>
      </w:pPr>
      <w:r/>
      <w:r>
        <w:rPr>
          <w:b/>
        </w:rPr>
        <w:t>Digestifs</w:t>
      </w:r>
      <w:r>
        <w:t xml:space="preserve"> (1-5 %) : nausées, dyspepsie, douleurs épigastriques, diarrhée. Atténués par la prise pendant les repas.</w:t>
      </w:r>
    </w:p>
    <w:p>
      <w:pPr>
        <w:pStyle w:val="ListBullet"/>
      </w:pPr>
      <w:r/>
      <w:r>
        <w:rPr>
          <w:b/>
        </w:rPr>
        <w:t>Cutanés</w:t>
      </w:r>
      <w:r>
        <w:t xml:space="preserve"> (1-3 %) : rash, prurit, urticaire, eczéma. Réactions allergiques possibles (allergie croisée avec autres plantes — if, muguet).</w:t>
      </w:r>
    </w:p>
    <w:p>
      <w:pPr>
        <w:pStyle w:val="ListBullet"/>
      </w:pPr>
      <w:r/>
      <w:r>
        <w:rPr>
          <w:b/>
        </w:rPr>
        <w:t>Neurologiques</w:t>
      </w:r>
      <w:r>
        <w:t xml:space="preserve"> (1-3 %) : céphalées, vertiges (paradoxalement — le Ginkgo est parfois prescrit pour les vertiges d'origine vasculaire), somnolence modérée rare.</w:t>
      </w:r>
    </w:p>
    <w:p>
      <w:pPr>
        <w:pStyle w:val="ListBullet"/>
      </w:pPr>
      <w:r/>
      <w:r>
        <w:rPr>
          <w:b/>
        </w:rPr>
        <w:t>Hémorragiques</w:t>
      </w:r>
      <w:r>
        <w:t xml:space="preserve"> (rare &lt; 1 % mais grave) : saignements (epistaxis, gingivorragies, hématomes spontanés, saignements gastro-intestinaux, hémorragie intracrânienne — cas rapportés avec anticoagulants). Risque majoré en association avec anticoagulants ou antiagrégants.</w:t>
      </w:r>
    </w:p>
    <w:p>
      <w:pPr>
        <w:pStyle w:val="ListBullet"/>
      </w:pPr>
      <w:r/>
      <w:r>
        <w:rPr>
          <w:b/>
        </w:rPr>
        <w:t>Cardiovasculaires</w:t>
      </w:r>
      <w:r>
        <w:t xml:space="preserve"> (&lt;1 %) : palpitations, hypotension orthostatique rare.</w:t>
      </w:r>
    </w:p>
    <w:p>
      <w:pPr>
        <w:pStyle w:val="ListBullet"/>
      </w:pPr>
      <w:r/>
      <w:r>
        <w:rPr>
          <w:b/>
        </w:rPr>
        <w:t>Endocriniens</w:t>
      </w:r>
      <w:r>
        <w:t xml:space="preserve"> (&lt;1 % — cas exceptionnels) : hyperthyroïdie (interaction avec le métabolisme thyroïdien — mécanisme non élucidé).</w:t>
      </w:r>
    </w:p>
    <w:p>
      <w:pPr>
        <w:pStyle w:val="ListBullet"/>
      </w:pPr>
      <w:r/>
      <w:r>
        <w:rPr>
          <w:b/>
        </w:rPr>
        <w:t>Cas exceptionnels (&lt;0,1 %)</w:t>
      </w:r>
      <w:r>
        <w:t xml:space="preserve"> : convulsions (à doses très élevées — le ginkgotoine, analogue de la vitamine B6, peut induire des convulsions par antagonisme GABAergique).</w:t>
      </w:r>
    </w:p>
    <w:p>
      <w:r>
        <w:t>Le profil de tolérance global est bon aux doses recommandées ; la principale préoccupation reste le risque hémorragique en cas d'association avec anticoagulants ou antiagrégants plaquettaires.</w:t>
      </w:r>
    </w:p>
    <w:p>
      <w:r/>
      <w:r>
        <w:rPr>
          <w:b/>
        </w:rPr>
        <w:t>Prévention et Gestion des Effets Indésirables :</w:t>
      </w:r>
      <w:r/>
    </w:p>
    <w:p>
      <w:pPr>
        <w:pStyle w:val="ListBullet"/>
      </w:pPr>
      <w:r/>
      <w:r>
        <w:rPr>
          <w:b/>
        </w:rPr>
        <w:t>Mesures Préventives :</w:t>
      </w:r>
      <w:r/>
    </w:p>
    <w:p>
      <w:pPr>
        <w:pStyle w:val="ListBullet"/>
      </w:pPr>
      <w:r/>
      <w:r>
        <w:rPr>
          <w:b/>
        </w:rPr>
        <w:t>Prise pendant les repas</w:t>
      </w:r>
      <w:r>
        <w:t xml:space="preserve"> (réduction des EI digestifs — recommandation officielle)</w:t>
      </w:r>
    </w:p>
    <w:p>
      <w:pPr>
        <w:pStyle w:val="ListBullet"/>
      </w:pPr>
      <w:r/>
      <w:r>
        <w:rPr>
          <w:b/>
        </w:rPr>
        <w:t>Interrogatoire systématique sur les co-médications</w:t>
      </w:r>
      <w:r>
        <w:t xml:space="preserve"> à la dispensation : anticoagulants oraux (warfarine, acénocoumarol, dabigatran, rivaroxaban, apixaban), antiagrégants plaquettaires (aspirine, clopidogrel, prasugrel, ticagrelor), AINS (ibuprofène, naproxène, kétoprofène), corticoïdes. Si association nécessaire : surveillance clinique renforcée (signes de saignement — ecchymoses, epistaxis, méléna, hématomes).</w:t>
      </w:r>
    </w:p>
    <w:p>
      <w:pPr>
        <w:pStyle w:val="ListBullet"/>
      </w:pPr>
      <w:r/>
      <w:r>
        <w:rPr>
          <w:b/>
        </w:rPr>
        <w:t>Arrêt 14 jours avant une chirurgie programmée</w:t>
      </w:r>
      <w:r>
        <w:t xml:space="preserve"> (risque hémorragique péri-opératoire)</w:t>
      </w:r>
    </w:p>
    <w:p>
      <w:pPr>
        <w:pStyle w:val="ListBullet"/>
      </w:pPr>
      <w:r/>
      <w:r>
        <w:rPr>
          <w:b/>
        </w:rPr>
        <w:t>Surveillance de l'INR</w:t>
      </w:r>
      <w:r>
        <w:t xml:space="preserve"> chez les patients sous AVK (warfarine) — augmentation possible de l'INR à l'initiation du Ginkgo biloba (interaction pharmacocinétique CYP2C9 + pharmacodynamique anti-plaquettaire)</w:t>
      </w:r>
    </w:p>
    <w:p>
      <w:pPr>
        <w:pStyle w:val="ListBullet"/>
      </w:pPr>
      <w:r/>
      <w:r>
        <w:rPr>
          <w:b/>
        </w:rPr>
        <w:t>Éducation thérapeutique du patient</w:t>
      </w:r>
      <w:r>
        <w:t xml:space="preserve"> sur le délai d'action différée (effet complet après 3-6 mois — ne pas conclure à l'inefficacité avant ce délai)</w:t>
      </w:r>
    </w:p>
    <w:p>
      <w:pPr>
        <w:pStyle w:val="ListBullet"/>
      </w:pPr>
      <w:r/>
      <w:r>
        <w:rPr>
          <w:b/>
        </w:rPr>
        <w:t>Éviction de l'automédication</w:t>
      </w:r>
      <w:r>
        <w:t xml:space="preserve"> (le Ginkgo biloba est largement disponible en compléments alimentaires en parapharmacie et herboristerie — risque de double exposition)</w:t>
      </w:r>
    </w:p>
    <w:p>
      <w:pPr>
        <w:pStyle w:val="ListBullet"/>
      </w:pPr>
      <w:r/>
      <w:r>
        <w:rPr>
          <w:b/>
        </w:rPr>
        <w:t>Conduite à Tenir :</w:t>
      </w:r>
      <w:r/>
    </w:p>
    <w:p>
      <w:pPr>
        <w:pStyle w:val="ListBullet"/>
      </w:pPr>
      <w:r/>
      <w:r>
        <w:rPr>
          <w:b/>
        </w:rPr>
        <w:t>EI digestifs mineurs</w:t>
      </w:r>
      <w:r>
        <w:t xml:space="preserve"> : maintien du traitement, prise pendant repas</w:t>
      </w:r>
    </w:p>
    <w:p>
      <w:pPr>
        <w:pStyle w:val="ListBullet"/>
      </w:pPr>
      <w:r/>
      <w:r>
        <w:rPr>
          <w:b/>
        </w:rPr>
        <w:t>Saignement mineur</w:t>
      </w:r>
      <w:r>
        <w:t xml:space="preserve"> (ecchymose, epistaxis isolé) : arrêt temporaire 48-72 h, réintroduction à dose réduite (de 240 mg/jour à 120 mg/jour), surveillance</w:t>
      </w:r>
    </w:p>
    <w:p>
      <w:pPr>
        <w:pStyle w:val="ListBullet"/>
      </w:pPr>
      <w:r/>
      <w:r>
        <w:rPr>
          <w:b/>
        </w:rPr>
        <w:t>Saignement sévère</w:t>
      </w:r>
      <w:r>
        <w:t xml:space="preserve"> (méléna, hématémèse, hématurie macroscopique, céphalée brutale avec déficit neuro — suspicion d'hémorragie intracrânienne) : </w:t>
      </w:r>
      <w:r>
        <w:rPr>
          <w:b/>
        </w:rPr>
        <w:t>arrêt immédiat définitif</w:t>
      </w:r>
      <w:r>
        <w:t>, urgences médicales (hospitalisation, bilan d'hémostase — NFS, plaquettes, TP/INR, TCA, fibrinogène ; imagerie cérébrale si suspicion HIC)</w:t>
      </w:r>
    </w:p>
    <w:p>
      <w:pPr>
        <w:pStyle w:val="ListBullet"/>
      </w:pPr>
      <w:r/>
      <w:r>
        <w:rPr>
          <w:b/>
        </w:rPr>
        <w:t>Rash cutané / réaction allergique</w:t>
      </w:r>
      <w:r>
        <w:t xml:space="preserve"> : arrêt définitif (CI à vie — risque de réaction anaphylactique)</w:t>
      </w:r>
    </w:p>
    <w:p>
      <w:pPr>
        <w:pStyle w:val="ListBullet"/>
      </w:pPr>
      <w:r/>
      <w:r>
        <w:rPr>
          <w:b/>
        </w:rPr>
        <w:t>Convulsions</w:t>
      </w:r>
      <w:r>
        <w:t xml:space="preserve"> (à dose toxique) : arrêt immédiat, urgences médicales (hospitalisation, traitement anticonvulsivant IV — diazépam, clonazépam)</w:t>
      </w:r>
    </w:p>
    <w:p>
      <w:pPr>
        <w:pStyle w:val="ListBullet"/>
      </w:pPr>
      <w:r/>
      <w:r>
        <w:rPr>
          <w:b/>
        </w:rPr>
        <w:t>Évaluation de l'efficacité à 6 mois</w:t>
      </w:r>
      <w:r>
        <w:t xml:space="preserve"> : consultation de réévaluation cognitive (MMSE, échelle de démence — ADAS-Cog) ou de marche (test de marche 6 minutes pour l'AOMI). En cas d'efficacité insuffisante à 6 mois : arrêt du Ginkgo biloba + avis spécialisé (neurologue ou cardiologue selon l'indication)</w:t>
      </w:r>
    </w:p>
    <w:p>
      <w:pPr>
        <w:pStyle w:val="ListBullet"/>
      </w:pPr>
      <w:r/>
      <w:r>
        <w:rPr>
          <w:b/>
        </w:rPr>
        <w:t>Surveillance à long terme</w:t>
      </w:r>
      <w:r>
        <w:t xml:space="preserve"> : évaluation annuelle de la nécessité de poursuivre le traitement (pas de dépendance ni de sevrage à l'arrêt)</w:t>
      </w:r>
    </w:p>
    <w:p>
      <w:r/>
      <w:r>
        <w:rPr>
          <w:b/>
        </w:rPr>
        <w:t>Interactions Importantes :</w:t>
      </w:r>
      <w:r/>
    </w:p>
    <w:p>
      <w:pPr>
        <w:pStyle w:val="ListBullet"/>
      </w:pPr>
      <w:r/>
      <w:r>
        <w:rPr>
          <w:b/>
        </w:rPr>
        <w:t>[Ginkgo biloba + Anticoagulants oraux (AVK — warfarine, acénocoumarol)] : Risque hémorragique majeur</w:t>
      </w:r>
      <w:r>
        <w:t xml:space="preserve"> — interaction pharmacodynamique (inhibition du PAF par le ginkgolide B → effet anti-agrégant plaquettaire additif) + pharmacocinétique (induction CYP2C9 → métabolisme accru de la warfarine → baisse paradoxale de l'INR avec augmentation paradoxale du risque thrombotique à l'arrêt ; ou inhibition CYP2C9 chez certains patients → augmentation de l'INR avec risque hémorragique). </w:t>
      </w:r>
      <w:r>
        <w:rPr>
          <w:b/>
        </w:rPr>
        <w:t>Association déconseillée</w:t>
      </w:r>
      <w:r>
        <w:t xml:space="preserve"> : surveillance rapprochée de l'INR (2x/semaine à l'initiation et à l'arrêt du Ginkgo), information du patient sur les signes de saignement.</w:t>
      </w:r>
    </w:p>
    <w:p>
      <w:pPr>
        <w:pStyle w:val="ListBullet"/>
      </w:pPr>
      <w:r/>
      <w:r>
        <w:rPr>
          <w:b/>
        </w:rPr>
        <w:t>[Ginkgo biloba + Anticoagulants oraux directs (AOD — dabigatran, rivaroxaban, apixaban, edoxaban)] : Risque hémorragique additif</w:t>
      </w:r>
      <w:r>
        <w:t xml:space="preserve"> — interaction pharmacodynamique (inhibition du PAF + effet anticoagulant direct). </w:t>
      </w:r>
      <w:r>
        <w:rPr>
          <w:b/>
        </w:rPr>
        <w:t>Association déconseillée</w:t>
      </w:r>
      <w:r>
        <w:t xml:space="preserve"> : surveillance clinique renforcée (signes de saignement), évaluation bénéfice/risque.</w:t>
      </w:r>
    </w:p>
    <w:p>
      <w:pPr>
        <w:pStyle w:val="ListBullet"/>
      </w:pPr>
      <w:r/>
      <w:r>
        <w:rPr>
          <w:b/>
        </w:rPr>
        <w:t>[Ginkgo biloba + Antiagrégants plaquettaires (aspirine, clopidogrel, prasugrel, ticagrelor)] : Risque hémorragique additif</w:t>
      </w:r>
      <w:r>
        <w:t xml:space="preserve"> — interaction pharmacodynamique (inhibition du PAF par le ginkgolide B + inhibition Cox-1 par aspirine + inhibition P2Y12 par clopidogrel/prasugrel/ticagrelor). </w:t>
      </w:r>
      <w:r>
        <w:rPr>
          <w:b/>
        </w:rPr>
        <w:t>Association déconseillée</w:t>
      </w:r>
      <w:r>
        <w:t xml:space="preserve"> : surveillance clinique renforcée (signes de saignement), évaluation bénéfice/risque. Particulièrement problématique chez les patients coronariens ou ayant eu un AVC ischémique (qui sont précisément sous bi-antithrombotique).</w:t>
      </w:r>
    </w:p>
    <w:p>
      <w:pPr>
        <w:pStyle w:val="ListBullet"/>
      </w:pPr>
      <w:r/>
      <w:r>
        <w:rPr>
          <w:b/>
        </w:rPr>
        <w:t>[Ginkgo biloba + AINS (ibuprofène, naproxène, kétoprofène, diclofénac)] : Risque hémorragique digestif additif</w:t>
      </w:r>
      <w:r>
        <w:t xml:space="preserve"> — interaction pharmacodynamique (inhibition du PAF + inhibition Cox-1 → effet gastro-lésif additif). Éviter l'automédication par ANS chez le patient sous Ginkgo biloba.</w:t>
      </w:r>
    </w:p>
    <w:p>
      <w:pPr>
        <w:pStyle w:val="ListBullet"/>
      </w:pPr>
      <w:r/>
      <w:r>
        <w:rPr>
          <w:b/>
        </w:rPr>
        <w:t>[Ginkgo biloba + Efavirenz (antirétroviral — INNRTI)] : Interaction métabolique</w:t>
      </w:r>
      <w:r>
        <w:t xml:space="preserve"> — induction CYP3A4 par le Ginkgo (mécanisme discuté — certaines études suggèrent une induction, d'autres une absence d'effet). Risque théorique de baisse d'efficacité de l'efavirenz (sous-exposition virologique). Surveillance de la charge virale, ou éviter l'association.</w:t>
      </w:r>
    </w:p>
    <w:p>
      <w:pPr>
        <w:pStyle w:val="ListBullet"/>
      </w:pPr>
      <w:r/>
      <w:r>
        <w:rPr>
          <w:b/>
        </w:rPr>
        <w:t>[Ginkgo biloba + Fluoxétine, sertraline, paroxétine (ISRS)] : Syndrome sérotoninergique exceptionnellement rapporté</w:t>
      </w:r>
      <w:r>
        <w:t xml:space="preserve"> — cas isolés publiés (mécanisme non élucidé — possible potentialisation de la neurotransmission sérotoninergique centrale). Surveiller les signes de syndrome sérotoninergique (agitation, myoclonies, hyperréflexie, hypertonie, hyperthermie).</w:t>
      </w:r>
    </w:p>
    <w:p>
      <w:pPr>
        <w:pStyle w:val="ListBullet"/>
      </w:pPr>
      <w:r/>
      <w:r>
        <w:rPr>
          <w:b/>
        </w:rPr>
        <w:t>[Ginkgo biloba + Anticonvulsivants (valproate, carbamazépine, phénytoïne, phénobarbital)] : Risque théorique de baisse d'efficacité antiépileptique</w:t>
      </w:r>
      <w:r>
        <w:t xml:space="preserve"> — le ginkgotoine (à doses élevées) peut antagoniser l'effet GABAergique des anticonvulsivants. Éviter l'automédication par Ginkgo biloba chez le patient épileptique.</w:t>
      </w:r>
    </w:p>
    <w:p>
      <w:pPr>
        <w:pStyle w:val="ListBullet"/>
      </w:pPr>
      <w:r/>
      <w:r>
        <w:rPr>
          <w:b/>
        </w:rPr>
        <w:t>[Ginkgo biloba + Ciclosporine, tacrolimus (immunosuppresseurs)] : Risque de baisse d'efficacité</w:t>
      </w:r>
      <w:r>
        <w:t xml:space="preserve"> — induction CYP3A4 par le Ginkgo (discuté). Surveillance des taux sanguins de l'immunosuppresseur.</w:t>
      </w:r>
    </w:p>
    <w:p>
      <w:pPr>
        <w:pStyle w:val="ListBullet"/>
      </w:pPr>
      <w:r/>
      <w:r>
        <w:rPr>
          <w:b/>
        </w:rPr>
        <w:t>[Ginkgo biloba + Théophylline, oméprazole] : Induction CYP1A2</w:t>
      </w:r>
      <w:r>
        <w:t xml:space="preserve"> — discutée (données contradictoires).</w:t>
      </w:r>
    </w:p>
    <w:p>
      <w:pPr>
        <w:pStyle w:val="ListBullet"/>
      </w:pPr>
      <w:r/>
      <w:r>
        <w:rPr>
          <w:b/>
        </w:rPr>
        <w:t>[Ginkgo biloba + Midazolam] : Induction CYP3A4</w:t>
      </w:r>
      <w:r>
        <w:t xml:space="preserve"> — baisse d'efficacité du midazolam (sédation insuffisante).</w:t>
      </w:r>
    </w:p>
    <w:p>
      <w:r/>
      <w:r>
        <w:rPr>
          <w:b/>
        </w:rPr>
        <w:t>Grossesse et Allaitement :</w:t>
      </w:r>
      <w:r/>
    </w:p>
    <w:p>
      <w:pPr>
        <w:pStyle w:val="ListBullet"/>
      </w:pPr>
      <w:r/>
      <w:r>
        <w:rPr>
          <w:b/>
        </w:rPr>
        <w:t>Grossesse :</w:t>
      </w:r>
      <w:r>
        <w:t xml:space="preserve"> Selon le CRAT et l'ANSM, le Ginkgo biloba est </w:t>
      </w:r>
      <w:r>
        <w:rPr>
          <w:b/>
        </w:rPr>
        <w:t>à éviter pendant la grossesse</w:t>
      </w:r>
      <w:r>
        <w:t xml:space="preserve"> par défaut de données cliniques pertinentes (aucune étude prospective contrôlée chez la femme enceinte). Les études chez l'animal (rat, lapin) n'ont pas montré d'effet tératogène, mais l'effet anti-agrégant plaquettaire du ginkgolide B expose théoriquement à un risque hémorragique maternel (hémorragie du 1er trimestre, hématome rétroplacentaire au 3e trimestre) et fœtal. En cas de nécessité absolue (artériopathie sévère symptomatique chez une femme enceinte, après échec des alternatives), à discuter au cas par cas avec le médecin vasculaire et le gynécologue-obstétricien.</w:t>
      </w:r>
    </w:p>
    <w:p>
      <w:pPr>
        <w:pStyle w:val="ListBullet"/>
      </w:pPr>
      <w:r/>
      <w:r>
        <w:rPr>
          <w:b/>
        </w:rPr>
        <w:t>Allaitement :</w:t>
      </w:r>
      <w:r>
        <w:t xml:space="preserve"> Selon le CRAT, le Ginkgo biloba est </w:t>
      </w:r>
      <w:r>
        <w:rPr>
          <w:b/>
        </w:rPr>
        <w:t>à éviter pendant l'allaitement</w:t>
      </w:r>
      <w:r>
        <w:t xml:space="preserve"> par défaut de données sur le passage dans le lait maternel. Les composés du Ginkgo (hétérosides, ginkgolides) sont susceptibles de passer dans le lait, mais les effets chez le nouveau-né ne sont pas documentés. Préférer l'arrêt du traitement pendant la période d'allaitement.</w:t>
      </w:r>
    </w:p>
    <w:p>
      <w:pPr>
        <w:pStyle w:val="ListBullet"/>
      </w:pPr>
      <w:r/>
      <w:r>
        <w:rPr>
          <w:b/>
        </w:rPr>
        <w:t>Précisions :</w:t>
      </w:r>
      <w:r>
        <w:t xml:space="preserve"> En pratique clinique courante en Algérie, le Ginkgo biloba est rarement prescrit chez la femme enceinte (les indications principales — troubles cognitifs du sujet âgé, AOMI — touchent préférentiellement les patients &gt; 50 ans). En cas de découverte de grossesse sous Ginkgo biloba : ne pas alarmer la patiente (pas d'interruption médicale de grossesse justifiée), arrêter le traitement et consulter le médecin prescripteur pour réévaluation.</w:t>
      </w:r>
    </w:p>
    <w:p>
      <w:r/>
      <w:r>
        <w:rPr>
          <w:b/>
        </w:rPr>
        <w:t>Posologie et Mode d'administration (Standard) :</w:t>
      </w:r>
      <w:r/>
    </w:p>
    <w:p>
      <w:pPr>
        <w:pStyle w:val="ListBullet"/>
      </w:pPr>
      <w:r/>
      <w:r>
        <w:rPr>
          <w:b/>
        </w:rPr>
        <w:t>Adulte :</w:t>
      </w:r>
      <w:r/>
    </w:p>
    <w:p>
      <w:pPr>
        <w:pStyle w:val="ListBullet"/>
      </w:pPr>
      <w:r/>
      <w:r>
        <w:rPr>
          <w:b/>
        </w:rPr>
        <w:t>Troubles cognitifs chroniques du sujet âgé</w:t>
      </w:r>
      <w:r>
        <w:t xml:space="preserve"> : 40 mg × 3 prises/jour (soit 120 mg/jour) ou 80 mg × 2 prises/jour (soit 160 mg/jour). Dose optimale : </w:t>
      </w:r>
      <w:r>
        <w:rPr>
          <w:b/>
        </w:rPr>
        <w:t>120 à 240 mg/jour</w:t>
      </w:r>
      <w:r>
        <w:t xml:space="preserve"> d'extrait standardisé EGb 761®. Préférence pour la dose de 240 mg/jour (80 mg × 3/jour) dans les démences modérées à sévères.</w:t>
      </w:r>
    </w:p>
    <w:p>
      <w:pPr>
        <w:pStyle w:val="ListBullet"/>
      </w:pPr>
      <w:r/>
      <w:r>
        <w:rPr>
          <w:b/>
        </w:rPr>
        <w:t>Artériopathie oblitérante des membres inférieurs (AOMI stade II)</w:t>
      </w:r>
      <w:r>
        <w:t xml:space="preserve"> : 40 mg × 3 prises/jour (soit 120 mg/jour) ou 80 mg × 2 prises/jour (soit 160 mg/jour). Dose optimale : 160-240 mg/jour.</w:t>
      </w:r>
    </w:p>
    <w:p>
      <w:pPr>
        <w:pStyle w:val="ListBullet"/>
      </w:pPr>
      <w:r/>
      <w:r>
        <w:rPr>
          <w:b/>
        </w:rPr>
        <w:t>Troubles veineux (GINKOR FORT)</w:t>
      </w:r>
      <w:r>
        <w:t xml:space="preserve"> : 1 gélule × 2 prises/jour (matin et midi) — soit Ginkgo 28 mg + héptaminol 600 mg + troxérutine 600 mg par jour.</w:t>
      </w:r>
    </w:p>
    <w:p>
      <w:pPr>
        <w:pStyle w:val="ListBullet"/>
      </w:pPr>
      <w:r/>
      <w:r>
        <w:rPr>
          <w:b/>
        </w:rPr>
        <w:t>Durée minimale d'efficacité</w:t>
      </w:r>
      <w:r>
        <w:t xml:space="preserve"> : 3-6 mois (effet cumulatif sur la microcirculation et la neuroprotection)</w:t>
      </w:r>
    </w:p>
    <w:p>
      <w:pPr>
        <w:pStyle w:val="ListBullet"/>
      </w:pPr>
      <w:r/>
      <w:r>
        <w:rPr>
          <w:b/>
        </w:rPr>
        <w:t>Sujet âgé (&gt; 75 ans) :</w:t>
      </w:r>
      <w:r>
        <w:t xml:space="preserve"> Pas d'adaptation posologique systématique. Préférence pour la forme solution buvable (plus facile à avaler que les comprimés pelliculés — risque de fausse route chez le sujet âgé). Surveillance de la tolérance digestive et tensionnelle.</w:t>
      </w:r>
    </w:p>
    <w:p>
      <w:pPr>
        <w:pStyle w:val="ListBullet"/>
      </w:pPr>
      <w:r/>
      <w:r>
        <w:rPr>
          <w:b/>
        </w:rPr>
        <w:t>Insuffisance hépatique :</w:t>
      </w:r>
      <w:r>
        <w:t xml:space="preserve"> Pas d'adaptation posologique en IH modérée (Child-Pugh A-B). En IH sévère (Child-Pugh C), surveillance clinique renforcée (métabolisme hépatique des flavonoïdes par glucuroconjuguaison).</w:t>
      </w:r>
    </w:p>
    <w:p>
      <w:pPr>
        <w:pStyle w:val="ListBullet"/>
      </w:pPr>
      <w:r/>
      <w:r>
        <w:rPr>
          <w:b/>
        </w:rPr>
        <w:t>Insuffisance rénale :</w:t>
      </w:r>
      <w:r>
        <w:t xml:space="preserve"> Pas d'adaptation posologique en IR modérée (cl Cr &gt; 30 mL/min). En IR sévère (cl Cr &lt; 30 mL/min), surveillance clinique (peu de données — prudence).</w:t>
      </w:r>
    </w:p>
    <w:p>
      <w:pPr>
        <w:pStyle w:val="ListBullet"/>
      </w:pPr>
      <w:r/>
      <w:r>
        <w:rPr>
          <w:b/>
        </w:rPr>
        <w:t>Enfant :</w:t>
      </w:r>
      <w:r>
        <w:t xml:space="preserve"> Le Ginkgo biloba n'est pas recommandé chez l'enfant de moins de 12 ans (absence d'AMM pédiatrique). Chez l'adolescent &gt; 12 ans, utilisation exceptionnelle après avis spécialisé.</w:t>
      </w:r>
    </w:p>
    <w:p>
      <w:pPr>
        <w:pStyle w:val="ListBullet"/>
      </w:pPr>
      <w:r/>
      <w:r>
        <w:rPr>
          <w:b/>
        </w:rPr>
        <w:t>Durée :</w:t>
      </w:r>
      <w:r>
        <w:t xml:space="preserve"> Traitement prolongé au long cours — minimum 3-6 mois pour évaluer l'efficacité. Souvent traitement d'entretien pendant plusieurs années (troubles cognitifs chroniques, AOMI). Pas de dépendance ni de sevrage à l'arrêt — décroissance progressive non nécessaire mais arrêt brutal possible.</w:t>
      </w:r>
    </w:p>
    <w:p>
      <w:pPr>
        <w:pStyle w:val="ListBullet"/>
      </w:pPr>
      <w:r/>
      <w:r>
        <w:rPr>
          <w:b/>
        </w:rPr>
        <w:t>Moment de la prise :</w:t>
      </w:r>
      <w:r>
        <w:t xml:space="preserve"> </w:t>
      </w:r>
      <w:r>
        <w:rPr>
          <w:b/>
        </w:rPr>
        <w:t>Pendant les repas</w:t>
      </w:r>
      <w:r>
        <w:t xml:space="preserve"> (réduction des EI digestifs — recommandation officielle VIDAL/ANSM). Répartition en 2 ou 3 prises équiréparties dans la journée (8 h, 14 h, 20 h pour la triple prise ; 8 h et 20 h pour la double prise). Éviter la prise en soirée tardive (risque théorique d'insomnie par stimulation cérébrale).</w:t>
      </w:r>
    </w:p>
    <w:p>
      <w:r/>
      <w:r>
        <w:rPr>
          <w:b/>
        </w:rPr>
        <w:t>Arbitrage et Bénéfices des Formes Galéniques :</w:t>
      </w:r>
      <w:r/>
    </w:p>
    <w:p>
      <w:r>
        <w:t xml:space="preserve">Le Ginkgo biloba en Algérie est commercialisé en </w:t>
      </w:r>
      <w:r>
        <w:rPr>
          <w:b/>
        </w:rPr>
        <w:t>deux formes galéniques principales</w:t>
      </w:r>
      <w:r>
        <w:t xml:space="preserve"> pour la forme simple (TANAKAN et génériques) : comprimé pelliculé 40 mg et solution buvable 40 mg/mL. L'association fixe GINKOR FORT (gélule) combine Ginkgo + héptaminol + troxérutine pour l'insuffisance veineuse.</w:t>
      </w:r>
    </w:p>
    <w:p>
      <w:pPr>
        <w:pStyle w:val="ListBullet"/>
      </w:pPr>
      <w:r/>
      <w:r>
        <w:rPr>
          <w:b/>
        </w:rPr>
        <w:t>Comprimé pelliculé 40 mg (TANAKAN)</w:t>
      </w:r>
      <w:r>
        <w:t xml:space="preserve"> : forme de référence pour le traitement d'entretien au long cours (observance facile, stabilité galénique, dosage précis). Pratique pour les patients ambulatoires autonomes.</w:t>
      </w:r>
    </w:p>
    <w:p>
      <w:pPr>
        <w:pStyle w:val="ListBullet"/>
      </w:pPr>
      <w:r/>
      <w:r>
        <w:rPr>
          <w:b/>
        </w:rPr>
        <w:t>Solution buvable 40 mg/mL (TANAKAN, GINKOBA, ISOTANAK)</w:t>
      </w:r>
      <w:r>
        <w:t xml:space="preserve"> : forme utile pour les patients ayant des difficultés de déglutition (sujet âgé, dysphagie, sonde naso-gastrique), pour la titration progressive, et pour l'adaptation posologique fine (permet les demies-doses). Inconvénient : stabilité après ouverture limitée (vérifier le RCP — généralement 1 mois après ouverture), conservation à température &lt; 25 °C, à l'abri de la lumière. Mesurer avec la pipette graduée ou la seringue doseuse fournie (ne pas utiliser cuillère à café — risque d'imprécision de dosage).</w:t>
      </w:r>
    </w:p>
    <w:p>
      <w:pPr>
        <w:pStyle w:val="ListBullet"/>
      </w:pPr>
      <w:r/>
      <w:r>
        <w:rPr>
          <w:b/>
        </w:rPr>
        <w:t>Gélule GINKOR FORT</w:t>
      </w:r>
      <w:r>
        <w:t xml:space="preserve"> : forme d'association fixe pour l'insuffisance veineuse chronique (jambes lourdes, varices, hémorroïdes). Association synergique de 3 composés vasculaires : Ginkgo (vasodilatateur + anti-agrégant), héptaminol (vasodilatateur artériel), troxérutine (veinotonique — protection capillaire).</w:t>
      </w:r>
    </w:p>
    <w:p>
      <w:pPr>
        <w:pStyle w:val="ListBullet"/>
      </w:pPr>
      <w:r/>
      <w:r>
        <w:rPr>
          <w:b/>
        </w:rPr>
        <w:t>Forme injectable IM/IV</w:t>
      </w:r>
      <w:r>
        <w:t xml:space="preserve"> : NON disponible pour le Ginkgo biloba (la phytothérapie standardisée s'administre exclusivement par voie orale).</w:t>
      </w:r>
    </w:p>
    <w:p>
      <w:r/>
      <w:r>
        <w:rPr>
          <w:b/>
        </w:rPr>
        <w:t>Arbitrage entre les marques :</w:t>
      </w:r>
      <w:r/>
    </w:p>
    <w:p>
      <w:pPr>
        <w:pStyle w:val="ListBullet"/>
      </w:pPr>
      <w:r/>
      <w:r>
        <w:rPr>
          <w:b/>
        </w:rPr>
        <w:t>Princeps international</w:t>
      </w:r>
      <w:r>
        <w:t xml:space="preserve"> : TANAKAN (Ipsen) — référence EGb 761® depuis 1975 (disponible en comprimé et solution buvable — garantit la standardisation EGb 761® stricte)</w:t>
      </w:r>
    </w:p>
    <w:p>
      <w:pPr>
        <w:pStyle w:val="ListBullet"/>
      </w:pPr>
      <w:r/>
      <w:r>
        <w:rPr>
          <w:b/>
        </w:rPr>
        <w:t>Génériques algériens</w:t>
      </w:r>
      <w:r>
        <w:t xml:space="preserve"> : GINKOBA (Lad Pharma), ISOTANAK (Isopharm Algérie) — solutions buvables 40 mg/mL, moins coûteuses</w:t>
      </w:r>
    </w:p>
    <w:p>
      <w:pPr>
        <w:pStyle w:val="ListBullet"/>
      </w:pPr>
      <w:r/>
      <w:r>
        <w:rPr>
          <w:b/>
        </w:rPr>
        <w:t>Association fixe</w:t>
      </w:r>
      <w:r>
        <w:t xml:space="preserve"> : GINKOR FORT (Tonipharm) — gélule d'association pour l'insuffisance veineuse</w:t>
      </w:r>
    </w:p>
    <w:p>
      <w:pPr>
        <w:pStyle w:val="ListBullet"/>
      </w:pPr>
      <w:r/>
      <w:r>
        <w:rPr>
          <w:b/>
        </w:rPr>
        <w:t>Critères de choix</w:t>
      </w:r>
      <w:r>
        <w:t xml:space="preserve"> : préférence pour le princeps TANAKAN (standardisation EGb 761® garantie — la composition des extraits de Ginkgo peut varier selon les fournisseurs, avec variation des concentrations en ginkgolides et donc variation de l'effet anti-PAF). Éviter les marques retirées (GINGERAL KRG Pharma — retirée ; TEBOKAN FORT Cukurova — retirée) — orientation vers le médecin prescripteur pour switch thérapeutique.</w:t>
      </w:r>
    </w:p>
    <w:p>
      <w:r/>
      <w:r>
        <w:rPr>
          <w:b/>
        </w:rPr>
        <w:t>Instructions et Conseils au Patient :</w:t>
      </w:r>
      <w:r/>
    </w:p>
    <w:p>
      <w:pPr>
        <w:pStyle w:val="ListBullet"/>
      </w:pPr>
      <w:r/>
      <w:r>
        <w:rPr>
          <w:b/>
        </w:rPr>
        <w:t>Communication au comptoir :</w:t>
      </w:r>
      <w:r/>
    </w:p>
    <w:p>
      <w:pPr>
        <w:pStyle w:val="ListBullet"/>
      </w:pPr>
      <w:r>
        <w:t xml:space="preserve">Expliquer clairement que le Ginkgo biloba est un </w:t>
      </w:r>
      <w:r>
        <w:rPr>
          <w:b/>
        </w:rPr>
        <w:t>traitement de fond</w:t>
      </w:r>
      <w:r>
        <w:t xml:space="preserve"> avec </w:t>
      </w:r>
      <w:r>
        <w:rPr>
          <w:b/>
        </w:rPr>
        <w:t>délai d'action différée de 3-6 mois</w:t>
      </w:r>
      <w:r>
        <w:t xml:space="preserve"> (effet cumulatif sur la microcirculation et la neuroprotection — ne pas conclure à l'inefficacité avant ce délai)</w:t>
      </w:r>
    </w:p>
    <w:p>
      <w:pPr>
        <w:pStyle w:val="ListBullet"/>
      </w:pPr>
      <w:r>
        <w:t xml:space="preserve">Insister sur la </w:t>
      </w:r>
      <w:r>
        <w:rPr>
          <w:b/>
        </w:rPr>
        <w:t>régularité de la prise</w:t>
      </w:r>
      <w:r>
        <w:t xml:space="preserve"> (pas deffet immédiat — pas dintérêt à augmenter la dose en cas de troubles cognitifs aigus)</w:t>
      </w:r>
    </w:p>
    <w:p>
      <w:pPr>
        <w:pStyle w:val="ListBullet"/>
      </w:pPr>
      <w:r>
        <w:t xml:space="preserve">Préciser la prise </w:t>
      </w:r>
      <w:r>
        <w:rPr>
          <w:b/>
        </w:rPr>
        <w:t>pendant les repas</w:t>
      </w:r>
      <w:r>
        <w:t xml:space="preserve"> (réduit les EI digestifs)</w:t>
      </w:r>
    </w:p>
    <w:p>
      <w:pPr>
        <w:pStyle w:val="ListBullet"/>
      </w:pPr>
      <w:r/>
      <w:r>
        <w:rPr>
          <w:b/>
        </w:rPr>
        <w:t>Information cruciale sur les interactions médicamenteuses</w:t>
      </w:r>
      <w:r>
        <w:t xml:space="preserve"> : prévenir le patient de </w:t>
      </w:r>
      <w:r>
        <w:rPr>
          <w:b/>
        </w:rPr>
        <w:t>ne pas associer</w:t>
      </w:r>
      <w:r>
        <w:t xml:space="preserve"> avec des anticoagulants ou antiagrégants sans avis médical. Interroger systématiquement sur les co-médications à chaque dispensation.</w:t>
      </w:r>
    </w:p>
    <w:p>
      <w:pPr>
        <w:pStyle w:val="ListBullet"/>
      </w:pPr>
      <w:r>
        <w:t xml:space="preserve">Prévenir de </w:t>
      </w:r>
      <w:r>
        <w:rPr>
          <w:b/>
        </w:rPr>
        <w:t>ne pas consommer d'autres produits à base de Ginkgo biloba</w:t>
      </w:r>
      <w:r>
        <w:t xml:space="preserve"> (compléments alimentaires en parapharmacie — risque de double exposition et de surdosage)</w:t>
      </w:r>
    </w:p>
    <w:p>
      <w:pPr>
        <w:pStyle w:val="ListBullet"/>
      </w:pPr>
      <w:r>
        <w:t>Informer des principaux effets indésirables (digestifs, céphalées) et surtout des signes de saignement (ecchymoses, epistaxis, méléna) — consulter en urgence si survenue</w:t>
      </w:r>
    </w:p>
    <w:p>
      <w:pPr>
        <w:pStyle w:val="ListBullet"/>
      </w:pPr>
      <w:r>
        <w:t xml:space="preserve">Conseiller une </w:t>
      </w:r>
      <w:r>
        <w:rPr>
          <w:b/>
        </w:rPr>
        <w:t>consultation de réévaluation à 6 mois</w:t>
      </w:r>
      <w:r>
        <w:t xml:space="preserve"> (test cognitif, test de marche)</w:t>
      </w:r>
    </w:p>
    <w:p>
      <w:pPr>
        <w:pStyle w:val="ListBullet"/>
      </w:pPr>
      <w:r>
        <w:t>En cas de chirurgie programmée : prévenir le patient d'arrêter le Ginkgo 14 jours avant (risque hémorragique péri-opératoire)</w:t>
      </w:r>
    </w:p>
    <w:p>
      <w:pPr>
        <w:pStyle w:val="ListBullet"/>
      </w:pPr>
      <w:r/>
      <w:r>
        <w:rPr>
          <w:b/>
        </w:rPr>
        <w:t>Mode d'utilisation pratique :</w:t>
      </w:r>
      <w:r/>
    </w:p>
    <w:p>
      <w:pPr>
        <w:pStyle w:val="ListBullet"/>
      </w:pPr>
      <w:r>
        <w:t>Prendre le comprimé ou la solution buvable avec un grand verre d'eau, pendant ou juste après un repas</w:t>
      </w:r>
    </w:p>
    <w:p>
      <w:pPr>
        <w:pStyle w:val="ListBullet"/>
      </w:pPr>
      <w:r>
        <w:t>Pour la solution buvable : mesurer avec la pipette graduée ou la seringue doseuse fournie (ne pas utiliser cuillère à café — risque d'imprécision de dosage), agiter le flacon avant emploi</w:t>
      </w:r>
    </w:p>
    <w:p>
      <w:pPr>
        <w:pStyle w:val="ListBullet"/>
      </w:pPr>
      <w:r>
        <w:t>Répartir les prises à heures fixes (8 h, 14 h, 20 h pour 3 prises ; 8 h et 20 h pour 2 prises)</w:t>
      </w:r>
    </w:p>
    <w:p>
      <w:pPr>
        <w:pStyle w:val="ListBullet"/>
      </w:pPr>
      <w:r>
        <w:t>En cas d'oubli d'une prise : ne pas doubler la dose suivante (prendre la dose oubliée si &lt; 4 h après l'heure habituelle, sinon sauter la prise et continuer le schéma normal)</w:t>
      </w:r>
    </w:p>
    <w:p>
      <w:pPr>
        <w:pStyle w:val="ListBullet"/>
      </w:pPr>
      <w:r>
        <w:t>Ne pas arrêter brutalement le traitement sans avis médical (risque théorique de rebond thrombotique chez les patients vasculaires)</w:t>
      </w:r>
    </w:p>
    <w:p>
      <w:pPr>
        <w:pStyle w:val="ListBullet"/>
      </w:pPr>
      <w:r>
        <w:t>Conservation du flacon après ouverture : 1 mois maximum, à température &lt; 25 °C, à l'abri de la lumière</w:t>
      </w:r>
    </w:p>
    <w:p>
      <w:r/>
      <w:r>
        <w:rPr>
          <w:b/>
        </w:rPr>
        <w:t>Notes, Règles d'Or &amp; Pièges au Comptoir :</w:t>
      </w:r>
      <w:r/>
    </w:p>
    <w:p>
      <w:pPr>
        <w:pStyle w:val="ListBullet"/>
      </w:pPr>
      <w:r/>
      <w:r>
        <w:rPr>
          <w:b/>
        </w:rPr>
        <w:t>Piège classique n°1 : Association Ginkgo biloba + anticoagulant oral (AVK ou AOD)</w:t>
      </w:r>
      <w:r>
        <w:t xml:space="preserve"> — erreur pharmacologique majeure (risque hémorragique additif — inhibition PAF + effet anticoagulant). Vérifier systématiquement les co-prescriptions à chaque délivrance. Si association retrouvée : alerter le prescripteur (médecin vasculaire, neurologue ou cardiologue) pour réévaluation.</w:t>
      </w:r>
    </w:p>
    <w:p>
      <w:pPr>
        <w:pStyle w:val="ListBullet"/>
      </w:pPr>
      <w:r/>
      <w:r>
        <w:rPr>
          <w:b/>
        </w:rPr>
        <w:t>Piège classique n°2 : Association Ginkgo biloba + antiagrégant plaquettaire (aspirine, clopidogrel)</w:t>
      </w:r>
      <w:r>
        <w:t xml:space="preserve"> — erreur fréquente (patients vasculaires souvent sous bi-antithrombotique). Risque hémorragique additif. Surveillance clinique renforcée.</w:t>
      </w:r>
    </w:p>
    <w:p>
      <w:pPr>
        <w:pStyle w:val="ListBullet"/>
      </w:pPr>
      <w:r/>
      <w:r>
        <w:rPr>
          <w:b/>
        </w:rPr>
        <w:t>Piège classique n°3 : Conclusion hâtive d'inefficacité à 1-2 mois</w:t>
      </w:r>
      <w:r>
        <w:t xml:space="preserve"> — erreur d'évaluation thérapeutique (délai d'action réel de 3-6 mois). Ne jamais arrêter le Ginkgo biloba avant 6 mois de traitement continu à dose efficace (120-240 mg/jour).</w:t>
      </w:r>
    </w:p>
    <w:p>
      <w:pPr>
        <w:pStyle w:val="ListBullet"/>
      </w:pPr>
      <w:r/>
      <w:r>
        <w:rPr>
          <w:b/>
        </w:rPr>
        <w:t>Piège classique n°4 : Automédication ignorée</w:t>
      </w:r>
      <w:r>
        <w:t xml:space="preserve"> — le Ginkgo biloba est largement disponible en compléments alimentaires en parapharmacie et herboristerie. Interroger systématiquement le patient sur les automédications et compléments alimentaires consommés (risque de double exposition et de surdosage).</w:t>
      </w:r>
    </w:p>
    <w:p>
      <w:pPr>
        <w:pStyle w:val="ListBullet"/>
      </w:pPr>
      <w:r/>
      <w:r>
        <w:rPr>
          <w:b/>
        </w:rPr>
        <w:t>Piège classique n°5 : Non-arrêt avant chirurgie</w:t>
      </w:r>
      <w:r>
        <w:t xml:space="preserve"> — risque hémorragique péri-opératoire. Information systématique du patient : arrêter le Ginkgo 14 jours avant toute chirurgie programmée (y compris chirurgie dentaire avec avulsion).</w:t>
      </w:r>
    </w:p>
    <w:p>
      <w:pPr>
        <w:pStyle w:val="ListBullet"/>
      </w:pPr>
      <w:r/>
      <w:r>
        <w:rPr>
          <w:b/>
        </w:rPr>
        <w:t>Piège classique n°6 : Convulsions à dose toxique</w:t>
      </w:r>
      <w:r>
        <w:t xml:space="preserve"> — le ginkgotoine (à doses très élevées dans les extraits non standardisés ou en surdosage) peut antagoniser l'effet GABAergique et induire des convulsions. Éviter l'automédication par extraits non standardisés (risque majeur).</w:t>
      </w:r>
    </w:p>
    <w:p>
      <w:pPr>
        <w:pStyle w:val="ListBullet"/>
      </w:pPr>
      <w:r/>
      <w:r>
        <w:rPr>
          <w:b/>
        </w:rPr>
        <w:t>Règle de prise :</w:t>
      </w:r>
      <w:r>
        <w:t xml:space="preserve"> Pendant les repas, 2 à 3 prises par jour à heures fixes, ne pas doubler en cas d'oubli, arrêt 14 jours avant chirurgie.</w:t>
      </w:r>
    </w:p>
    <w:p>
      <w:pPr>
        <w:pStyle w:val="ListBullet"/>
      </w:pPr>
      <w:r/>
      <w:r>
        <w:rPr>
          <w:b/>
        </w:rPr>
        <w:t>Préparation et Conservation :</w:t>
      </w:r>
      <w:r/>
    </w:p>
    <w:p>
      <w:pPr>
        <w:pStyle w:val="ListBullet"/>
      </w:pPr>
      <w:r>
        <w:t>Comprimés pelliculés : à conserver à température &lt; 25 °C, à l'abri de l'humidité et de la lumière. Durée de conservation : 3 ans.</w:t>
      </w:r>
    </w:p>
    <w:p>
      <w:pPr>
        <w:pStyle w:val="ListBullet"/>
      </w:pPr>
      <w:r>
        <w:t>Solution buvable : à conserver à température &lt; 25 °C, à l'abri de la lumière. Après ouverture : stabilité 1 mois (vérifier RCP). Ne pas congeler. Agiter avant emploi.</w:t>
      </w:r>
    </w:p>
    <w:p>
      <w:pPr>
        <w:pStyle w:val="ListBullet"/>
      </w:pPr>
      <w:r>
        <w:t>Gélules (GINKOR FORT) : à conserver à température &lt; 25 °C, à l'abri de l'humidité. Durée de conservation : 3 ans.</w:t>
      </w:r>
    </w:p>
    <w:p>
      <w:pPr>
        <w:pStyle w:val="ListBullet"/>
      </w:pPr>
      <w:r/>
      <w:r>
        <w:rPr>
          <w:b/>
        </w:rPr>
        <w:t>Piège du surdosage / Substitution :</w:t>
      </w:r>
      <w:r/>
    </w:p>
    <w:p>
      <w:pPr>
        <w:pStyle w:val="ListBullet"/>
      </w:pPr>
      <w:r/>
      <w:r>
        <w:rPr>
          <w:b/>
        </w:rPr>
        <w:t>Surdosage volontaire ou accidentel</w:t>
      </w:r>
      <w:r>
        <w:t xml:space="preserve"> (&gt; 1000 mg en prise unique) : risque de convulsions, hypotension sévère, troubles de la coagulation. Conduite : urgences médicales (hospitalisation, lavage gastrique si &lt; 1 h, traitement symptomatique — anticonvulsivants, perfusion, surveillance hémostase).</w:t>
      </w:r>
    </w:p>
    <w:p>
      <w:pPr>
        <w:pStyle w:val="ListBullet"/>
      </w:pPr>
      <w:r/>
      <w:r>
        <w:rPr>
          <w:b/>
        </w:rPr>
        <w:t>Substitution princeps → générique</w:t>
      </w:r>
      <w:r>
        <w:t xml:space="preserve"> : pas de problème particulier (équivalence en mg d'extrait standardisé). Surveillance clinique 4-8 semaines pour vérifier le maintien de l'efficacité et de la tolérance. </w:t>
      </w:r>
      <w:r>
        <w:rPr>
          <w:b/>
        </w:rPr>
        <w:t>Vigilance particulière sur la standardisation</w:t>
      </w:r>
      <w:r>
        <w:t xml:space="preserve"> : tous les extraits de Ginkgo ne sont pas standardisés à 24 %/6 % (EGb 761®). Préférer les marques garantissant cette standardisation (TANAKAN princeps Ipsen — garantit la composition EGb 761®).</w:t>
      </w:r>
    </w:p>
    <w:p>
      <w:pPr>
        <w:pStyle w:val="ListBullet"/>
      </w:pPr>
      <w:r/>
      <w:r>
        <w:rPr>
          <w:b/>
        </w:rPr>
        <w:t>Substitution marque retirée → marque active</w:t>
      </w:r>
      <w:r>
        <w:t xml:space="preserve"> : en cas de prescription de GINGERAL ou TEBOKAN FORT (retirées), orienter le patient vers le médecin prescripteur pour substitution par TANAKAN (Ipsen — princeps), GINKOBA (Lad Pharma) ou ISOTANAK (Isopharm Algérie). Équivalence stricte en mg d'extrait standardisé (40 mg = 40 mg quelle que soit la marque).</w:t>
      </w:r>
    </w:p>
    <w:p>
      <w:pPr>
        <w:pStyle w:val="ListBullet"/>
      </w:pPr>
      <w:r/>
      <w:r>
        <w:rPr>
          <w:b/>
        </w:rPr>
        <w:t>Confusion forme simple / association fixe</w:t>
      </w:r>
      <w:r>
        <w:t xml:space="preserve"> : GINKOR FORT est une association fixe (Ginkgo + héptaminol + troxérutine) — ne pas substituer par TANAKAN simple (modification du schéma thérapeutique). Vérifier la cohérence de la prescription.</w:t>
      </w:r>
    </w:p>
    <w:p>
      <w:pPr>
        <w:pStyle w:val="ListBullet"/>
      </w:pPr>
      <w:r/>
      <w:r>
        <w:rPr>
          <w:b/>
        </w:rPr>
        <w:t>Confusion solution buvable 40 mg/mL vs comprimé 40 mg</w:t>
      </w:r>
      <w:r>
        <w:t xml:space="preserve"> : risque d'erreur de dosage (1 mL de solution = 1 comprimé de 40 mg). Vérifier systématiquement le mode d'administration à la dispensation. Utiliser la pipette ou seringue doseuse fournie (ne pas cuillère à café — erreur de dosage jusqu'à 30 %).</w:t>
      </w:r>
    </w:p>
    <w:p>
      <w:pPr>
        <w:pStyle w:val="ListBullet"/>
      </w:pPr>
      <w:r/>
      <w:r>
        <w:rPr>
          <w:b/>
        </w:rPr>
        <w:t>Démence avancée (MMSE &lt; 10)</w:t>
      </w:r>
      <w:r>
        <w:t xml:space="preserve"> : le Ginkgo biloba n'a pas d'efficacité démontrée dans les démences sévères — ne pas initier un traitement dans les stades avancés (orientation vers les inhibiteurs de la cholinestérase — donépézil, Chapitre 86 — ou la mémantine).</w:t>
      </w:r>
    </w:p>
    <w:p>
      <w:pPr>
        <w:pStyle w:val="Heading3"/>
      </w:pPr>
      <w:r>
        <w:t>3. DCI : Citicoline (usage neurologique) (Seule)</w:t>
      </w:r>
    </w:p>
    <w:p>
      <w:r/>
      <w:r>
        <w:rPr>
          <w:b/>
        </w:rPr>
        <w:t>Liste des Catégories :</w:t>
      </w:r>
      <w:r>
        <w:t xml:space="preserve"> Vasodilatateurs cérébraux — Précurseurs membranaires ; Médicaments des troubles cognitifs chroniques ; Médicaments des séquelles d'AVC ; Précurseurs des phospholipides membranaires ; Médicaments neuro-métaboliques.</w:t>
      </w:r>
    </w:p>
    <w:p>
      <w:r>
        <w:t>La citicoline (cytidine-5'-diphosphocholine — CDP-choline) est un intermédiaire métabolique endogène de la biosynthèse de la phosphatidylcholine (PC), principal phospholipide des membranes cellulaires cérébrales. Commercialisée en Algérie principalement sous la marque SOMAZINA® (Ferrer Internacional — laboratoire espagnol qui a développé la molécule dans les années 1970), la citicoline est disponible en formes orale (solution buvable 100 mg/mL) et injectable (IM/IV — 125 mg/mL et 250 mg/mL). Après administration orale, la citicoline est hydrolysée au niveau intestinal et hépatique en choline et cytidine (qui deviennent uridine après conversion hépatique), qui sont ensuite absorbées et rejoignent la voie biosynthétique de Kennedy (biosynthèse de novo des phospholipides membranaires cérébraux). La choline est également utilisée comme précurseur de l'acétylcholine (neurotransmetteur déficitaire dans la maladie d'Alzheimer). Administrée par voie injectable, la citicoline passe la barrière hémato-encéphalique sous forme de choline et de cytidine libres. La demi-vie d'élimination est de l'ordre de 50-70 h (longue — accumulation progressive). L'équilibre thérapeutique est atteint en ~10-15 jours, et la réponse clinique complète nécessite 1-3 mois de traitement continu (effet neuroprotecteur et métabolique cumulatif). La citicoline bénéficie d'un profil de tolérance globalement excellent (peu d'effets indésirables significatifs), justifiant sa prescription au long cours en gériatrie neurologique.</w:t>
      </w:r>
    </w:p>
    <w:p>
      <w:r/>
      <w:r>
        <w:rPr>
          <w:b/>
        </w:rPr>
        <w:t>Médicaments disponibles en Algérie (Marques, Laboratoires, Formes et Dosages) :</w:t>
      </w:r>
      <w:r/>
    </w:p>
    <w:p>
      <w:pPr>
        <w:pStyle w:val="ListBullet"/>
      </w:pPr>
      <w:r/>
      <w:r>
        <w:rPr>
          <w:b/>
        </w:rPr>
        <w:t>SOMAZINA</w:t>
      </w:r>
      <w:r>
        <w:t xml:space="preserve"> (FERRER INTERNACIONAL S.A)</w:t>
      </w:r>
    </w:p>
    <w:p>
      <w:pPr>
        <w:pStyle w:val="ListBullet"/>
      </w:pPr>
      <w:r>
        <w:t>Formes et Dosages : Solution injectable IM/IV 125 mg/mL (ou 500 mg/4 mL) — B/5 ampoules de 4 mL ; Solution buvable 100 mg/mL — B/01 flacon de 30 mL avec seringue doseuse ; Solution injectable IM/IV 250 mg/mL (ou 1000 mg/4 mL) — B/3 et B/10 ampoules de 4 mL — Liste I</w:t>
      </w:r>
    </w:p>
    <w:p>
      <w:pPr>
        <w:pStyle w:val="ListBullet"/>
      </w:pPr>
      <w:r>
        <w:t>Statut : Actif (princeps international — Ferrer Internacional — référence mondiale de la citicoline)</w:t>
      </w:r>
    </w:p>
    <w:p>
      <w:pPr>
        <w:pStyle w:val="ListBullet"/>
      </w:pPr>
      <w:r/>
      <w:r>
        <w:rPr>
          <w:b/>
        </w:rPr>
        <w:t>CICOLINA</w:t>
      </w:r>
      <w:r>
        <w:t xml:space="preserve"> (INPHA-MEDIS)</w:t>
      </w:r>
    </w:p>
    <w:p>
      <w:pPr>
        <w:pStyle w:val="ListBullet"/>
      </w:pPr>
      <w:r>
        <w:t>Formes et Dosages : Solution buvable 100 mg/mL — B/01 flacon de 60 mL avec pipette graduée — Liste I</w:t>
      </w:r>
    </w:p>
    <w:p>
      <w:pPr>
        <w:pStyle w:val="ListBullet"/>
      </w:pPr>
      <w:r>
        <w:t>Statut : Actif</w:t>
      </w:r>
    </w:p>
    <w:p>
      <w:pPr>
        <w:pStyle w:val="ListBullet"/>
      </w:pPr>
      <w:r/>
      <w:r>
        <w:rPr>
          <w:b/>
        </w:rPr>
        <w:t>CICONA BGL</w:t>
      </w:r>
      <w:r>
        <w:t xml:space="preserve"> (BIOGALENIC)</w:t>
      </w:r>
    </w:p>
    <w:p>
      <w:pPr>
        <w:pStyle w:val="ListBullet"/>
      </w:pPr>
      <w:r>
        <w:t>Formes et Dosages : Solution buvable 100 mg/mL — B/01 flacon de 30 mL avec seringue doseuse ET B/01 flacon de 60 mL avec seringue graduée — Liste I</w:t>
      </w:r>
    </w:p>
    <w:p>
      <w:pPr>
        <w:pStyle w:val="ListBullet"/>
      </w:pPr>
      <w:r>
        <w:t>Statut : Actif</w:t>
      </w:r>
    </w:p>
    <w:p>
      <w:pPr>
        <w:pStyle w:val="ListBullet"/>
      </w:pPr>
      <w:r/>
      <w:r>
        <w:rPr>
          <w:b/>
        </w:rPr>
        <w:t>CITICOLINE GL</w:t>
      </w:r>
      <w:r>
        <w:t xml:space="preserve"> (GENERIC LAB)</w:t>
      </w:r>
    </w:p>
    <w:p>
      <w:pPr>
        <w:pStyle w:val="ListBullet"/>
      </w:pPr>
      <w:r>
        <w:t>Formes et Dosages : Solution buvable 100 mg/mL — B/01 flacon de 40 mL avec seringue graduée — Liste I</w:t>
      </w:r>
    </w:p>
    <w:p>
      <w:pPr>
        <w:pStyle w:val="ListBullet"/>
      </w:pPr>
      <w:r>
        <w:t>Statut : Actif</w:t>
      </w:r>
    </w:p>
    <w:p>
      <w:pPr>
        <w:pStyle w:val="ListBullet"/>
      </w:pPr>
      <w:r/>
      <w:r>
        <w:rPr>
          <w:b/>
        </w:rPr>
        <w:t>CITICOLINE-ISO</w:t>
      </w:r>
      <w:r>
        <w:t xml:space="preserve"> (ISOPHARM ALGERIE)</w:t>
      </w:r>
    </w:p>
    <w:p>
      <w:pPr>
        <w:pStyle w:val="ListBullet"/>
      </w:pPr>
      <w:r>
        <w:t>Formes et Dosages : Solution buvable 100 mg/mL — B/01 flacon de 50 mL avec pipette graduée — Liste I</w:t>
      </w:r>
    </w:p>
    <w:p>
      <w:pPr>
        <w:pStyle w:val="ListBullet"/>
      </w:pPr>
      <w:r>
        <w:t>Statut : Actif</w:t>
      </w:r>
    </w:p>
    <w:p>
      <w:pPr>
        <w:pStyle w:val="ListBullet"/>
      </w:pPr>
      <w:r/>
      <w:r>
        <w:rPr>
          <w:b/>
        </w:rPr>
        <w:t>CITICOLINE PHARMAGHREB</w:t>
      </w:r>
      <w:r>
        <w:t xml:space="preserve"> (LABORATOIRES PHARMAGHREB)</w:t>
      </w:r>
    </w:p>
    <w:p>
      <w:pPr>
        <w:pStyle w:val="ListBullet"/>
      </w:pPr>
      <w:r>
        <w:t>Formes et Dosages : Solution buvable 100 mg/mL — B/01 flacon de 30 mL avec pipette graduée — Liste I</w:t>
      </w:r>
    </w:p>
    <w:p>
      <w:pPr>
        <w:pStyle w:val="ListBullet"/>
      </w:pPr>
      <w:r>
        <w:t>Statut : Actif</w:t>
      </w:r>
    </w:p>
    <w:p>
      <w:pPr>
        <w:pStyle w:val="ListBullet"/>
      </w:pPr>
      <w:r/>
      <w:r>
        <w:rPr>
          <w:b/>
        </w:rPr>
        <w:t>SOMACOLINE</w:t>
      </w:r>
      <w:r>
        <w:t xml:space="preserve"> (EL KENDI INDUSTRIE DU MEDICAMENT)</w:t>
      </w:r>
    </w:p>
    <w:p>
      <w:pPr>
        <w:pStyle w:val="ListBullet"/>
      </w:pPr>
      <w:r>
        <w:t>Formes et Dosages : Solution buvable 100 mg/mL — B/01 flacon de 30 mL avec pipette graduée — Liste I</w:t>
      </w:r>
    </w:p>
    <w:p>
      <w:pPr>
        <w:pStyle w:val="ListBullet"/>
      </w:pPr>
      <w:r>
        <w:t>Statut : Actif</w:t>
      </w:r>
    </w:p>
    <w:p>
      <w:pPr>
        <w:pStyle w:val="ListBullet"/>
      </w:pPr>
      <w:r/>
      <w:r>
        <w:rPr>
          <w:b/>
        </w:rPr>
        <w:t>TRAUSAN</w:t>
      </w:r>
      <w:r>
        <w:t xml:space="preserve"> (VITORIA S.A — GROUPE FAES) — *Retiré (R)*</w:t>
      </w:r>
    </w:p>
    <w:p>
      <w:pPr>
        <w:pStyle w:val="ListBullet"/>
      </w:pPr>
      <w:r>
        <w:t>Formes et Dosages : Solution buvable gouttes 100 mg/mL (ou 10 g/100 mL) — FL./30 mL + pipette graduée</w:t>
      </w:r>
    </w:p>
    <w:p>
      <w:pPr>
        <w:pStyle w:val="ListBullet"/>
      </w:pPr>
      <w:r>
        <w:t>Statut : Retiré (R)</w:t>
      </w:r>
    </w:p>
    <w:p>
      <w:r/>
      <w:r>
        <w:rPr>
          <w:b/>
        </w:rPr>
        <w:t>Total : 8 spécialités (7 actives + 1 retirée), 3 formes (solution buvable, solution injectable IM/IV 125 mg/mL, solution injectable IM/IV 250 mg/mL), dosage unique 100 mg/mL pour la forme orale.</w:t>
      </w:r>
      <w:r/>
    </w:p>
    <w:p>
      <w:r/>
      <w:r>
        <w:rPr>
          <w:b/>
        </w:rPr>
        <w:t>Sous-classe et Mécanisme d'action :</w:t>
      </w:r>
      <w:r/>
    </w:p>
    <w:p>
      <w:pPr>
        <w:pStyle w:val="ListBullet"/>
      </w:pPr>
      <w:r/>
      <w:r>
        <w:rPr>
          <w:b/>
        </w:rPr>
        <w:t>Sous-classe :</w:t>
      </w:r>
      <w:r>
        <w:t xml:space="preserve"> Vasodilatateurs cérébraux précurseurs membranaires — traitement des troubles cognitifs chroniques du sujet âgé et de la récupération post-AVC. Classe ATC N07BX (Vasodilatateurs cérébraux et précurseurs membranaires — autres). La citicoline occupe une position pharmaco-thérapeutique à la frontière entre traitement métabolique cérébral (précurseur de phospholipides) et traitement neuroprotecteur (protection mitochondriale, anti-apoptotique).</w:t>
      </w:r>
    </w:p>
    <w:p>
      <w:pPr>
        <w:pStyle w:val="ListBullet"/>
      </w:pPr>
      <w:r/>
      <w:r>
        <w:rPr>
          <w:b/>
        </w:rPr>
        <w:t>Mécanisme d'action :</w:t>
      </w:r>
      <w:r>
        <w:t xml:space="preserve"> La citicoline (CDP-choline) est un métabolite endogène intermédiaire de la voie de Kennedy (biosynthèse de novo des phospholipides membranaires cérébraux). Administrée exogène, elle agit par plusieurs mécanismes synergiques :</w:t>
      </w:r>
    </w:p>
    <w:p>
      <w:pPr>
        <w:pStyle w:val="ListBullet"/>
      </w:pPr>
      <w:r/>
      <w:r>
        <w:rPr>
          <w:b/>
        </w:rPr>
        <w:t>Précurseur de la phosphatidylcholine (PC)</w:t>
      </w:r>
      <w:r>
        <w:t xml:space="preserve"> : après hydrolyse intestinale et hépatique en choline et cytidine (puis uridine), la citicoline rejoint la voie de Kennedy où la CDP-choline (régénérée dans le cerveau) se condense avec le diacylglycérol (DAG) pour former la phosphatidylcholine (PC), principal phospholipide membranaire cérébral (composant majeur de la bicouche lipidique neuronale et gliale, particulièrement riche dans la substance blanche — myéline). Cette biosynthèse accrue permet la </w:t>
      </w:r>
      <w:r>
        <w:rPr>
          <w:b/>
        </w:rPr>
        <w:t>réparation des membranes neuronales endommagées</w:t>
      </w:r>
      <w:r>
        <w:t xml:space="preserve"> par l'ischémie, le traumatisme, la dégénérescence ou le vieillissement.</w:t>
      </w:r>
    </w:p>
    <w:p>
      <w:pPr>
        <w:pStyle w:val="ListBullet"/>
      </w:pPr>
      <w:r/>
      <w:r>
        <w:rPr>
          <w:b/>
        </w:rPr>
        <w:t>Précurseur de l'acétylcholine</w:t>
      </w:r>
      <w:r>
        <w:t xml:space="preserve"> : la choline libérée par hydrolyse intestinale est captée par les terminaisons cholinergiques cérébrales et sert de précurseur à la synthèse de l'acétylcholine (catalysée par la choline-acétyltransférase ChAT). La potentialisation de la neurotransmission cholinergique centrale explique l'effet pro-cognitif (mémoire, attention, apprentissage) — particulièrement pertinent dans la maladie d'Alzheimer où le déficit cholinergique est central (mais la citicoline est d'efficacité modeste vs inhibiteurs de la cholinestérase — donépézil, Chapitre 86).</w:t>
      </w:r>
    </w:p>
    <w:p>
      <w:pPr>
        <w:pStyle w:val="ListBullet"/>
      </w:pPr>
      <w:r/>
      <w:r>
        <w:rPr>
          <w:b/>
        </w:rPr>
        <w:t>Stabilisateur des membranes mitochondriales</w:t>
      </w:r>
      <w:r>
        <w:t xml:space="preserve"> : la citicoline préserve le potentiel transmembranaire mitochondrial ΔΨm et inhibe l'ouverture du pore de transition de perméabilité mitochondriale (mPTP), réduisant l'apoptose neuronale (inhibition de la voie caspase-3, préservation de l'ATP cellulaire, réduction de la libération du cytochrome c). Cette propriété neuroprotectrice est particulièrement étudiée dans l'ischémie cérébrale aiguë (AVC ischémique — fenêtre thérapeutique &lt; 24 h) et dans les traumatismes crâniens.</w:t>
      </w:r>
    </w:p>
    <w:p>
      <w:pPr>
        <w:pStyle w:val="ListBullet"/>
      </w:pPr>
      <w:r/>
      <w:r>
        <w:rPr>
          <w:b/>
        </w:rPr>
        <w:t>Activation de la dopamine striatale</w:t>
      </w:r>
      <w:r>
        <w:t xml:space="preserve"> : la citicoline augmente la libération de dopamine striatale (effet extrapyramidal modeste), expliquant un effet théorique favorable dans la maladie de Parkinson (mais peu démontré cliniquement — la L-DOPA reste le gold standard absolu, Chapitre 87).</w:t>
      </w:r>
    </w:p>
    <w:p>
      <w:pPr>
        <w:pStyle w:val="ListBullet"/>
      </w:pPr>
      <w:r/>
      <w:r>
        <w:rPr>
          <w:b/>
        </w:rPr>
        <w:t>Réduction de l'œdème cérébral post-ischémique</w:t>
      </w:r>
      <w:r>
        <w:t xml:space="preserve"> : la citicoline inhibe la phospholipase A2 (enzyme qui libère l'acide arachidonique des phospholipides membranaires — médiateur inflammatoire et précurseur des prostaglandines/leucotriènes), réduisant ainsi la cascade inflammatoire post-ischémique et l'œdème cérébral cytotoxique.</w:t>
      </w:r>
    </w:p>
    <w:p>
      <w:pPr>
        <w:pStyle w:val="ListBullet"/>
      </w:pPr>
      <w:r/>
      <w:r>
        <w:rPr>
          <w:b/>
        </w:rPr>
        <w:t>Augmentation de la S-adénosyl-méthionine (SAM)</w:t>
      </w:r>
      <w:r>
        <w:t xml:space="preserve"> : la citicoline augmente les taux cérébraux de SAM (donneur de méthyl universel), potentialisant les voies de méthylation (méthylation de l'ADN, des protéines et des neurotransmetteurs — épigénétique positive).</w:t>
      </w:r>
    </w:p>
    <w:p>
      <w:pPr>
        <w:pStyle w:val="ListBullet"/>
      </w:pPr>
      <w:r/>
      <w:r>
        <w:rPr>
          <w:b/>
        </w:rPr>
        <w:t>Effet anti-oxydant indirect</w:t>
      </w:r>
      <w:r>
        <w:t xml:space="preserve"> : la citicoline stimule la synthèse du glutathion (anti-oxydant endogène majeur) et réduit la production de radicaux libres mitochondriaux.</w:t>
      </w:r>
    </w:p>
    <w:p>
      <w:r>
        <w:t>L'effet thérapeutique complet nécessite 1-3 mois de traitement continu (effet neuroprotecteur et métabolique cumulatif). L'efficacité est dose-dépendante (500-2000 mg/jour en IV ou 1000-2000 mg/jour en oral).</w:t>
      </w:r>
    </w:p>
    <w:p>
      <w:r/>
      <w:r>
        <w:rPr>
          <w:b/>
        </w:rPr>
        <w:t>Profil Pharmacologique :</w:t>
      </w:r>
      <w:r/>
    </w:p>
    <w:p>
      <w:pPr>
        <w:pStyle w:val="ListBullet"/>
      </w:pPr>
      <w:r/>
      <w:r>
        <w:rPr>
          <w:b/>
        </w:rPr>
        <w:t>Indications (AMM) :</w:t>
      </w:r>
      <w:r/>
    </w:p>
    <w:p>
      <w:pPr>
        <w:pStyle w:val="ListBullet"/>
      </w:pPr>
      <w:r/>
      <w:r>
        <w:rPr>
          <w:b/>
        </w:rPr>
        <w:t>Troubles cognitifs chroniques du sujet âgé</w:t>
      </w:r>
      <w:r>
        <w:t xml:space="preserve"> (baisse attentionnelle, troubles mnésiques liés à l'âge, démences dégénératives et vasculaires aux stades légers à modérés). La citicoline ralentit la dégradation cognitive et améliore modestement les performances attentionnelles et mnésiques.</w:t>
      </w:r>
    </w:p>
    <w:p>
      <w:pPr>
        <w:pStyle w:val="ListBullet"/>
      </w:pPr>
      <w:r/>
      <w:r>
        <w:rPr>
          <w:b/>
        </w:rPr>
        <w:t>Séquelles d'accident vasculaire cérébral (AVC)</w:t>
      </w:r>
      <w:r>
        <w:t xml:space="preserve"> — récupération post-AVC ischémique ou hémorragique (amélioration de la récupération motrice et cognitive, réduction de la taille de l'infarctus cérébral). Hors fenêtre aiguë (au-delà de 24-48 h post-AVC).</w:t>
      </w:r>
    </w:p>
    <w:p>
      <w:pPr>
        <w:pStyle w:val="ListBullet"/>
      </w:pPr>
      <w:r/>
      <w:r>
        <w:rPr>
          <w:b/>
        </w:rPr>
        <w:t>Traumatismes crâniens</w:t>
      </w:r>
      <w:r>
        <w:t xml:space="preserve"> (séquelles cognitives post-commotion cérébrale, post-commotion sportive)</w:t>
      </w:r>
    </w:p>
    <w:p>
      <w:pPr>
        <w:pStyle w:val="ListBullet"/>
      </w:pPr>
      <w:r/>
      <w:r>
        <w:rPr>
          <w:b/>
        </w:rPr>
        <w:t>Maladie de Parkinson</w:t>
      </w:r>
      <w:r>
        <w:t xml:space="preserve"> — adjuvant symptomatique (effet dopaminergique modeste — hors indication principale)</w:t>
      </w:r>
    </w:p>
    <w:p>
      <w:pPr>
        <w:pStyle w:val="ListBullet"/>
      </w:pPr>
      <w:r/>
      <w:r>
        <w:rPr>
          <w:b/>
        </w:rPr>
        <w:t>Amblyopie</w:t>
      </w:r>
      <w:r>
        <w:t xml:space="preserve"> (troubles visuels d'origine ischémique — neuropathie optique ischémique, rétinopathie)</w:t>
      </w:r>
    </w:p>
    <w:p>
      <w:pPr>
        <w:pStyle w:val="ListBullet"/>
      </w:pPr>
      <w:r/>
      <w:r>
        <w:rPr>
          <w:b/>
        </w:rPr>
        <w:t>Contre-indications :</w:t>
      </w:r>
      <w:r/>
    </w:p>
    <w:p>
      <w:pPr>
        <w:pStyle w:val="ListBullet"/>
      </w:pPr>
      <w:r/>
      <w:r>
        <w:rPr>
          <w:b/>
        </w:rPr>
        <w:t>Hypersensibilité connue à la citicoline</w:t>
      </w:r>
      <w:r>
        <w:t xml:space="preserve"> (rare)</w:t>
      </w:r>
    </w:p>
    <w:p>
      <w:pPr>
        <w:pStyle w:val="ListBullet"/>
      </w:pPr>
      <w:r/>
      <w:r>
        <w:rPr>
          <w:b/>
        </w:rPr>
        <w:t>Hypertonie vagale</w:t>
      </w:r>
      <w:r>
        <w:t xml:space="preserve"> (la citicoline peut potentialiser le tonus vagal — risque de bradycardie)</w:t>
      </w:r>
    </w:p>
    <w:p>
      <w:pPr>
        <w:pStyle w:val="ListBullet"/>
      </w:pPr>
      <w:r/>
      <w:r>
        <w:rPr>
          <w:b/>
        </w:rPr>
        <w:t>Tonus sympathique excessif</w:t>
      </w:r>
      <w:r>
        <w:t xml:space="preserve"> (paradoxalement — mécanisme discuté)</w:t>
      </w:r>
    </w:p>
    <w:p>
      <w:pPr>
        <w:pStyle w:val="ListBullet"/>
      </w:pPr>
      <w:r/>
      <w:r>
        <w:rPr>
          <w:b/>
        </w:rPr>
        <w:t>Grossesse et allaitement</w:t>
      </w:r>
      <w:r>
        <w:t xml:space="preserve"> (par prudence — défaut de données)</w:t>
      </w:r>
    </w:p>
    <w:p>
      <w:pPr>
        <w:pStyle w:val="ListBullet"/>
      </w:pPr>
      <w:r/>
      <w:r>
        <w:rPr>
          <w:b/>
        </w:rPr>
        <w:t>Effets Indésirables :</w:t>
      </w:r>
      <w:r/>
    </w:p>
    <w:p>
      <w:pPr>
        <w:pStyle w:val="ListBullet"/>
      </w:pPr>
      <w:r>
        <w:t xml:space="preserve">La citicoline a un </w:t>
      </w:r>
      <w:r>
        <w:rPr>
          <w:b/>
        </w:rPr>
        <w:t>profil de tolérance globalement excellent</w:t>
      </w:r>
      <w:r>
        <w:t xml:space="preserve"> — la majorité des essais cliniques ne rapportent pas plus d'EI que le placebo. Les EI possibles sont :</w:t>
      </w:r>
    </w:p>
    <w:p>
      <w:pPr>
        <w:pStyle w:val="ListBullet"/>
      </w:pPr>
      <w:r/>
      <w:r>
        <w:rPr>
          <w:b/>
        </w:rPr>
        <w:t>Digestifs</w:t>
      </w:r>
      <w:r>
        <w:t xml:space="preserve"> (1-3 %) : nausées, dyspepsie, douleurs épigastriques, diarrhée. Atténués par la prise pendant les repas.</w:t>
      </w:r>
    </w:p>
    <w:p>
      <w:pPr>
        <w:pStyle w:val="ListBullet"/>
      </w:pPr>
      <w:r/>
      <w:r>
        <w:rPr>
          <w:b/>
        </w:rPr>
        <w:t>Neurologiques</w:t>
      </w:r>
      <w:r>
        <w:t xml:space="preserve"> (1-2 %) : céphalées, vertiges (paradoxalement), insomnie (à doses élevées en soirée — effet stimulant cholinergique), somnolence modérée (rare).</w:t>
      </w:r>
    </w:p>
    <w:p>
      <w:pPr>
        <w:pStyle w:val="ListBullet"/>
      </w:pPr>
      <w:r/>
      <w:r>
        <w:rPr>
          <w:b/>
        </w:rPr>
        <w:t>Cardiovasculaires</w:t>
      </w:r>
      <w:r>
        <w:t xml:space="preserve"> (&lt;1 %) : modifications tensionnelles (hypotension ou hypertension — mécanisme discuté), bradycardie par potentialisation vagale, palpitations.</w:t>
      </w:r>
    </w:p>
    <w:p>
      <w:pPr>
        <w:pStyle w:val="ListBullet"/>
      </w:pPr>
      <w:r/>
      <w:r>
        <w:rPr>
          <w:b/>
        </w:rPr>
        <w:t>Cutanés</w:t>
      </w:r>
      <w:r>
        <w:t xml:space="preserve"> (&lt;1 %) : rash, prurit, flush (rougeur du visage).</w:t>
      </w:r>
    </w:p>
    <w:p>
      <w:pPr>
        <w:pStyle w:val="ListBullet"/>
      </w:pPr>
      <w:r/>
      <w:r>
        <w:rPr>
          <w:b/>
        </w:rPr>
        <w:t>Respiratoires</w:t>
      </w:r>
      <w:r>
        <w:t xml:space="preserve"> (&lt;1 %) : dyspnée (exceptionnel).</w:t>
      </w:r>
    </w:p>
    <w:p>
      <w:pPr>
        <w:pStyle w:val="ListBullet"/>
      </w:pPr>
      <w:r/>
      <w:r>
        <w:rPr>
          <w:b/>
        </w:rPr>
        <w:t>Métaboliques</w:t>
      </w:r>
      <w:r>
        <w:t xml:space="preserve"> (&lt;1 %) : variations de la glycémie (à surveiller chez le diabétique).</w:t>
      </w:r>
    </w:p>
    <w:p>
      <w:pPr>
        <w:pStyle w:val="ListBullet"/>
      </w:pPr>
      <w:r/>
      <w:r>
        <w:rPr>
          <w:b/>
        </w:rPr>
        <w:t>Cas exceptionnels (&lt;0,1 %)</w:t>
      </w:r>
      <w:r>
        <w:t xml:space="preserve"> : réactions allergiques (urticaire, angio-œdème), convulsions (à doses très élevées).</w:t>
      </w:r>
    </w:p>
    <w:p>
      <w:r>
        <w:t>Le profil de tolérance global est exceptionnellement bon (peu d'EI significatifs vs placebo), ce qui justifie la prescription au long cours en gériatrie neurologique.</w:t>
      </w:r>
    </w:p>
    <w:p>
      <w:r/>
      <w:r>
        <w:rPr>
          <w:b/>
        </w:rPr>
        <w:t>Prévention et Gestion des Effets Indésirables :</w:t>
      </w:r>
      <w:r/>
    </w:p>
    <w:p>
      <w:pPr>
        <w:pStyle w:val="ListBullet"/>
      </w:pPr>
      <w:r/>
      <w:r>
        <w:rPr>
          <w:b/>
        </w:rPr>
        <w:t>Mesures Préventives :</w:t>
      </w:r>
      <w:r/>
    </w:p>
    <w:p>
      <w:pPr>
        <w:pStyle w:val="ListBullet"/>
      </w:pPr>
      <w:r/>
      <w:r>
        <w:rPr>
          <w:b/>
        </w:rPr>
        <w:t>Prise pendant les repas</w:t>
      </w:r>
      <w:r>
        <w:t xml:space="preserve"> (pour la forme orale — réduction des EI digestifs)</w:t>
      </w:r>
    </w:p>
    <w:p>
      <w:pPr>
        <w:pStyle w:val="ListBullet"/>
      </w:pPr>
      <w:r/>
      <w:r>
        <w:rPr>
          <w:b/>
        </w:rPr>
        <w:t>Posologie progressive</w:t>
      </w:r>
      <w:r>
        <w:t xml:space="preserve"> (initiation à 500-1000 mg/jour la première semaine, puis augmentation à 1000-2000 mg/jour si nécessaire) pour minimiser les EI initiaux</w:t>
      </w:r>
    </w:p>
    <w:p>
      <w:pPr>
        <w:pStyle w:val="ListBullet"/>
      </w:pPr>
      <w:r/>
      <w:r>
        <w:rPr>
          <w:b/>
        </w:rPr>
        <w:t>Éducation thérapeutique du patient</w:t>
      </w:r>
      <w:r>
        <w:t xml:space="preserve"> sur le délai d'action différée (effet complet après 1-3 mois — ne pas conclure à l'inefficacité avant ce délai)</w:t>
      </w:r>
    </w:p>
    <w:p>
      <w:pPr>
        <w:pStyle w:val="ListBullet"/>
      </w:pPr>
      <w:r/>
      <w:r>
        <w:rPr>
          <w:b/>
        </w:rPr>
        <w:t>Surveillance tensionnelle</w:t>
      </w:r>
      <w:r>
        <w:t xml:space="preserve"> chez les patients hypertendus ou hypotendus (modifications tensionnelles possibles)</w:t>
      </w:r>
    </w:p>
    <w:p>
      <w:pPr>
        <w:pStyle w:val="ListBullet"/>
      </w:pPr>
      <w:r/>
      <w:r>
        <w:rPr>
          <w:b/>
        </w:rPr>
        <w:t>Surveillance de la glycémie</w:t>
      </w:r>
      <w:r>
        <w:t xml:space="preserve"> chez les patients diabétiques (variations glycémiques possibles)</w:t>
      </w:r>
    </w:p>
    <w:p>
      <w:pPr>
        <w:pStyle w:val="ListBullet"/>
      </w:pPr>
      <w:r/>
      <w:r>
        <w:rPr>
          <w:b/>
        </w:rPr>
        <w:t>Surveillance cardiaque</w:t>
      </w:r>
      <w:r>
        <w:t xml:space="preserve"> chez les patients bradycardisants ou sous bêta-bloquants (potentialisation du tonus vagal)</w:t>
      </w:r>
    </w:p>
    <w:p>
      <w:pPr>
        <w:pStyle w:val="ListBullet"/>
      </w:pPr>
      <w:r/>
      <w:r>
        <w:rPr>
          <w:b/>
        </w:rPr>
        <w:t>Éviction de la prise en soirée tardive</w:t>
      </w:r>
      <w:r>
        <w:t xml:space="preserve"> (risque d'insomnie par stimulation cholinergique centrale)</w:t>
      </w:r>
    </w:p>
    <w:p>
      <w:pPr>
        <w:pStyle w:val="ListBullet"/>
      </w:pPr>
      <w:r/>
      <w:r>
        <w:rPr>
          <w:b/>
        </w:rPr>
        <w:t>Conduite à Tenir :</w:t>
      </w:r>
      <w:r/>
    </w:p>
    <w:p>
      <w:pPr>
        <w:pStyle w:val="ListBullet"/>
      </w:pPr>
      <w:r/>
      <w:r>
        <w:rPr>
          <w:b/>
        </w:rPr>
        <w:t>EI digestifs mineurs</w:t>
      </w:r>
      <w:r>
        <w:t xml:space="preserve"> : maintien du traitement, prise pendant repas</w:t>
      </w:r>
    </w:p>
    <w:p>
      <w:pPr>
        <w:pStyle w:val="ListBullet"/>
      </w:pPr>
      <w:r/>
      <w:r>
        <w:rPr>
          <w:b/>
        </w:rPr>
        <w:t>Céphalées persistantes</w:t>
      </w:r>
      <w:r>
        <w:t xml:space="preserve"> : réduction posologique (de 2000 mg/jour à 1000 mg/jour), prise en soirée à éviter</w:t>
      </w:r>
    </w:p>
    <w:p>
      <w:pPr>
        <w:pStyle w:val="ListBullet"/>
      </w:pPr>
      <w:r/>
      <w:r>
        <w:rPr>
          <w:b/>
        </w:rPr>
        <w:t>Insomnie</w:t>
      </w:r>
      <w:r>
        <w:t xml:space="preserve"> : avancer la dernière prise à 16 h maximum (éviter la prise au-delà)</w:t>
      </w:r>
    </w:p>
    <w:p>
      <w:pPr>
        <w:pStyle w:val="ListBullet"/>
      </w:pPr>
      <w:r/>
      <w:r>
        <w:rPr>
          <w:b/>
        </w:rPr>
        <w:t>Bradycardie symptomatique</w:t>
      </w:r>
      <w:r>
        <w:t xml:space="preserve"> (&lt; 50 bpm avec malaise) : arrêt temporaire, surveillance ECG, réintroduction à dose réduite après avis cardiologique</w:t>
      </w:r>
    </w:p>
    <w:p>
      <w:pPr>
        <w:pStyle w:val="ListBullet"/>
      </w:pPr>
      <w:r/>
      <w:r>
        <w:rPr>
          <w:b/>
        </w:rPr>
        <w:t>Réaction allergique</w:t>
      </w:r>
      <w:r>
        <w:t xml:space="preserve"> : arrêt définitif (CI à vie)</w:t>
      </w:r>
    </w:p>
    <w:p>
      <w:pPr>
        <w:pStyle w:val="ListBullet"/>
      </w:pPr>
      <w:r/>
      <w:r>
        <w:rPr>
          <w:b/>
        </w:rPr>
        <w:t>Évaluation de l'efficacité à 3 mois</w:t>
      </w:r>
      <w:r>
        <w:t xml:space="preserve"> : consultation de réévaluation cognitive (MMSE, échelles cognitives spécifiques) ou fonctionnelle (récupération motrice post-AVC, échelle de Rankin modifiée, NIHSS pour l'AVC). En cas d'efficacité insuffisante à 3-6 mois : arrêt de la citicoline + avis spécialisé (neurologue ou gériatre)</w:t>
      </w:r>
    </w:p>
    <w:p>
      <w:pPr>
        <w:pStyle w:val="ListBullet"/>
      </w:pPr>
      <w:r/>
      <w:r>
        <w:rPr>
          <w:b/>
        </w:rPr>
        <w:t>Surveillance à long terme</w:t>
      </w:r>
      <w:r>
        <w:t xml:space="preserve"> : évaluation annuelle de la nécessité de poursuivre le traitement (pas de dépendance ni de sevrage à l'arrêt)</w:t>
      </w:r>
    </w:p>
    <w:p>
      <w:r/>
      <w:r>
        <w:rPr>
          <w:b/>
        </w:rPr>
        <w:t>Interactions Importantes :</w:t>
      </w:r>
      <w:r/>
    </w:p>
    <w:p>
      <w:pPr>
        <w:pStyle w:val="ListBullet"/>
      </w:pPr>
      <w:r/>
      <w:r>
        <w:rPr>
          <w:b/>
        </w:rPr>
        <w:t>[Citicoline + Lévodopa / Antiparkinsoniens dopaminergiques] : Potentialisation dopaminergique</w:t>
      </w:r>
      <w:r>
        <w:t xml:space="preserve"> — la citicoline augmente la libération de dopamine striatale, ce qui peut potentialiser l'effet de la lévodopa (Chapitre 87) et des agonistes dopaminergiques (ropinirole). Surveillance clinique (risque majoré de dyskinésies, hallucinations, hypotension orthostatique). Réduction posologique de la lévodopa à l'initiation de la citicoline (à discuter avec le neurologue).</w:t>
      </w:r>
    </w:p>
    <w:p>
      <w:pPr>
        <w:pStyle w:val="ListBullet"/>
      </w:pPr>
      <w:r/>
      <w:r>
        <w:rPr>
          <w:b/>
        </w:rPr>
        <w:t>[Citicoline + Anticholinestérasiques (donépézil, rivastigmine, galantamine — Chapitre 86)] : Potentialisation cholinergique</w:t>
      </w:r>
      <w:r>
        <w:t xml:space="preserve"> — la citicoline précurseur de l'acétylcholine peut potentialiser l'effet des anticholinestérasiques (inhibiteurs de la dégradation de l'acétylcholine). Risque de surcharge cholinergique (nausées, vomissements, diarrhée, bradycardie, bronchoconstriction). Surveillance clinique renforcée à l'initiation.</w:t>
      </w:r>
    </w:p>
    <w:p>
      <w:pPr>
        <w:pStyle w:val="ListBullet"/>
      </w:pPr>
      <w:r/>
      <w:r>
        <w:rPr>
          <w:b/>
        </w:rPr>
        <w:t>[Citicoline + Mémantine (Chapitre 86)] : Effet théorique additif</w:t>
      </w:r>
      <w:r>
        <w:t xml:space="preserve"> — la mémantine est un antagoniste NMDA utilisé dans la maladie d'Alzheimer modérée à sévère. L'association avec la citicoline n'a pas d'interaction pharmacocinétique connue, et l'effet pharmacodynamique est théoriquement additif (neuroprotection glutamatergique + neuroprotection membranaire). Tolérance acceptable.</w:t>
      </w:r>
    </w:p>
    <w:p>
      <w:pPr>
        <w:pStyle w:val="ListBullet"/>
      </w:pPr>
      <w:r/>
      <w:r>
        <w:rPr>
          <w:b/>
        </w:rPr>
        <w:t>[Citicoline + Anticoagulants / Antiagrégants plaquettaires] : Pas d'interaction significative documentée</w:t>
      </w:r>
      <w:r>
        <w:t xml:space="preserve"> — contrairement au Ginkgo biloba, la citicoline n'a pas d'effet anti-agrégant plaquettaire. Association possible sans précaution particulière.</w:t>
      </w:r>
    </w:p>
    <w:p>
      <w:pPr>
        <w:pStyle w:val="ListBullet"/>
      </w:pPr>
      <w:r/>
      <w:r>
        <w:rPr>
          <w:b/>
        </w:rPr>
        <w:t>[Citicoline + Médicaments à marge thérapeutique étroite (digoxine, lithium, phénytoïne, théophylline)] : Pas d'interaction significative documentée</w:t>
      </w:r>
      <w:r>
        <w:t xml:space="preserve"> — la citicoline n'a pas d'effet inducteur ou inhibiteur du CYP450. Association possible.</w:t>
      </w:r>
    </w:p>
    <w:p>
      <w:pPr>
        <w:pStyle w:val="ListBullet"/>
      </w:pPr>
      <w:r/>
      <w:r>
        <w:rPr>
          <w:b/>
        </w:rPr>
        <w:t>[Citicoline + Alcool] : Pas d'interaction documentée</w:t>
      </w:r>
      <w:r>
        <w:t xml:space="preserve"> — théoriquement, l'effet neuroprotecteur de la citicoline pourrait contrebalancer partiellement la neurotoxicité de l'alcool (neuroprotection expérimentale chez l'animal — non validée chez l'homme).</w:t>
      </w:r>
    </w:p>
    <w:p>
      <w:r/>
      <w:r>
        <w:rPr>
          <w:b/>
        </w:rPr>
        <w:t>Grossesse et Allaitement :</w:t>
      </w:r>
      <w:r/>
    </w:p>
    <w:p>
      <w:pPr>
        <w:pStyle w:val="ListBullet"/>
      </w:pPr>
      <w:r/>
      <w:r>
        <w:rPr>
          <w:b/>
        </w:rPr>
        <w:t>Grossesse :</w:t>
      </w:r>
      <w:r>
        <w:t xml:space="preserve"> Selon le CRAT et l'ANSM, la citicoline est </w:t>
      </w:r>
      <w:r>
        <w:rPr>
          <w:b/>
        </w:rPr>
        <w:t>compatible avec la grossesse si nécessaire</w:t>
      </w:r>
      <w:r>
        <w:t xml:space="preserve"> (données animales rassurantes — pas d'effet tératogène, pas d'effet fœtotoxique à doses thérapeutiques ; données humaines limitées mais sans signal alarmant). La citicoline est un métabolite endogène (intermédiaire physiologique de la biosynthèse des phospholipides), et son administration exogène à doses thérapeutiques n'induit pas de surcharge significative. En cas d'AVC survenant pendant la grossesse (risque majoré au 3e trimestre et en post-partum), la citicoline peut être prescrite après évaluation bénéfice/risque par le neurologue et le gynécologue-obstétricien. À éviter par prudence au 1er trimestre (organogénèse) si prescription non urgente.</w:t>
      </w:r>
    </w:p>
    <w:p>
      <w:pPr>
        <w:pStyle w:val="ListBullet"/>
      </w:pPr>
      <w:r/>
      <w:r>
        <w:rPr>
          <w:b/>
        </w:rPr>
        <w:t>Allaitement :</w:t>
      </w:r>
      <w:r>
        <w:t xml:space="preserve"> Selon le CRAT, la citicoline est </w:t>
      </w:r>
      <w:r>
        <w:rPr>
          <w:b/>
        </w:rPr>
        <w:t>compatible avec l'allaitement</w:t>
      </w:r>
      <w:r>
        <w:t xml:space="preserve"> (la citicoline est un composé endogène présent dans le lait maternel — l'administration exogène n'augmente pas significativement les taux laitiques). Le nouveau-né métabolise la citicoline de manière physiologique (maturation cérébrale — la citicoline est un nutriment essentiel pour le développement cérébral du nouveau-né, particulièrement important chez le prématuré). Aucun effet indésirable n'a été rapporté chez le nouveau-né allaité par une mère sous citicoline.</w:t>
      </w:r>
    </w:p>
    <w:p>
      <w:pPr>
        <w:pStyle w:val="ListBullet"/>
      </w:pPr>
      <w:r/>
      <w:r>
        <w:rPr>
          <w:b/>
        </w:rPr>
        <w:t>Précisions :</w:t>
      </w:r>
      <w:r>
        <w:t xml:space="preserve"> La citicoline est le seul des 3 vasodilatateurs cérébraux de ce chapitre à bénéficier d'un profil grossesse/allaitement favorable. En pratique clinique courante en Algérie, la citicoline est rarement prescrite chez la femme enceinte (les indications principales — troubles cognitifs du sujet âgé, séquelles post-AVC — touchent préférentiellement les patients &gt; 50 ans). En cas de découverte de grossesse sous citicoline : ne pas alarmer la patiente (pas d'interruption médicale de grossesse justifiée), consulter le médecin prescripteur pour réévaluation de la nécessité de poursuivre.</w:t>
      </w:r>
    </w:p>
    <w:p>
      <w:r/>
      <w:r>
        <w:rPr>
          <w:b/>
        </w:rPr>
        <w:t>Posologie et Mode d'administration (Standard) :</w:t>
      </w:r>
      <w:r/>
    </w:p>
    <w:p>
      <w:pPr>
        <w:pStyle w:val="ListBullet"/>
      </w:pPr>
      <w:r/>
      <w:r>
        <w:rPr>
          <w:b/>
        </w:rPr>
        <w:t>Adulte :</w:t>
      </w:r>
      <w:r/>
    </w:p>
    <w:p>
      <w:pPr>
        <w:pStyle w:val="ListBullet"/>
      </w:pPr>
      <w:r/>
      <w:r>
        <w:rPr>
          <w:b/>
        </w:rPr>
        <w:t>Forme orale (solution buvable 100 mg/mL)</w:t>
      </w:r>
      <w:r>
        <w:t xml:space="preserve"> :</w:t>
      </w:r>
    </w:p>
    <w:p>
      <w:pPr>
        <w:pStyle w:val="ListBullet"/>
      </w:pPr>
      <w:r/>
      <w:r>
        <w:rPr>
          <w:b/>
        </w:rPr>
        <w:t>Troubles cognitifs chroniques du sujet âgé</w:t>
      </w:r>
      <w:r>
        <w:t xml:space="preserve"> : 1000 mg/jour (soit 10 mL de solution buvable) en 1 ou 2 prises (matin + midi — éviter le soir pour limiter le risque d'insomnie)</w:t>
      </w:r>
    </w:p>
    <w:p>
      <w:pPr>
        <w:pStyle w:val="ListBullet"/>
      </w:pPr>
      <w:r/>
      <w:r>
        <w:rPr>
          <w:b/>
        </w:rPr>
        <w:t>Séquelles post-AVC</w:t>
      </w:r>
      <w:r>
        <w:t xml:space="preserve"> : 1000-2000 mg/jour (soit 10-20 mL de solution buvable) en 2 prises (matin + midi)</w:t>
      </w:r>
    </w:p>
    <w:p>
      <w:pPr>
        <w:pStyle w:val="ListBullet"/>
      </w:pPr>
      <w:r/>
      <w:r>
        <w:rPr>
          <w:b/>
        </w:rPr>
        <w:t>Forme injectable IM/IV</w:t>
      </w:r>
      <w:r>
        <w:t xml:space="preserve"> :</w:t>
      </w:r>
    </w:p>
    <w:p>
      <w:pPr>
        <w:pStyle w:val="ListBullet"/>
      </w:pPr>
      <w:r/>
      <w:r>
        <w:rPr>
          <w:b/>
        </w:rPr>
        <w:t>Séquelles post-AVC (initiation IV puis relais oral)</w:t>
      </w:r>
      <w:r>
        <w:t xml:space="preserve"> : 500-1000 mg/jour IM ou IV (lent — en 3-5 min pour IV directe, ou en perfusion de 30-60 min dans 100 mL de G5% ou NaCl 0,9%) pendant 15-30 jours, puis relais par forme orale 1000-2000 mg/jour</w:t>
      </w:r>
    </w:p>
    <w:p>
      <w:pPr>
        <w:pStyle w:val="ListBullet"/>
      </w:pPr>
      <w:r/>
      <w:r>
        <w:rPr>
          <w:b/>
        </w:rPr>
        <w:t>Troubles cognitifs sévères</w:t>
      </w:r>
      <w:r>
        <w:t xml:space="preserve"> : 500-1000 mg/jour IM ou IV pendant 10-20 jours, puis relais oral</w:t>
      </w:r>
    </w:p>
    <w:p>
      <w:pPr>
        <w:pStyle w:val="ListBullet"/>
      </w:pPr>
      <w:r/>
      <w:r>
        <w:rPr>
          <w:b/>
        </w:rPr>
        <w:t>Dose maximale recommandée</w:t>
      </w:r>
      <w:r>
        <w:t xml:space="preserve"> : 2000 mg/jour (certaines études internationales ont utilisé jusqu'à 4000 mg/jour IV — hors AMM)</w:t>
      </w:r>
    </w:p>
    <w:p>
      <w:pPr>
        <w:pStyle w:val="ListBullet"/>
      </w:pPr>
      <w:r/>
      <w:r>
        <w:rPr>
          <w:b/>
        </w:rPr>
        <w:t>Sujet âgé (&gt; 75 ans) :</w:t>
      </w:r>
      <w:r>
        <w:t xml:space="preserve"> Pas d'adaptation posologique systématique, mais initiation prudente à 500 mg/jour (IM/IV) ou 1000 mg/jour (oral) pendant 7-14 jours, puis augmentation à 1000-2000 mg/jour en surveillant la tolérance tensionnelle et cardiaque. Surveillance de la fonction rénale (clairance créatinine) — pas d'accumulation significative en IR modérée (cl Cr &gt; 30 mL/min). Surveiller l'apparition d'une agitation ou d'une insomnie (signe d'effet cholinergique central excessif — réduire la dose).</w:t>
      </w:r>
    </w:p>
    <w:p>
      <w:pPr>
        <w:pStyle w:val="ListBullet"/>
      </w:pPr>
      <w:r/>
      <w:r>
        <w:rPr>
          <w:b/>
        </w:rPr>
        <w:t>Insuffisance hépatique :</w:t>
      </w:r>
      <w:r>
        <w:t xml:space="preserve"> Pas d'adaptation posologique en IH modérée (Child-Pugh A-B). En IH sévère (Child-Pugh C), surveillance clinique (métabolisme hépatique partiel).</w:t>
      </w:r>
    </w:p>
    <w:p>
      <w:pPr>
        <w:pStyle w:val="ListBullet"/>
      </w:pPr>
      <w:r/>
      <w:r>
        <w:rPr>
          <w:b/>
        </w:rPr>
        <w:t>Insuffisance rénale :</w:t>
      </w:r>
      <w:r>
        <w:t xml:space="preserve"> Pas d'adaptation posologique en IR modérée (cl Cr &gt; 30 mL/min). En IR sévère (cl Cr &lt; 30 mL/min), surveillance clinique (peu de données — prudence).</w:t>
      </w:r>
    </w:p>
    <w:p>
      <w:pPr>
        <w:pStyle w:val="ListBullet"/>
      </w:pPr>
      <w:r/>
      <w:r>
        <w:rPr>
          <w:b/>
        </w:rPr>
        <w:t>Enfant :</w:t>
      </w:r>
      <w:r>
        <w:t xml:space="preserve"> La citicoline peut être utilisée chez l'enfant dans certaines indications neurologiques pédiatriques (encéphalopathies post-anoxiques du nouveau-né, séquelles de souffrance fœtale aiguë, troubles du développement cognitif) — posologie adaptée au poids (10-20 mg/kg/jour IV). Hors AMM stricte en pédiatrie — à discuter avec le neuropédiatre.</w:t>
      </w:r>
    </w:p>
    <w:p>
      <w:pPr>
        <w:pStyle w:val="ListBullet"/>
      </w:pPr>
      <w:r/>
      <w:r>
        <w:rPr>
          <w:b/>
        </w:rPr>
        <w:t>Durée :</w:t>
      </w:r>
      <w:r>
        <w:t xml:space="preserve"> Traitement prolongé au long cours — minimum 1-3 mois pour évaluer l'efficacité cognitive ; 3-6 mois pour les séquelles post-AVC (relais IV → oral systématique après 15-30 jours). Souvent traitement d'entretien pendant plusieurs années (troubles cognitifs chroniques du sujet âgé). Pas de dépendance ni de sevrage à l'arrêt — décroissance progressive non nécessaire mais arrêt brutal possible.</w:t>
      </w:r>
    </w:p>
    <w:p>
      <w:pPr>
        <w:pStyle w:val="ListBullet"/>
      </w:pPr>
      <w:r/>
      <w:r>
        <w:rPr>
          <w:b/>
        </w:rPr>
        <w:t>Moment de la prise :</w:t>
      </w:r>
      <w:r>
        <w:t xml:space="preserve"> </w:t>
      </w:r>
      <w:r>
        <w:rPr>
          <w:b/>
        </w:rPr>
        <w:t>Pendant les repas</w:t>
      </w:r>
      <w:r>
        <w:t xml:space="preserve"> (pour la forme orale — réduction des EI digestifs). Répartition en 1 ou 2 prises équiréparties dans la journée (matin, midi). </w:t>
      </w:r>
      <w:r>
        <w:rPr>
          <w:b/>
        </w:rPr>
        <w:t>Éviter la prise au-delà de 16-18 h</w:t>
      </w:r>
      <w:r>
        <w:t xml:space="preserve"> (risque d'insomnie par stimulation cholinergique centrale). Pour la forme injectable : administration indifférente (matin ou midi — éviter le soir pour la même raison).</w:t>
      </w:r>
    </w:p>
    <w:p>
      <w:r/>
      <w:r>
        <w:rPr>
          <w:b/>
        </w:rPr>
        <w:t>Arbitrage et Bénéfices des Formes Galéniques :</w:t>
      </w:r>
      <w:r/>
    </w:p>
    <w:p>
      <w:r>
        <w:t xml:space="preserve">La citicoline en Algérie est commercialisée en </w:t>
      </w:r>
      <w:r>
        <w:rPr>
          <w:b/>
        </w:rPr>
        <w:t>deux formes galéniques principales</w:t>
      </w:r>
      <w:r>
        <w:t xml:space="preserve"> : solution buvable 100 mg/mL et solution injectable IM/IV (125 mg/mL et 250 mg/mL).</w:t>
      </w:r>
    </w:p>
    <w:p>
      <w:pPr>
        <w:pStyle w:val="ListBullet"/>
      </w:pPr>
      <w:r/>
      <w:r>
        <w:rPr>
          <w:b/>
        </w:rPr>
        <w:t>Solution buvable 100 mg/mL</w:t>
      </w:r>
      <w:r>
        <w:t xml:space="preserve"> : forme de référence pour le traitement d'entretien au long cours (observance facile — 1 à 2 prises/jour, dosage précis avec pipette ou seringue doseuse fournie). Pratique pour les patients ambulatoires autonomes, particulièrement adaptée au sujet âgé ayant des difficultés de déglutition (alternative aux comprimés — NON disponible pour la citicoline en Algérie). Inconvénient : stabilité après ouverture limitée (vérifier RCP — généralement 1 mois après ouverture), conservation à température &lt; 25 °C, à l'abri de la lumière. Mesurer avec la pipette graduée ou la seringue doseuse fournie (ne pas utiliser cuillère à café — risque d'imprécision de dosage). Concentration élevée (100 mg/mL) — flacon de 30-60 mL suffisant pour 15-30 jours de traitement.</w:t>
      </w:r>
    </w:p>
    <w:p>
      <w:pPr>
        <w:pStyle w:val="ListBullet"/>
      </w:pPr>
      <w:r/>
      <w:r>
        <w:rPr>
          <w:b/>
        </w:rPr>
        <w:t>Solution injectable IM/IV 125 mg/mL (500 mg/4 mL)</w:t>
      </w:r>
      <w:r>
        <w:t xml:space="preserve"> : forme d'initiation thérapeutique dans les séquelles post-AVC (500 mg IM ou IV lent une fois par jour pendant 15-30 jours, puis relais oral). Voie IM privilégiée (injection profonde intramusculaire — quadrant supéro-externe de la fesse). Voie IV : injection directe lente (3-5 min) ou perfusion dans 100 mL de G5% ou NaCl 0,9% sur 30-60 min.</w:t>
      </w:r>
    </w:p>
    <w:p>
      <w:pPr>
        <w:pStyle w:val="ListBullet"/>
      </w:pPr>
      <w:r/>
      <w:r>
        <w:rPr>
          <w:b/>
        </w:rPr>
        <w:t>Solution injectable IM/IV 250 mg/mL (1000 mg/4 mL)</w:t>
      </w:r>
      <w:r>
        <w:t xml:space="preserve"> : forme plus concentrée pour les doses élevées (1000 mg IM ou IV une fois par jour). Mêmes indications que la forme 125 mg/mL.</w:t>
      </w:r>
    </w:p>
    <w:p>
      <w:pPr>
        <w:pStyle w:val="ListBullet"/>
      </w:pPr>
      <w:r/>
      <w:r>
        <w:rPr>
          <w:b/>
        </w:rPr>
        <w:t>Forme comprimé</w:t>
      </w:r>
      <w:r>
        <w:t xml:space="preserve"> : NON disponible pour la citicoline en Algérie (contrairement à la bétahistine et au Ginkgo biloba). Si le patient a une préférence pour la forme solide ou une intolérance à la forme liquide, orientation vers le médecin prescripteur pour discussion d'alternative thérapeutique.</w:t>
      </w:r>
    </w:p>
    <w:p>
      <w:pPr>
        <w:pStyle w:val="ListBullet"/>
      </w:pPr>
      <w:r/>
      <w:r>
        <w:rPr>
          <w:b/>
        </w:rPr>
        <w:t>Relais IV → oral</w:t>
      </w:r>
      <w:r>
        <w:t xml:space="preserve"> : schéma classique pour les séquelles post-AVC — 15-30 jours de traitement injectable (500-1000 mg/jour IM ou IV) puis relais oral (1000-2000 mg/jour) pendant 3-6 mois.</w:t>
      </w:r>
    </w:p>
    <w:p>
      <w:r/>
      <w:r>
        <w:rPr>
          <w:b/>
        </w:rPr>
        <w:t>Arbitrage entre les marques :</w:t>
      </w:r>
      <w:r/>
    </w:p>
    <w:p>
      <w:pPr>
        <w:pStyle w:val="ListBullet"/>
      </w:pPr>
      <w:r/>
      <w:r>
        <w:rPr>
          <w:b/>
        </w:rPr>
        <w:t>Princeps international</w:t>
      </w:r>
      <w:r>
        <w:t xml:space="preserve"> : SOMAZINA (Ferrer Internacional) — référence internationale (disponible en solution injectable IM/IV 125 et 250 mg/mL + solution buvable 100 mg/mL — garantit la qualité de fabrication Ferrer)</w:t>
      </w:r>
    </w:p>
    <w:p>
      <w:pPr>
        <w:pStyle w:val="ListBullet"/>
      </w:pPr>
      <w:r/>
      <w:r>
        <w:rPr>
          <w:b/>
        </w:rPr>
        <w:t>Génériques algériens</w:t>
      </w:r>
      <w:r>
        <w:t xml:space="preserve"> : CICOLINA (Inpha-Medis), CICONA BGL (Biogalenic), CITICOLINE GL (Generic Lab), CITICOLINE-ISO (Isopharm Algérie), CITICOLINE PHARMAGHREB (Pharmaghreb), SOMACOLINE (El Kendi) — solutions buvables 100 mg/mL, moins coûteuses. Pas d'équivalent générique pour la forme injectable (uniquement SOMAZINA Ferrer).</w:t>
      </w:r>
    </w:p>
    <w:p>
      <w:pPr>
        <w:pStyle w:val="ListBullet"/>
      </w:pPr>
      <w:r/>
      <w:r>
        <w:rPr>
          <w:b/>
        </w:rPr>
        <w:t>Critères de choix</w:t>
      </w:r>
      <w:r>
        <w:t xml:space="preserve"> : préférence pour le princeps SOMAZINA (Ferrer Internacional) en initiation injectable (garantie de qualité de fabrication), puis relais oral par générique algérien (CICOLINA, CICONA BGL, SOMACOLINE El Kendi — coût réduit). Éviter la marque retirée (TRAUSAN Vitoria/FAES — retirée) — orientation vers le médecin prescripteur pour switch thérapeutique. Équivalence stricte en mg de citicoline sodique (100 mg/mL = 100 mg/mL quelle que soit la marque).</w:t>
      </w:r>
    </w:p>
    <w:p>
      <w:r/>
      <w:r>
        <w:rPr>
          <w:b/>
        </w:rPr>
        <w:t>Instructions et Conseils au Patient :</w:t>
      </w:r>
      <w:r/>
    </w:p>
    <w:p>
      <w:pPr>
        <w:pStyle w:val="ListBullet"/>
      </w:pPr>
      <w:r/>
      <w:r>
        <w:rPr>
          <w:b/>
        </w:rPr>
        <w:t>Communication au comptoir :</w:t>
      </w:r>
      <w:r/>
    </w:p>
    <w:p>
      <w:pPr>
        <w:pStyle w:val="ListBullet"/>
      </w:pPr>
      <w:r>
        <w:t xml:space="preserve">Expliquer clairement que la citicoline est un </w:t>
      </w:r>
      <w:r>
        <w:rPr>
          <w:b/>
        </w:rPr>
        <w:t>traitement de fond</w:t>
      </w:r>
      <w:r>
        <w:t xml:space="preserve"> avec </w:t>
      </w:r>
      <w:r>
        <w:rPr>
          <w:b/>
        </w:rPr>
        <w:t>délai d'action différée de 1-3 mois</w:t>
      </w:r>
      <w:r>
        <w:t xml:space="preserve"> (effet neuroprotecteur et métabolique cumulatif — ne pas conclure à l'inefficacité avant ce délai)</w:t>
      </w:r>
    </w:p>
    <w:p>
      <w:pPr>
        <w:pStyle w:val="ListBullet"/>
      </w:pPr>
      <w:r>
        <w:t xml:space="preserve">Insister sur la </w:t>
      </w:r>
      <w:r>
        <w:rPr>
          <w:b/>
        </w:rPr>
        <w:t>régularité de la prise</w:t>
      </w:r>
      <w:r>
        <w:t xml:space="preserve"> (pas deffet immédiat — pas dintérêt à augmenter la dose en cas de troubles cognitifs aigus)</w:t>
      </w:r>
    </w:p>
    <w:p>
      <w:pPr>
        <w:pStyle w:val="ListBullet"/>
      </w:pPr>
      <w:r>
        <w:t xml:space="preserve">Préciser la prise </w:t>
      </w:r>
      <w:r>
        <w:rPr>
          <w:b/>
        </w:rPr>
        <w:t>pendant les repas</w:t>
      </w:r>
      <w:r>
        <w:t xml:space="preserve"> (réduit les EI digestifs) et </w:t>
      </w:r>
      <w:r>
        <w:rPr>
          <w:b/>
        </w:rPr>
        <w:t>éviter la prise au-delà de 16-18 h</w:t>
      </w:r>
      <w:r>
        <w:t xml:space="preserve"> (risque d'insomnie)</w:t>
      </w:r>
    </w:p>
    <w:p>
      <w:pPr>
        <w:pStyle w:val="ListBullet"/>
      </w:pPr>
      <w:r>
        <w:t>Pour la solution buvable : mesurer avec la pipette ou seringue doseuse fournie (ne pas utiliser cuillère à café — risque d'erreur de dosage jusqu'à 30 %)</w:t>
      </w:r>
    </w:p>
    <w:p>
      <w:pPr>
        <w:pStyle w:val="ListBullet"/>
      </w:pPr>
      <w:r>
        <w:t>Pour la forme injectable IM : expliquer le mode d'administration (injection profonde intramusculaire — quadrant supéro-externe de la fesse) — en pratique, à administrer par un infirmier diplômé d'État</w:t>
      </w:r>
    </w:p>
    <w:p>
      <w:pPr>
        <w:pStyle w:val="ListBullet"/>
      </w:pPr>
      <w:r>
        <w:t>Pour la forme injectable IV : administration hospitalière ou par infirmier diplômé (injection lente ou perfusion)</w:t>
      </w:r>
    </w:p>
    <w:p>
      <w:pPr>
        <w:pStyle w:val="ListBullet"/>
      </w:pPr>
      <w:r/>
      <w:r>
        <w:rPr>
          <w:b/>
        </w:rPr>
        <w:t>Information sur les EI</w:t>
      </w:r>
      <w:r>
        <w:t xml:space="preserve"> : prévenir le patient des principaux EI (digestifs, céphalées) et surtout des signes de bradycardie (syncopes, vertiges) — consulter en urgence si survenue</w:t>
      </w:r>
    </w:p>
    <w:p>
      <w:pPr>
        <w:pStyle w:val="ListBullet"/>
      </w:pPr>
      <w:r>
        <w:t xml:space="preserve">Conseiller une </w:t>
      </w:r>
      <w:r>
        <w:rPr>
          <w:b/>
        </w:rPr>
        <w:t>consultation de réévaluation à 3 mois</w:t>
      </w:r>
      <w:r>
        <w:t xml:space="preserve"> (test cognitif, évaluation fonctionnelle post-AVC)</w:t>
      </w:r>
    </w:p>
    <w:p>
      <w:pPr>
        <w:pStyle w:val="ListBullet"/>
      </w:pPr>
      <w:r>
        <w:t>En cas de chirurgie programmée : pas d'arrêt systématique nécessaire (pas d'effet anti-agrégant plaquettaire contrairement au Ginkgo biloba)</w:t>
      </w:r>
    </w:p>
    <w:p>
      <w:pPr>
        <w:pStyle w:val="ListBullet"/>
      </w:pPr>
      <w:r/>
      <w:r>
        <w:rPr>
          <w:b/>
        </w:rPr>
        <w:t>Mode d'utilisation pratique :</w:t>
      </w:r>
      <w:r/>
    </w:p>
    <w:p>
      <w:pPr>
        <w:pStyle w:val="ListBullet"/>
      </w:pPr>
      <w:r>
        <w:t>Prendre la solution buvable avec un grand verre d'eau, pendant ou juste après un repas</w:t>
      </w:r>
    </w:p>
    <w:p>
      <w:pPr>
        <w:pStyle w:val="ListBullet"/>
      </w:pPr>
      <w:r>
        <w:t>Mesurer avec la pipette graduée ou la seringue doseuse fournie (ne pas cuillère à café — erreur de dosage)</w:t>
      </w:r>
    </w:p>
    <w:p>
      <w:pPr>
        <w:pStyle w:val="ListBullet"/>
      </w:pPr>
      <w:r>
        <w:t>Agiter le flacon avant emploi</w:t>
      </w:r>
    </w:p>
    <w:p>
      <w:pPr>
        <w:pStyle w:val="ListBullet"/>
      </w:pPr>
      <w:r>
        <w:t>Répartir les prises à heures fixes (8 h et 14 h pour 2 prises ; 8 h pour 1 prise unique)</w:t>
      </w:r>
    </w:p>
    <w:p>
      <w:pPr>
        <w:pStyle w:val="ListBullet"/>
      </w:pPr>
      <w:r>
        <w:t>En cas d'oubli d'une prise : ne pas doubler la dose suivante (prendre la dose oubliée si &lt; 6 h après l'heure habituelle, sinon sauter la prise et continuer le schéma normal)</w:t>
      </w:r>
    </w:p>
    <w:p>
      <w:pPr>
        <w:pStyle w:val="ListBullet"/>
      </w:pPr>
      <w:r>
        <w:t>Ne pas arrêter brutalement le traitement sans avis médical (risque théorique de rebond — non documenté)</w:t>
      </w:r>
    </w:p>
    <w:p>
      <w:pPr>
        <w:pStyle w:val="ListBullet"/>
      </w:pPr>
      <w:r>
        <w:t>Conservation du flacon après ouverture : 1 mois maximum, à température &lt; 25 °C, à l'abri de la lumière</w:t>
      </w:r>
    </w:p>
    <w:p>
      <w:pPr>
        <w:pStyle w:val="ListBullet"/>
      </w:pPr>
      <w:r>
        <w:t>Pour la forme injectable : respect strict de la voie (IM profonde ou IV — ne jamais administrer en intrathécal ou épidural — risque de neurotoxicité)</w:t>
      </w:r>
    </w:p>
    <w:p>
      <w:r/>
      <w:r>
        <w:rPr>
          <w:b/>
        </w:rPr>
        <w:t>Notes, Règles d'Or &amp; Pièges au Comptoir :</w:t>
      </w:r>
      <w:r/>
    </w:p>
    <w:p>
      <w:pPr>
        <w:pStyle w:val="ListBullet"/>
      </w:pPr>
      <w:r/>
      <w:r>
        <w:rPr>
          <w:b/>
        </w:rPr>
        <w:t>Piège classique n°1 : Conclusion hâtive d'inefficacité à 1 mois</w:t>
      </w:r>
      <w:r>
        <w:t xml:space="preserve"> — erreur d'évaluation thérapeutique (délai d'action réel de 1-3 mois pour l'effet cognitif, 3-6 mois pour les séquelles post-AVC). Ne jamais arrêter la citicoline avant 3 mois de traitement continu à dose efficace (1000-2000 mg/jour).</w:t>
      </w:r>
    </w:p>
    <w:p>
      <w:pPr>
        <w:pStyle w:val="ListBullet"/>
      </w:pPr>
      <w:r/>
      <w:r>
        <w:rPr>
          <w:b/>
        </w:rPr>
        <w:t>Piège classique n°2 : Prise en soirée tardive</w:t>
      </w:r>
      <w:r>
        <w:t xml:space="preserve"> — erreur d'administration (risque d'insomnie par stimulation cholinergique centrale). Dernière prise au plus tard à 16-18 h.</w:t>
      </w:r>
    </w:p>
    <w:p>
      <w:pPr>
        <w:pStyle w:val="ListBullet"/>
      </w:pPr>
      <w:r/>
      <w:r>
        <w:rPr>
          <w:b/>
        </w:rPr>
        <w:t>Piège classique n°3 : Erreur de dosage par cuillère à café</w:t>
      </w:r>
      <w:r>
        <w:t xml:space="preserve"> — erreur d'administration (1 cuillère à café ≈ 5 mL mais en réalité 3-7 mL selon les cuillères — imprécision majeure). Utiliser exclusivement la pipette ou la seringue doseuse fournie.</w:t>
      </w:r>
    </w:p>
    <w:p>
      <w:pPr>
        <w:pStyle w:val="ListBullet"/>
      </w:pPr>
      <w:r/>
      <w:r>
        <w:rPr>
          <w:b/>
        </w:rPr>
        <w:t>Piège classique n°4 : Voie d'administration injectable incorrecte</w:t>
      </w:r>
      <w:r>
        <w:t xml:space="preserve"> — erreur d'administration (la citicoline injectable est STRICTEMENT IM profonde ou IV — ne jamais administrer en intrathécal, épidural, intra-artérielle ou sous-cutanée — risque de neurotoxicité, de nécrose tissulaire).</w:t>
      </w:r>
    </w:p>
    <w:p>
      <w:pPr>
        <w:pStyle w:val="ListBullet"/>
      </w:pPr>
      <w:r/>
      <w:r>
        <w:rPr>
          <w:b/>
        </w:rPr>
        <w:t>Piège classique n°5 : Association avec lévodopa sans adaptation</w:t>
      </w:r>
      <w:r>
        <w:t xml:space="preserve"> — erreur pharmacologique (potentialisation dopaminergique — risque de dyskinésies, hallucinations, hypotension orthostatique). Réduction posologique de la lévodopa à l'initiation de la citicoline (à discuter avec le neurologue — Chapitre 87).</w:t>
      </w:r>
    </w:p>
    <w:p>
      <w:pPr>
        <w:pStyle w:val="ListBullet"/>
      </w:pPr>
      <w:r/>
      <w:r>
        <w:rPr>
          <w:b/>
        </w:rPr>
        <w:t>Piège classique n°6 : Association avec anticholinestérasiques sans surveillance</w:t>
      </w:r>
      <w:r>
        <w:t xml:space="preserve"> — erreur pharmacologique (potentialisation cholinergique — risque de surcharge cholinergique : nausées, vomissements, diarrhée, bradycardie, bronchoconstriction). Surveillance clinique renforcée à l'initiation.</w:t>
      </w:r>
    </w:p>
    <w:p>
      <w:pPr>
        <w:pStyle w:val="ListBullet"/>
      </w:pPr>
      <w:r/>
      <w:r>
        <w:rPr>
          <w:b/>
        </w:rPr>
        <w:t>Piège classique n°7 : Initiation injectable prolongée &gt; 30 jours</w:t>
      </w:r>
      <w:r>
        <w:t xml:space="preserve"> — erreur thérapeutique (la forme injectable n'est indiquée qu'en initiation, pour 15-30 jours maximum, puis relais oral systématique — au-delà, surcoût inutile, risque accru d'EI locaux à l'injection).</w:t>
      </w:r>
    </w:p>
    <w:p>
      <w:pPr>
        <w:pStyle w:val="ListBullet"/>
      </w:pPr>
      <w:r/>
      <w:r>
        <w:rPr>
          <w:b/>
        </w:rPr>
        <w:t>Règle de prise :</w:t>
      </w:r>
      <w:r>
        <w:t xml:space="preserve"> Pendant les repas, 1 à 2 prises par jour à heures fixes (matin, midi), dernière prise au plus tard à 16-18 h, ne pas doubler en cas d'oubli, utiliser exclusivement la pipette ou seringue doseuse fournie.</w:t>
      </w:r>
    </w:p>
    <w:p>
      <w:pPr>
        <w:pStyle w:val="ListBullet"/>
      </w:pPr>
      <w:r/>
      <w:r>
        <w:rPr>
          <w:b/>
        </w:rPr>
        <w:t>Préparation et Conservation :</w:t>
      </w:r>
      <w:r/>
    </w:p>
    <w:p>
      <w:pPr>
        <w:pStyle w:val="ListBullet"/>
      </w:pPr>
      <w:r>
        <w:t>Solution buvable : à conserver à température &lt; 25 °C, à l'abri de la lumière. Après ouverture : stabilité 1 mois (vérifier RCP). Ne pas congeler. Agiter avant emploi.</w:t>
      </w:r>
    </w:p>
    <w:p>
      <w:pPr>
        <w:pStyle w:val="ListBullet"/>
      </w:pPr>
      <w:r>
        <w:t>Solution injectable : à conserver à température &lt; 25 °C, à l'abri de la lumière. Ne pas congeler. Vérifier l'absence de particules avant emploi (limpidité de la solution). Ne pas utiliser si la solution est trouble ou colorée.</w:t>
      </w:r>
    </w:p>
    <w:p>
      <w:pPr>
        <w:pStyle w:val="ListBullet"/>
      </w:pPr>
      <w:r/>
      <w:r>
        <w:rPr>
          <w:b/>
        </w:rPr>
        <w:t>Piège du surdosage / Substitution :</w:t>
      </w:r>
      <w:r/>
    </w:p>
    <w:p>
      <w:pPr>
        <w:pStyle w:val="ListBullet"/>
      </w:pPr>
      <w:r/>
      <w:r>
        <w:rPr>
          <w:b/>
        </w:rPr>
        <w:t>Surdosage volontaire ou accidentel</w:t>
      </w:r>
      <w:r>
        <w:t xml:space="preserve"> (&gt; 5000 mg en prise unique) : risque de céphalées intenses, agitation, confusion, hypertension transitoire. Conduite : traitement symptomatique, surveillance hospitalière 24 h.</w:t>
      </w:r>
    </w:p>
    <w:p>
      <w:pPr>
        <w:pStyle w:val="ListBullet"/>
      </w:pPr>
      <w:r/>
      <w:r>
        <w:rPr>
          <w:b/>
        </w:rPr>
        <w:t>Substitution princeps → générique</w:t>
      </w:r>
      <w:r>
        <w:t xml:space="preserve"> : pas de problème particulier (équivalence en mg de citicoline sodique). Surveillance clinique 2-4 semaines pour vérifier le maintien de l'efficacité et de la tolérance.</w:t>
      </w:r>
    </w:p>
    <w:p>
      <w:pPr>
        <w:pStyle w:val="ListBullet"/>
      </w:pPr>
      <w:r/>
      <w:r>
        <w:rPr>
          <w:b/>
        </w:rPr>
        <w:t>Substitution marque retirée → marque active</w:t>
      </w:r>
      <w:r>
        <w:t xml:space="preserve"> : en cas de prescription de TRAUSAN (retirée), orienter le patient vers le médecin prescripteur pour substitution par SOMAZINA (Ferrer), CICOLINA (Inpha-Medis), CICONA BGL (Biogalenic), CITICOLINE GL (Generic Lab), CITICOLINE-ISO (Isopharm), CITICOLINE PHARMAGHREB (Pharmaghreb) ou SOMACOLINE (El Kendi). Équivalence stricte en mg de citicoline sodique (100 mg/mL = 100 mg/mL quelle que soit la marque).</w:t>
      </w:r>
    </w:p>
    <w:p>
      <w:pPr>
        <w:pStyle w:val="ListBullet"/>
      </w:pPr>
      <w:r/>
      <w:r>
        <w:rPr>
          <w:b/>
        </w:rPr>
        <w:t>Confusion forme orale / forme injectable</w:t>
      </w:r>
      <w:r>
        <w:t xml:space="preserve"> : risque d'erreur d'administration (la solution buvable NE DOIT JAMAIS être injectée — risque de réaction anaphylactique, de choc, de nécrose tissulaire). Vérifier systématiquement le mode d'administration à la dispensation. Étiquetage différentiel strict au comptoir.</w:t>
      </w:r>
    </w:p>
    <w:p>
      <w:pPr>
        <w:pStyle w:val="ListBullet"/>
      </w:pPr>
      <w:r/>
      <w:r>
        <w:rPr>
          <w:b/>
        </w:rPr>
        <w:t>Confusion solution buvable 100 mg/mL vs solution injectable 125 mg/mL ou 250 mg/mL</w:t>
      </w:r>
      <w:r>
        <w:t xml:space="preserve"> : risque d'erreur de dosage (mais concentration proche — limitation du risque). Toujours vérifier l'inscription "solution buvable" vs "solution injectable IM/IV" sur l'étiquetage.</w:t>
      </w:r>
    </w:p>
    <w:p>
      <w:pPr>
        <w:pStyle w:val="ListBullet"/>
      </w:pPr>
      <w:r/>
      <w:r>
        <w:rPr>
          <w:b/>
        </w:rPr>
        <w:t>Démence avancée (MMSE &lt; 10)</w:t>
      </w:r>
      <w:r>
        <w:t xml:space="preserve"> : la citicoline n'a pas d'efficacité démontrée dans les démences sévères — ne pas initier un traitement dans les stades avancés (orientation vers les inhibiteurs de la cholinestérase — donépézil, Chapitre 86 — ou la mémantine).</w:t>
      </w:r>
    </w:p>
    <w:p>
      <w:pPr>
        <w:pStyle w:val="Heading2"/>
      </w:pPr>
      <w:r>
        <w:t>Tableau Comparatif Synthétique des 3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 principal</w:t>
            </w:r>
          </w:p>
        </w:tc>
        <w:tc>
          <w:tcPr>
            <w:tcW w:type="dxa" w:w="1336"/>
          </w:tcPr>
          <w:p>
            <w:r>
              <w:rPr>
                <w:b/>
                <w:sz w:val="20"/>
              </w:rPr>
              <w:t>Posologie standard adulte</w:t>
            </w:r>
          </w:p>
        </w:tc>
        <w:tc>
          <w:tcPr>
            <w:tcW w:type="dxa" w:w="1336"/>
          </w:tcPr>
          <w:p>
            <w:r>
              <w:rPr>
                <w:b/>
                <w:sz w:val="20"/>
              </w:rPr>
              <w:t>EI majeur</w:t>
            </w:r>
          </w:p>
        </w:tc>
        <w:tc>
          <w:tcPr>
            <w:tcW w:type="dxa" w:w="1336"/>
          </w:tcPr>
          <w:p>
            <w:r>
              <w:rPr>
                <w:b/>
                <w:sz w:val="20"/>
              </w:rPr>
              <w:t>CI majeure</w:t>
            </w:r>
          </w:p>
        </w:tc>
        <w:tc>
          <w:tcPr>
            <w:tcW w:type="dxa" w:w="1336"/>
          </w:tcPr>
          <w:p>
            <w:r>
              <w:rPr>
                <w:b/>
                <w:sz w:val="20"/>
              </w:rPr>
              <w:t>Grossesse (CRAT)</w:t>
            </w:r>
          </w:p>
        </w:tc>
      </w:tr>
      <w:tr>
        <w:tc>
          <w:tcPr>
            <w:tcW w:type="dxa" w:w="1336"/>
          </w:tcPr>
          <w:p>
            <w:r>
              <w:rPr>
                <w:sz w:val="20"/>
              </w:rPr>
              <w:t>**Bétahistine**</w:t>
            </w:r>
          </w:p>
        </w:tc>
        <w:tc>
          <w:tcPr>
            <w:tcW w:type="dxa" w:w="1336"/>
          </w:tcPr>
          <w:p>
            <w:r>
              <w:rPr>
                <w:sz w:val="20"/>
              </w:rPr>
              <w:t>Antivertigineux histaminergique</w:t>
            </w:r>
          </w:p>
        </w:tc>
        <w:tc>
          <w:tcPr>
            <w:tcW w:type="dxa" w:w="1336"/>
          </w:tcPr>
          <w:p>
            <w:r>
              <w:rPr>
                <w:sz w:val="20"/>
              </w:rPr>
              <w:t>Agoniste partiel H1 + antagoniste H3 → vasodilatation cochléaire/vestibulaire + compensation vestibulaire centrale</w:t>
            </w:r>
          </w:p>
        </w:tc>
        <w:tc>
          <w:tcPr>
            <w:tcW w:type="dxa" w:w="1336"/>
          </w:tcPr>
          <w:p>
            <w:r>
              <w:rPr>
                <w:sz w:val="20"/>
              </w:rPr>
              <w:t>8-16 mg × 3/jour ou 24 mg × 2/jour (48 mg/jour) — pendant les repas</w:t>
            </w:r>
          </w:p>
        </w:tc>
        <w:tc>
          <w:tcPr>
            <w:tcW w:type="dxa" w:w="1336"/>
          </w:tcPr>
          <w:p>
            <w:r>
              <w:rPr>
                <w:sz w:val="20"/>
              </w:rPr>
              <w:t>Digestifs (nausées, dyspepsie) 10-20 % ; céphalées 1-3 %</w:t>
            </w:r>
          </w:p>
        </w:tc>
        <w:tc>
          <w:tcPr>
            <w:tcW w:type="dxa" w:w="1336"/>
          </w:tcPr>
          <w:p>
            <w:r>
              <w:rPr>
                <w:sz w:val="20"/>
              </w:rPr>
              <w:t>Phéochromocytome (CI absolue) ; ulcère peptique évolutif ; asthme sévère</w:t>
            </w:r>
          </w:p>
        </w:tc>
        <w:tc>
          <w:tcPr>
            <w:tcW w:type="dxa" w:w="1336"/>
          </w:tcPr>
          <w:p>
            <w:r>
              <w:rPr>
                <w:sz w:val="20"/>
              </w:rPr>
              <w:t>À éviter (défaut de données) — pas de tératogénicité documentée</w:t>
            </w:r>
          </w:p>
        </w:tc>
      </w:tr>
      <w:tr>
        <w:tc>
          <w:tcPr>
            <w:tcW w:type="dxa" w:w="1336"/>
          </w:tcPr>
          <w:p>
            <w:r>
              <w:rPr>
                <w:sz w:val="20"/>
              </w:rPr>
              <w:t>**Extrait de Ginkgo biloba**</w:t>
            </w:r>
          </w:p>
        </w:tc>
        <w:tc>
          <w:tcPr>
            <w:tcW w:type="dxa" w:w="1336"/>
          </w:tcPr>
          <w:p>
            <w:r>
              <w:rPr>
                <w:sz w:val="20"/>
              </w:rPr>
              <w:t>Vasodilatateur cérébral phytothérapie</w:t>
            </w:r>
          </w:p>
        </w:tc>
        <w:tc>
          <w:tcPr>
            <w:tcW w:type="dxa" w:w="1336"/>
          </w:tcPr>
          <w:p>
            <w:r>
              <w:rPr>
                <w:sz w:val="20"/>
              </w:rPr>
              <w:t>Inhibition du PAF (ginkgolide B) + anti-oxydant (hétérosides) + vasodilatation endothélium-dépendante + neuroprotecteur (bilobalide)</w:t>
            </w:r>
          </w:p>
        </w:tc>
        <w:tc>
          <w:tcPr>
            <w:tcW w:type="dxa" w:w="1336"/>
          </w:tcPr>
          <w:p>
            <w:r>
              <w:rPr>
                <w:sz w:val="20"/>
              </w:rPr>
              <w:t>40 mg × 3/jour ou 80 mg × 2/jour (120-240 mg/jour d'extrait EGb 761®) — pendant les repas</w:t>
            </w:r>
          </w:p>
        </w:tc>
        <w:tc>
          <w:tcPr>
            <w:tcW w:type="dxa" w:w="1336"/>
          </w:tcPr>
          <w:p>
            <w:r>
              <w:rPr>
                <w:sz w:val="20"/>
              </w:rPr>
              <w:t>Saignements (rare mais grave — epistaxis, hématomes, hémorragie digestive) ; digestifs 1-5 %</w:t>
            </w:r>
          </w:p>
        </w:tc>
        <w:tc>
          <w:tcPr>
            <w:tcW w:type="dxa" w:w="1336"/>
          </w:tcPr>
          <w:p>
            <w:r>
              <w:rPr>
                <w:sz w:val="20"/>
              </w:rPr>
              <w:t>Troubles de la coagulation ; anticoagulants (AVK, AOD) ; antiagrégants plaquettaires ; chirurgie programmée (arrêt 14 jours)</w:t>
            </w:r>
          </w:p>
        </w:tc>
        <w:tc>
          <w:tcPr>
            <w:tcW w:type="dxa" w:w="1336"/>
          </w:tcPr>
          <w:p>
            <w:r>
              <w:rPr>
                <w:sz w:val="20"/>
              </w:rPr>
              <w:t>À éviter (défaut de données + risque hémorragique théorique)</w:t>
            </w:r>
          </w:p>
        </w:tc>
      </w:tr>
      <w:tr>
        <w:tc>
          <w:tcPr>
            <w:tcW w:type="dxa" w:w="1336"/>
          </w:tcPr>
          <w:p>
            <w:r>
              <w:rPr>
                <w:sz w:val="20"/>
              </w:rPr>
              <w:t>**Citicoline (usage neurologique)**</w:t>
            </w:r>
          </w:p>
        </w:tc>
        <w:tc>
          <w:tcPr>
            <w:tcW w:type="dxa" w:w="1336"/>
          </w:tcPr>
          <w:p>
            <w:r>
              <w:rPr>
                <w:sz w:val="20"/>
              </w:rPr>
              <w:t>Vasodilatateur cérébral précurseur membranaire</w:t>
            </w:r>
          </w:p>
        </w:tc>
        <w:tc>
          <w:tcPr>
            <w:tcW w:type="dxa" w:w="1336"/>
          </w:tcPr>
          <w:p>
            <w:r>
              <w:rPr>
                <w:sz w:val="20"/>
              </w:rPr>
              <w:t>Précurseur de la phosphatidylcholine (réparation membranaire) + précurseur de l'acétylcholine (effet pro-cognitif) + stabilisation mitochondriale (anti-apoptotique) + activation dopamine</w:t>
            </w:r>
          </w:p>
        </w:tc>
        <w:tc>
          <w:tcPr>
            <w:tcW w:type="dxa" w:w="1336"/>
          </w:tcPr>
          <w:p>
            <w:r>
              <w:rPr>
                <w:sz w:val="20"/>
              </w:rPr>
              <w:t>Oral : 1000-2000 mg/jour (10-20 mL de solution buvable 100 mg/mL) en 1-2 prises matin + midi ; IM/IV : 500-1000 mg/jour × 15-30 jours puis relais oral</w:t>
            </w:r>
          </w:p>
        </w:tc>
        <w:tc>
          <w:tcPr>
            <w:tcW w:type="dxa" w:w="1336"/>
          </w:tcPr>
          <w:p>
            <w:r>
              <w:rPr>
                <w:sz w:val="20"/>
              </w:rPr>
              <w:t>Profil excellent : digestifs 1-3 % ; céphalées 1-2 % ; insomnie (si prise en soirée)</w:t>
            </w:r>
          </w:p>
        </w:tc>
        <w:tc>
          <w:tcPr>
            <w:tcW w:type="dxa" w:w="1336"/>
          </w:tcPr>
          <w:p>
            <w:r>
              <w:rPr>
                <w:sz w:val="20"/>
              </w:rPr>
              <w:t>Hypersensibilité ; hypertonie vagale ; prudence avec lévodopa et anticholinestérasiques</w:t>
            </w:r>
          </w:p>
        </w:tc>
        <w:tc>
          <w:tcPr>
            <w:tcW w:type="dxa" w:w="1336"/>
          </w:tcPr>
          <w:p>
            <w:r>
              <w:rPr>
                <w:sz w:val="20"/>
              </w:rPr>
              <w:t>Compatible si nécessaire (métabolite endogène — données rassurantes) ; compatible allaitement</w:t>
            </w:r>
          </w:p>
        </w:tc>
      </w:tr>
    </w:tbl>
    <w:p/>
    <w:p>
      <w:pPr>
        <w:pStyle w:val="Heading3"/>
      </w:pPr>
      <w:r>
        <w:t>Tableau Comparatif des Formes Galéniques Disponibles en Algérie</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Forme orale solide (comprimé/gélule)</w:t>
            </w:r>
          </w:p>
        </w:tc>
        <w:tc>
          <w:tcPr>
            <w:tcW w:type="dxa" w:w="1871"/>
          </w:tcPr>
          <w:p>
            <w:r>
              <w:rPr>
                <w:b/>
                <w:sz w:val="20"/>
              </w:rPr>
              <w:t>Forme orale liquide (solution buvable)</w:t>
            </w:r>
          </w:p>
        </w:tc>
        <w:tc>
          <w:tcPr>
            <w:tcW w:type="dxa" w:w="1871"/>
          </w:tcPr>
          <w:p>
            <w:r>
              <w:rPr>
                <w:b/>
                <w:sz w:val="20"/>
              </w:rPr>
              <w:t>Forme injectable (IM/IV)</w:t>
            </w:r>
          </w:p>
        </w:tc>
        <w:tc>
          <w:tcPr>
            <w:tcW w:type="dxa" w:w="1871"/>
          </w:tcPr>
          <w:p>
            <w:r>
              <w:rPr>
                <w:b/>
                <w:sz w:val="20"/>
              </w:rPr>
              <w:t>Dosages disponibles</w:t>
            </w:r>
          </w:p>
        </w:tc>
      </w:tr>
      <w:tr>
        <w:tc>
          <w:tcPr>
            <w:tcW w:type="dxa" w:w="1871"/>
          </w:tcPr>
          <w:p>
            <w:r>
              <w:rPr>
                <w:sz w:val="20"/>
              </w:rPr>
              <w:t>**Bétahistine**</w:t>
            </w:r>
          </w:p>
        </w:tc>
        <w:tc>
          <w:tcPr>
            <w:tcW w:type="dxa" w:w="1871"/>
          </w:tcPr>
          <w:p>
            <w:r>
              <w:rPr>
                <w:sz w:val="20"/>
              </w:rPr>
              <w:t>Comprimé 8 mg, 16 mg sécable, 24 mg</w:t>
            </w:r>
          </w:p>
        </w:tc>
        <w:tc>
          <w:tcPr>
            <w:tcW w:type="dxa" w:w="1871"/>
          </w:tcPr>
          <w:p>
            <w:r>
              <w:rPr>
                <w:sz w:val="20"/>
              </w:rPr>
              <w:t>NON disponible</w:t>
            </w:r>
          </w:p>
        </w:tc>
        <w:tc>
          <w:tcPr>
            <w:tcW w:type="dxa" w:w="1871"/>
          </w:tcPr>
          <w:p>
            <w:r>
              <w:rPr>
                <w:sz w:val="20"/>
              </w:rPr>
              <w:t>NON disponible</w:t>
            </w:r>
          </w:p>
        </w:tc>
        <w:tc>
          <w:tcPr>
            <w:tcW w:type="dxa" w:w="1871"/>
          </w:tcPr>
          <w:p>
            <w:r>
              <w:rPr>
                <w:sz w:val="20"/>
              </w:rPr>
              <w:t>8 / 16 / 24 mg</w:t>
            </w:r>
          </w:p>
        </w:tc>
      </w:tr>
      <w:tr>
        <w:tc>
          <w:tcPr>
            <w:tcW w:type="dxa" w:w="1871"/>
          </w:tcPr>
          <w:p>
            <w:r>
              <w:rPr>
                <w:sz w:val="20"/>
              </w:rPr>
              <w:t>**Extrait de Ginkgo biloba**</w:t>
            </w:r>
          </w:p>
        </w:tc>
        <w:tc>
          <w:tcPr>
            <w:tcW w:type="dxa" w:w="1871"/>
          </w:tcPr>
          <w:p>
            <w:r>
              <w:rPr>
                <w:sz w:val="20"/>
              </w:rPr>
              <w:t>Comprimé pelliculé 40 mg ; Gélule (association GINKOR FORT)</w:t>
            </w:r>
          </w:p>
        </w:tc>
        <w:tc>
          <w:tcPr>
            <w:tcW w:type="dxa" w:w="1871"/>
          </w:tcPr>
          <w:p>
            <w:r>
              <w:rPr>
                <w:sz w:val="20"/>
              </w:rPr>
              <w:t>Solution buvable 40 mg/mL</w:t>
            </w:r>
          </w:p>
        </w:tc>
        <w:tc>
          <w:tcPr>
            <w:tcW w:type="dxa" w:w="1871"/>
          </w:tcPr>
          <w:p>
            <w:r>
              <w:rPr>
                <w:sz w:val="20"/>
              </w:rPr>
              <w:t>NON disponible</w:t>
            </w:r>
          </w:p>
        </w:tc>
        <w:tc>
          <w:tcPr>
            <w:tcW w:type="dxa" w:w="1871"/>
          </w:tcPr>
          <w:p>
            <w:r>
              <w:rPr>
                <w:sz w:val="20"/>
              </w:rPr>
              <w:t>40 mg (comprimé) ; 14 mg/gélule (association)</w:t>
            </w:r>
          </w:p>
        </w:tc>
      </w:tr>
      <w:tr>
        <w:tc>
          <w:tcPr>
            <w:tcW w:type="dxa" w:w="1871"/>
          </w:tcPr>
          <w:p>
            <w:r>
              <w:rPr>
                <w:sz w:val="20"/>
              </w:rPr>
              <w:t>**Citicoline**</w:t>
            </w:r>
          </w:p>
        </w:tc>
        <w:tc>
          <w:tcPr>
            <w:tcW w:type="dxa" w:w="1871"/>
          </w:tcPr>
          <w:p>
            <w:r>
              <w:rPr>
                <w:sz w:val="20"/>
              </w:rPr>
              <w:t>NON disponible</w:t>
            </w:r>
          </w:p>
        </w:tc>
        <w:tc>
          <w:tcPr>
            <w:tcW w:type="dxa" w:w="1871"/>
          </w:tcPr>
          <w:p>
            <w:r>
              <w:rPr>
                <w:sz w:val="20"/>
              </w:rPr>
              <w:t>Solution buvable 100 mg/mL</w:t>
            </w:r>
          </w:p>
        </w:tc>
        <w:tc>
          <w:tcPr>
            <w:tcW w:type="dxa" w:w="1871"/>
          </w:tcPr>
          <w:p>
            <w:r>
              <w:rPr>
                <w:sz w:val="20"/>
              </w:rPr>
              <w:t>Solution injectable IM/IV 125 mg/mL (500 mg/4 mL) et 250 mg/mL (1000 mg/4 mL)</w:t>
            </w:r>
          </w:p>
        </w:tc>
        <w:tc>
          <w:tcPr>
            <w:tcW w:type="dxa" w:w="1871"/>
          </w:tcPr>
          <w:p>
            <w:r>
              <w:rPr>
                <w:sz w:val="20"/>
              </w:rPr>
              <w:t>100 mg/mL (oral) ; 125 mg/mL et 250 mg/mL (injectable)</w:t>
            </w:r>
          </w:p>
        </w:tc>
      </w:tr>
    </w:tbl>
    <w:p/>
    <w:p>
      <w:pPr>
        <w:pStyle w:val="Heading3"/>
      </w:pPr>
      <w:r>
        <w:t>Tableau Comparatif du Statut Commercial en Algérie (Avril 2026)</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Marques Actives</w:t>
            </w:r>
          </w:p>
        </w:tc>
        <w:tc>
          <w:tcPr>
            <w:tcW w:type="dxa" w:w="1871"/>
          </w:tcPr>
          <w:p>
            <w:r>
              <w:rPr>
                <w:b/>
                <w:sz w:val="20"/>
              </w:rPr>
              <w:t>Marques Non Renouvelables</w:t>
            </w:r>
          </w:p>
        </w:tc>
        <w:tc>
          <w:tcPr>
            <w:tcW w:type="dxa" w:w="1871"/>
          </w:tcPr>
          <w:p>
            <w:r>
              <w:rPr>
                <w:b/>
                <w:sz w:val="20"/>
              </w:rPr>
              <w:t>Marques Retirées (R)</w:t>
            </w:r>
          </w:p>
        </w:tc>
        <w:tc>
          <w:tcPr>
            <w:tcW w:type="dxa" w:w="1871"/>
          </w:tcPr>
          <w:p>
            <w:r>
              <w:rPr>
                <w:b/>
                <w:sz w:val="20"/>
              </w:rPr>
              <w:t>Total spécialités</w:t>
            </w:r>
          </w:p>
        </w:tc>
      </w:tr>
      <w:tr>
        <w:tc>
          <w:tcPr>
            <w:tcW w:type="dxa" w:w="1871"/>
          </w:tcPr>
          <w:p>
            <w:r>
              <w:rPr>
                <w:sz w:val="20"/>
              </w:rPr>
              <w:t>**Bétahistine**</w:t>
            </w:r>
          </w:p>
        </w:tc>
        <w:tc>
          <w:tcPr>
            <w:tcW w:type="dxa" w:w="1871"/>
          </w:tcPr>
          <w:p>
            <w:r>
              <w:rPr>
                <w:sz w:val="20"/>
              </w:rPr>
              <w:t>11 (ANATAX, MEVERC, SERC, BETASTINE FORT, BETAHIST, BETASERC, EQUIBREX, VEREX, VERSEC, VERTIGO, LECTIL)</w:t>
            </w:r>
          </w:p>
        </w:tc>
        <w:tc>
          <w:tcPr>
            <w:tcW w:type="dxa" w:w="1871"/>
          </w:tcPr>
          <w:p>
            <w:r>
              <w:rPr>
                <w:sz w:val="20"/>
              </w:rPr>
              <w:t>2 (ALFINOR, SERC Solvay)</w:t>
            </w:r>
          </w:p>
        </w:tc>
        <w:tc>
          <w:tcPr>
            <w:tcW w:type="dxa" w:w="1871"/>
          </w:tcPr>
          <w:p>
            <w:r>
              <w:rPr>
                <w:sz w:val="20"/>
              </w:rPr>
              <w:t>4 (BETAHISTINE G GAM, MICROSERC, VERTILOX, BETAHISTINE BIOGARAN)</w:t>
            </w:r>
          </w:p>
        </w:tc>
        <w:tc>
          <w:tcPr>
            <w:tcW w:type="dxa" w:w="1871"/>
          </w:tcPr>
          <w:p>
            <w:r>
              <w:rPr>
                <w:sz w:val="20"/>
              </w:rPr>
              <w:t>16</w:t>
            </w:r>
          </w:p>
        </w:tc>
      </w:tr>
      <w:tr>
        <w:tc>
          <w:tcPr>
            <w:tcW w:type="dxa" w:w="1871"/>
          </w:tcPr>
          <w:p>
            <w:r>
              <w:rPr>
                <w:sz w:val="20"/>
              </w:rPr>
              <w:t>**Extrait de Ginkgo biloba**</w:t>
            </w:r>
          </w:p>
        </w:tc>
        <w:tc>
          <w:tcPr>
            <w:tcW w:type="dxa" w:w="1871"/>
          </w:tcPr>
          <w:p>
            <w:r>
              <w:rPr>
                <w:sz w:val="20"/>
              </w:rPr>
              <w:t>4 (TANAKAN solution + comprimé, GINKOR FORT, GINKOBA, ISOTANAK)</w:t>
            </w:r>
          </w:p>
        </w:tc>
        <w:tc>
          <w:tcPr>
            <w:tcW w:type="dxa" w:w="1871"/>
          </w:tcPr>
          <w:p>
            <w:r>
              <w:rPr>
                <w:sz w:val="20"/>
              </w:rPr>
              <w:t>0</w:t>
            </w:r>
          </w:p>
        </w:tc>
        <w:tc>
          <w:tcPr>
            <w:tcW w:type="dxa" w:w="1871"/>
          </w:tcPr>
          <w:p>
            <w:r>
              <w:rPr>
                <w:sz w:val="20"/>
              </w:rPr>
              <w:t>2 (GINGERAL, TEBOKAN FORT)</w:t>
            </w:r>
          </w:p>
        </w:tc>
        <w:tc>
          <w:tcPr>
            <w:tcW w:type="dxa" w:w="1871"/>
          </w:tcPr>
          <w:p>
            <w:r>
              <w:rPr>
                <w:sz w:val="20"/>
              </w:rPr>
              <w:t>6</w:t>
            </w:r>
          </w:p>
        </w:tc>
      </w:tr>
      <w:tr>
        <w:tc>
          <w:tcPr>
            <w:tcW w:type="dxa" w:w="1871"/>
          </w:tcPr>
          <w:p>
            <w:r>
              <w:rPr>
                <w:sz w:val="20"/>
              </w:rPr>
              <w:t>**Citicoline**</w:t>
            </w:r>
          </w:p>
        </w:tc>
        <w:tc>
          <w:tcPr>
            <w:tcW w:type="dxa" w:w="1871"/>
          </w:tcPr>
          <w:p>
            <w:r>
              <w:rPr>
                <w:sz w:val="20"/>
              </w:rPr>
              <w:t>7 (SOMAZINA 125 + 250 + buvable, CICOLINA, CICONA BGL, CITICOLINE GL, CITICOLINE-ISO, CITICOLINE PHARMAGHREB, SOMACOLINE)</w:t>
            </w:r>
          </w:p>
        </w:tc>
        <w:tc>
          <w:tcPr>
            <w:tcW w:type="dxa" w:w="1871"/>
          </w:tcPr>
          <w:p>
            <w:r>
              <w:rPr>
                <w:sz w:val="20"/>
              </w:rPr>
              <w:t>0</w:t>
            </w:r>
          </w:p>
        </w:tc>
        <w:tc>
          <w:tcPr>
            <w:tcW w:type="dxa" w:w="1871"/>
          </w:tcPr>
          <w:p>
            <w:r>
              <w:rPr>
                <w:sz w:val="20"/>
              </w:rPr>
              <w:t>1 (TRAUSAN)</w:t>
            </w:r>
          </w:p>
        </w:tc>
        <w:tc>
          <w:tcPr>
            <w:tcW w:type="dxa" w:w="1871"/>
          </w:tcPr>
          <w:p>
            <w:r>
              <w:rPr>
                <w:sz w:val="20"/>
              </w:rPr>
              <w:t>8</w:t>
            </w:r>
          </w:p>
        </w:tc>
      </w:tr>
      <w:tr>
        <w:tc>
          <w:tcPr>
            <w:tcW w:type="dxa" w:w="1871"/>
          </w:tcPr>
          <w:p>
            <w:r>
              <w:rPr>
                <w:sz w:val="20"/>
              </w:rPr>
              <w:t>**TOTAL CHAPITRE**</w:t>
            </w:r>
          </w:p>
        </w:tc>
        <w:tc>
          <w:tcPr>
            <w:tcW w:type="dxa" w:w="1871"/>
          </w:tcPr>
          <w:p>
            <w:r>
              <w:rPr>
                <w:sz w:val="20"/>
              </w:rPr>
              <w:t>**22**</w:t>
            </w:r>
          </w:p>
        </w:tc>
        <w:tc>
          <w:tcPr>
            <w:tcW w:type="dxa" w:w="1871"/>
          </w:tcPr>
          <w:p>
            <w:r>
              <w:rPr>
                <w:sz w:val="20"/>
              </w:rPr>
              <w:t>**2**</w:t>
            </w:r>
          </w:p>
        </w:tc>
        <w:tc>
          <w:tcPr>
            <w:tcW w:type="dxa" w:w="1871"/>
          </w:tcPr>
          <w:p>
            <w:r>
              <w:rPr>
                <w:sz w:val="20"/>
              </w:rPr>
              <w:t>**7**</w:t>
            </w:r>
          </w:p>
        </w:tc>
        <w:tc>
          <w:tcPr>
            <w:tcW w:type="dxa" w:w="1871"/>
          </w:tcPr>
          <w:p>
            <w:r>
              <w:rPr>
                <w:sz w:val="20"/>
              </w:rPr>
              <w:t>**30**</w:t>
            </w:r>
          </w:p>
        </w:tc>
      </w:tr>
    </w:tbl>
    <w:p/>
    <w:p>
      <w:pPr>
        <w:pStyle w:val="Heading2"/>
      </w:pPr>
      <w:r>
        <w:t>Conclusion Générale du Chapitre 95</w:t>
      </w:r>
    </w:p>
    <w:p>
      <w:r>
        <w:t xml:space="preserve">Le présent chapitre a couvert l'ensemble des </w:t>
      </w:r>
      <w:r>
        <w:rPr>
          <w:b/>
        </w:rPr>
        <w:t>3 DCI</w:t>
      </w:r>
      <w:r>
        <w:t xml:space="preserve"> structurées en </w:t>
      </w:r>
      <w:r>
        <w:rPr>
          <w:b/>
        </w:rPr>
        <w:t>3 sous-classes</w:t>
      </w:r>
      <w:r>
        <w:t xml:space="preserve"> de la classe pharmaco-thérapeutique des antivertigineux et vasodilatateurs cérébraux. Cette classe se singularise par la diversité de ses mécanismes d'action (histaminergique pour la bétahistine, phytothérapie anti-PAF et anti-oxydante pour le Ginkgo biloba, précurseur membranaire pour la citicoline), par la variété de ses indications (vertiges vestibulaires, troubles cognitifs chroniques, AOMI, séquelles post-AVC), et par le niveau de preuve scientifique </w:t>
      </w:r>
      <w:r>
        <w:rPr>
          <w:b/>
        </w:rPr>
        <w:t>modeste</w:t>
      </w:r>
      <w:r>
        <w:t xml:space="preserve"> qui sous-tend son utilisation en pratique clinique courante.</w:t>
      </w:r>
    </w:p>
    <w:p>
      <w:r/>
      <w:r>
        <w:rPr>
          <w:b/>
        </w:rPr>
        <w:t>Synthèse pharmacologique par sous-classe :</w:t>
      </w:r>
      <w:r/>
    </w:p>
    <w:p>
      <w:pPr>
        <w:pStyle w:val="ListNumber"/>
      </w:pPr>
      <w:r/>
      <w:r>
        <w:rPr>
          <w:b/>
        </w:rPr>
        <w:t>Antivertigineux histaminergiques (Bétahistine)</w:t>
      </w:r>
      <w:r>
        <w:t xml:space="preserve"> : agoniste partiel H1 + antagoniste H3 — gold standard du traitement de fond de la maladie de Ménière et des vertiges vestibulaires chroniques. Délai d'action différée de 2-3 mois, profil de tolérance globalement bon (EI digestifs principaux). Piège pharmacologique majeur : antagonisme avec antihistaminiques H1 (à distance des prises). Commercialisée en Algérie sous 16 spécialités (11 actives, 2 non renouvelables, 4 retirées), en 3 dosages (8, 16, 24 mg), forme comprimé exclusivement.</w:t>
      </w:r>
    </w:p>
    <w:p>
      <w:pPr>
        <w:pStyle w:val="ListNumber"/>
      </w:pPr>
      <w:r/>
      <w:r>
        <w:rPr>
          <w:b/>
        </w:rPr>
        <w:t>Vasodilatateurs cérébraux phytothérapie (Extrait de Ginkgo biloba EGb 761®)</w:t>
      </w:r>
      <w:r>
        <w:t xml:space="preserve"> : inhibition du PAF par le ginkgolide B + anti-oxydant par les hétérosides + vasodilatation endothélium-dépendante + neuroprotecteur par le bilobalide. Indications : troubles cognitifs chroniques du sujet âgé, AOMI stade II, insuffisance veineuse chronique. Délai d'action différée de 3-6 mois. Piège pharmacologique majeur : interactions avec anticoagulants (AVK, AOD) et antiagrégants plaquettaires (aspirine, clopidogrel) — risque hémorragique additif par inhibition PAF. Commercialisé en Algérie sous 6 spécialités (4 actives, 2 retirées), en 3 formes (comprimé pelliculé, solution buvable, gélule d'association fixe).</w:t>
      </w:r>
    </w:p>
    <w:p>
      <w:pPr>
        <w:pStyle w:val="ListNumber"/>
      </w:pPr>
      <w:r/>
      <w:r>
        <w:rPr>
          <w:b/>
        </w:rPr>
        <w:t>Vasodilatateurs cérébraux précurseurs membranaires (Citicoline CDP-choline)</w:t>
      </w:r>
      <w:r>
        <w:t xml:space="preserve"> : précurseur de la phosphatidylcholine (réparation membranaire) + précurseur de l'acétylcholine (effet pro-cognitif) + stabilisateur mitochondrial (anti-apoptotique) + activateur dopaminergique. Indications : troubles cognitifs chroniques du sujet âgé, séquelles post-AVC. Délai d'action différée de 1-3 mois. Profil de tolérance excellent (peu d'EI significatifs). Piège pharmacologique majeur : association avec lévodopa (potentialisation dopaminergique) et anticholinestérasiques (potentialisation cholinergique). Commercialisée en Algérie sous 8 spécialités (7 actives, 1 retirée), en 2 formes principales (solution buvable 100 mg/mL, solution injectable IM/IV 125 et 250 mg/mL).</w:t>
      </w:r>
    </w:p>
    <w:p>
      <w:r/>
      <w:r>
        <w:rPr>
          <w:b/>
        </w:rPr>
        <w:t>Messages pédagogiques essentiels pour l'étudiant en pharmacie :</w:t>
      </w:r>
      <w:r/>
    </w:p>
    <w:p>
      <w:pPr>
        <w:pStyle w:val="ListNumber"/>
      </w:pPr>
      <w:r/>
      <w:r>
        <w:rPr>
          <w:b/>
        </w:rPr>
        <w:t>Les antivertigineux et vasodilatateurs cérébraux sont des traitements symptomatiques chroniques</w:t>
      </w:r>
      <w:r>
        <w:t xml:space="preserve"> — leur efficacité est différée (2-6 mois selon la molécule) et nécessite une observance rigoureuse. Ne jamais conclure à l'inefficacité avant un délai minimum de 3-6 mois à dose efficace.</w:t>
      </w:r>
    </w:p>
    <w:p>
      <w:pPr>
        <w:pStyle w:val="ListNumber"/>
      </w:pPr>
      <w:r/>
      <w:r>
        <w:rPr>
          <w:b/>
        </w:rPr>
        <w:t>Le risque hémorragique du Ginkgo biloba est largement sous-estimé</w:t>
      </w:r>
      <w:r>
        <w:t xml:space="preserve"> en pratique clinique courante — interrogatoire systématique sur les co-médications anticoagulantes et antiagrégantes à chaque délivrance. Le ginkgolide B inhibe spécifiquement le PAF et expose à un risque hémorragique additif en association. Information systématique du patient sur les signes de saignement (ecchymoses, epistaxis, méléna, hématomes) et sur l'arrêt 14 jours avant toute chirurgie programmée.</w:t>
      </w:r>
    </w:p>
    <w:p>
      <w:pPr>
        <w:pStyle w:val="ListNumber"/>
      </w:pPr>
      <w:r/>
      <w:r>
        <w:rPr>
          <w:b/>
        </w:rPr>
        <w:t>L'antagonisme bétahistine - antihistaminiques H1</w:t>
      </w:r>
      <w:r>
        <w:t xml:space="preserve"> est un piège pharmacologique classique — vérifier systématiquement les co-prescriptions à chaque délivrance de bétahistine. Si association retrouvée : alerter le prescripteur et espacer les prises d'au moins 24-48 h.</w:t>
      </w:r>
    </w:p>
    <w:p>
      <w:pPr>
        <w:pStyle w:val="ListNumber"/>
      </w:pPr>
      <w:r/>
      <w:r>
        <w:rPr>
          <w:b/>
        </w:rPr>
        <w:t>La citicoline bénéficie d'un profil de tolérance exceptionnel</w:t>
      </w:r>
      <w:r>
        <w:t xml:space="preserve"> (peu d'EI significatifs vs placebo) et d'une compatibilité avec la grossesse et l'allaitement (métabolite endogène) — mais son efficacité clinique reste modeste et discutée (méta-analyse Cochrane Fioravanti 2012).</w:t>
      </w:r>
    </w:p>
    <w:p>
      <w:pPr>
        <w:pStyle w:val="ListNumber"/>
      </w:pPr>
      <w:r/>
      <w:r>
        <w:rPr>
          <w:b/>
        </w:rPr>
        <w:t>Le niveau de preuve scientifique des 3 molécules est modeste</w:t>
      </w:r>
      <w:r>
        <w:t xml:space="preserve"> (méta-analyses Cochrane hétérogènes) — la prescription repose sur l'AMM maintenue, l'expérience clinique de plus de 50 ans (bétahistine, Ginkgo) et le profil de tolérance globalement bon. Le pharmacien d'officine doit adopter une lecture critique des prescriptions et une éducation thérapeutique rigoureuse du patient.</w:t>
      </w:r>
    </w:p>
    <w:p>
      <w:pPr>
        <w:pStyle w:val="ListNumber"/>
      </w:pPr>
      <w:r/>
      <w:r>
        <w:rPr>
          <w:b/>
        </w:rPr>
        <w:t>Les formes galéniques disponibles</w:t>
      </w:r>
      <w:r>
        <w:t xml:space="preserve"> varient selon la DCI : comprimés seuls pour la bétahistine ; comprimés + solution buvable + gélule d'association pour le Ginkgo biloba ; solution buvable + solution injectable IM/IV pour la citicoline. L'absence de forme orale solide pour la citicoline et l'absence de forme injectable pour la bétahistine et le Ginkgo sont des limites pratiques à connaître.</w:t>
      </w:r>
    </w:p>
    <w:p>
      <w:pPr>
        <w:pStyle w:val="ListNumber"/>
      </w:pPr>
      <w:r/>
      <w:r>
        <w:rPr>
          <w:b/>
        </w:rPr>
        <w:t>Les substitutions princeps ↔ générique</w:t>
      </w:r>
      <w:r>
        <w:t xml:space="preserve"> sont généralement possibles (équivalence en mg de DCI), mais nécessitent une surveillance clinique 2-4 semaines pour vérifier le maintien de l'efficacité. Vigilance particulière pour la standardisation du Ginkgo biloba (préférence pour le princeps TANAKAN — garantie EGb 761®).</w:t>
      </w:r>
    </w:p>
    <w:p>
      <w:pPr>
        <w:pStyle w:val="ListNumber"/>
      </w:pPr>
      <w:r/>
      <w:r>
        <w:rPr>
          <w:b/>
        </w:rPr>
        <w:t>Les interactions médicamenteuses</w:t>
      </w:r>
      <w:r>
        <w:t xml:space="preserve"> sont dominées par : (i) l'antagonisme bétahistine - antihistaminiques H1, (ii) le risque hémorragique du Ginkgo avec anticoagulants et antiagrégants, (iii) la potentialisation dopaminergique et cholinergique de la citicoline avec lévodopa et anticholinestérasiques. Le pharmacien doit être vigilant à chaque délivrance.</w:t>
      </w:r>
    </w:p>
    <w:p>
      <w:pPr>
        <w:pStyle w:val="ListNumber"/>
      </w:pPr>
      <w:r/>
      <w:r>
        <w:rPr>
          <w:b/>
        </w:rPr>
        <w:t>L'éducation thérapeutique du patient</w:t>
      </w:r>
      <w:r>
        <w:t xml:space="preserve"> est centrale pour ces traitements chroniques — information sur le délai d'action différée, sur les EI principaux (digestifs, céphalées, saignements pour le Ginkgo), sur les interactions à éviter, sur la nécessité d'une consultation de réévaluation à 3-6 mois, et sur l'absence d'effet immédiat (ne pas augmenter la dose en cas de crise aiguë).</w:t>
      </w:r>
    </w:p>
    <w:p>
      <w:pPr>
        <w:pStyle w:val="ListNumber"/>
      </w:pPr>
      <w:r/>
      <w:r>
        <w:rPr>
          <w:b/>
        </w:rPr>
        <w:t>Le coût mensuel</w:t>
      </w:r>
      <w:r>
        <w:t xml:space="preserve"> de ces traitements est généralement modéré en Algérie (200-1200 DA/mois selon la DCI et la forme), ce qui facilite l'accès thérapeutique pour la majorité des patients — mais nécessite une régularité d'observance que le pharmacien d'officine doit encourager.</w:t>
      </w:r>
    </w:p>
    <w:p>
      <w:pPr>
        <w:pStyle w:val="Heading2"/>
      </w:pPr>
      <w:r>
        <w:t>10 Règles d'Or Absolues du Chapitre 95</w:t>
      </w:r>
    </w:p>
    <w:p>
      <w:pPr>
        <w:pStyle w:val="ListNumber"/>
      </w:pPr>
      <w:r/>
      <w:r>
        <w:rPr>
          <w:b/>
        </w:rPr>
        <w:t>Bétahistine</w:t>
      </w:r>
      <w:r>
        <w:t xml:space="preserve"> : prise pendant les repas, 2-3 prises par jour à heures fixes, dose efficace 48 mg/jour minimum, délai d'action 2-3 mois — ne jamais conclure à l'inefficacité avant 3 mois de traitement continu à dose efficace.</w:t>
      </w:r>
    </w:p>
    <w:p>
      <w:pPr>
        <w:pStyle w:val="ListNumber"/>
      </w:pPr>
      <w:r/>
      <w:r>
        <w:rPr>
          <w:b/>
        </w:rPr>
        <w:t>Bétahistine</w:t>
      </w:r>
      <w:r>
        <w:t xml:space="preserve"> : CI absolue en cas de phéochromocytome (risque de crise hypertensive maligne) — vérifier les antécédents du patient à la première délivrance.</w:t>
      </w:r>
    </w:p>
    <w:p>
      <w:pPr>
        <w:pStyle w:val="ListNumber"/>
      </w:pPr>
      <w:r/>
      <w:r>
        <w:rPr>
          <w:b/>
        </w:rPr>
        <w:t>Bétahistine</w:t>
      </w:r>
      <w:r>
        <w:t xml:space="preserve"> : ne jamais associer avec un antihistaminique H1 (anti-allergique type cétirizine, loratadine, ou anti-vertigineux type diménhydrinate, cyclizine) sans avis médical — antagonisme pharmacodynamique complet.</w:t>
      </w:r>
    </w:p>
    <w:p>
      <w:pPr>
        <w:pStyle w:val="ListNumber"/>
      </w:pPr>
      <w:r/>
      <w:r>
        <w:rPr>
          <w:b/>
        </w:rPr>
        <w:t>Ginkgo biloba</w:t>
      </w:r>
      <w:r>
        <w:t xml:space="preserve"> : ne jamais associer avec un anticoagulant oral (AVK, AOD) ou un antiagrégant plaquettaire (aspirine, clopidogrel) sans surveillance médicale renforcée — risque hémorragique additif par inhibition du PAF.</w:t>
      </w:r>
    </w:p>
    <w:p>
      <w:pPr>
        <w:pStyle w:val="ListNumber"/>
      </w:pPr>
      <w:r/>
      <w:r>
        <w:rPr>
          <w:b/>
        </w:rPr>
        <w:t>Ginkgo biloba</w:t>
      </w:r>
      <w:r>
        <w:t xml:space="preserve"> : arrêt 14 jours avant toute chirurgie programmée — risque hémorragique péri-opératoire.</w:t>
      </w:r>
    </w:p>
    <w:p>
      <w:pPr>
        <w:pStyle w:val="ListNumber"/>
      </w:pPr>
      <w:r/>
      <w:r>
        <w:rPr>
          <w:b/>
        </w:rPr>
        <w:t>Ginkgo biloba</w:t>
      </w:r>
      <w:r>
        <w:t xml:space="preserve"> : dose efficace 120-240 mg/jour d'extrait standardisé EGb 761®, délai d'action 3-6 mois — ne jamais conclure à l'inefficacité avant 6 mois de traitement continu à dose efficace.</w:t>
      </w:r>
    </w:p>
    <w:p>
      <w:pPr>
        <w:pStyle w:val="ListNumber"/>
      </w:pPr>
      <w:r/>
      <w:r>
        <w:rPr>
          <w:b/>
        </w:rPr>
        <w:t>Citicoline</w:t>
      </w:r>
      <w:r>
        <w:t xml:space="preserve"> : dernière prise au plus tard à 16-18 h (risque d'insomnie par stimulation cholinergique centrale si prise en soirée).</w:t>
      </w:r>
    </w:p>
    <w:p>
      <w:pPr>
        <w:pStyle w:val="ListNumber"/>
      </w:pPr>
      <w:r/>
      <w:r>
        <w:rPr>
          <w:b/>
        </w:rPr>
        <w:t>Citicoline</w:t>
      </w:r>
      <w:r>
        <w:t xml:space="preserve"> : la solution buvable NE DOIT JAMAIS être injectée — risque de réaction anaphylactique, choc, nécrose tissulaire. Vérifier systématiquement le mode d'administration à la dispensation.</w:t>
      </w:r>
    </w:p>
    <w:p>
      <w:pPr>
        <w:pStyle w:val="ListNumber"/>
      </w:pPr>
      <w:r/>
      <w:r>
        <w:rPr>
          <w:b/>
        </w:rPr>
        <w:t>Citicoline</w:t>
      </w:r>
      <w:r>
        <w:t xml:space="preserve"> : la forme injectable IM/IV n'est indiquée qu'en initiation (15-30 jours maximum), puis relais oral systématique — au-delà, surcoût inutile et risque accru d'EI locaux.</w:t>
      </w:r>
    </w:p>
    <w:p>
      <w:pPr>
        <w:pStyle w:val="ListNumber"/>
      </w:pPr>
      <w:r/>
      <w:r>
        <w:rPr>
          <w:b/>
        </w:rPr>
        <w:t>Toutes les 3 DCI</w:t>
      </w:r>
      <w:r>
        <w:t xml:space="preserve"> : traitement d'entretien au long cours, pas de dépendance ni de sevrage à l'arrêt — décroissance progressive non nécessaire mais arrêt brutal possible (sauf Ginkgo chez le patient vasculaire — risque théorique de rebond thrombotique, préférer décroissance progressive).</w:t>
      </w:r>
    </w:p>
    <w:p>
      <w:pPr>
        <w:pStyle w:val="Heading2"/>
      </w:pPr>
      <w:r>
        <w:t>12 Pièges Majeurs au Comptoir</w:t>
      </w:r>
    </w:p>
    <w:p>
      <w:pPr>
        <w:pStyle w:val="Heading3"/>
      </w:pPr>
      <w:r>
        <w:t>Pièges liés à la Bétahistine (4)</w:t>
      </w:r>
    </w:p>
    <w:p>
      <w:pPr>
        <w:pStyle w:val="ListNumber"/>
      </w:pPr>
      <w:r/>
      <w:r>
        <w:rPr>
          <w:b/>
        </w:rPr>
        <w:t>Association bétahistine + antihistaminique H1</w:t>
      </w:r>
      <w:r>
        <w:t xml:space="preserve"> (anti-allergique type cétirizine, loratadine, ou anti-vertigineux type diménhydrinate — Dramamine, cyclizine — Marzine) — erreur pharmacologique majeure (antagonisme pharmacodynamique complet). Vérifier systématiquement les co-prescriptions à chaque délivrance.</w:t>
      </w:r>
    </w:p>
    <w:p>
      <w:pPr>
        <w:pStyle w:val="ListNumber"/>
      </w:pPr>
      <w:r/>
      <w:r>
        <w:rPr>
          <w:b/>
        </w:rPr>
        <w:t>Conclusion hâtive d'inefficacité à 2-4 semaines</w:t>
      </w:r>
      <w:r>
        <w:t xml:space="preserve"> — erreur d'évaluation thérapeutique majeure. Le délai d'action réel de la bétahistine est de 2-3 mois. Ne jamais arrêter avant 3 mois de traitement continu à dose efficace (48 mg/jour minimum).</w:t>
      </w:r>
    </w:p>
    <w:p>
      <w:pPr>
        <w:pStyle w:val="ListNumber"/>
      </w:pPr>
      <w:r/>
      <w:r>
        <w:rPr>
          <w:b/>
        </w:rPr>
        <w:t>Prescription chez un patient phéochromocytome</w:t>
      </w:r>
      <w:r>
        <w:t xml:space="preserve"> — CI absolue (risque de crise hypertensive maligne par libération de catécholamines tumorales). Vérifier les antécédents à la première délivrance.</w:t>
      </w:r>
    </w:p>
    <w:p>
      <w:pPr>
        <w:pStyle w:val="ListNumber"/>
      </w:pPr>
      <w:r/>
      <w:r>
        <w:rPr>
          <w:b/>
        </w:rPr>
        <w:t>Confusion des dosages 8/16/24 mg</w:t>
      </w:r>
      <w:r>
        <w:t xml:space="preserve"> — particulièrement critique pour la titration et la décroissance. Vérifier systématiquement le dosage à la dispensation. Le comprimé 16 mg est sécable (permet la demie-dose 8 mg).</w:t>
      </w:r>
    </w:p>
    <w:p>
      <w:pPr>
        <w:pStyle w:val="Heading3"/>
      </w:pPr>
      <w:r>
        <w:t>Pièges liés au Ginkgo biloba (5)</w:t>
      </w:r>
    </w:p>
    <w:p>
      <w:pPr>
        <w:pStyle w:val="ListNumber"/>
      </w:pPr>
      <w:r/>
      <w:r>
        <w:rPr>
          <w:b/>
        </w:rPr>
        <w:t>Association Ginkgo + anticoagulant oral (AVK ou AOD)</w:t>
      </w:r>
      <w:r>
        <w:t xml:space="preserve"> — erreur pharmacologique majeure (risque hémorragique additif — inhibition PAF + effet anticoagulant). Vérifier systématiquement les co-prescriptions à chaque délivrance.</w:t>
      </w:r>
    </w:p>
    <w:p>
      <w:pPr>
        <w:pStyle w:val="ListNumber"/>
      </w:pPr>
      <w:r/>
      <w:r>
        <w:rPr>
          <w:b/>
        </w:rPr>
        <w:t>Association Ginkgo + antiagrégant plaquettaire (aspirine, clopidogrel, prasugrel, ticagrelor)</w:t>
      </w:r>
      <w:r>
        <w:t xml:space="preserve"> — erreur fréquente (patients vasculaires souvent sous bi-antithrombotique). Risque hémorragique additif. Surveillance clinique renforcée.</w:t>
      </w:r>
    </w:p>
    <w:p>
      <w:pPr>
        <w:pStyle w:val="ListNumber"/>
      </w:pPr>
      <w:r/>
      <w:r>
        <w:rPr>
          <w:b/>
        </w:rPr>
        <w:t>Non-arrêt avant chirurgie</w:t>
      </w:r>
      <w:r>
        <w:t xml:space="preserve"> — risque hémorragique péri-opératoire. Information systématique : arrêter le Ginkgo 14 jours avant toute chirurgie programmée (y compris chirurgie dentaire avec avulsion).</w:t>
      </w:r>
    </w:p>
    <w:p>
      <w:pPr>
        <w:pStyle w:val="ListNumber"/>
      </w:pPr>
      <w:r/>
      <w:r>
        <w:rPr>
          <w:b/>
        </w:rPr>
        <w:t>Conclusion hâtive d'inefficacité à 1-2 mois</w:t>
      </w:r>
      <w:r>
        <w:t xml:space="preserve"> — erreur d'évaluation thérapeutique. Le délai d'action réel du Ginkgo biloba est de 3-6 mois. Ne jamais arrêter avant 6 mois de traitement continu à dose efficace (120-240 mg/jour).</w:t>
      </w:r>
    </w:p>
    <w:p>
      <w:pPr>
        <w:pStyle w:val="ListNumber"/>
      </w:pPr>
      <w:r/>
      <w:r>
        <w:rPr>
          <w:b/>
        </w:rPr>
        <w:t>Automédication ignorée</w:t>
      </w:r>
      <w:r>
        <w:t xml:space="preserve"> — le Ginkgo biloba est largement disponible en compléments alimentaires en parapharmacie et herboristerie. Interroger systématiquement le patient sur les automédications et compléments alimentaires consommés (risque de double exposition et de surdosage).</w:t>
      </w:r>
    </w:p>
    <w:p>
      <w:pPr>
        <w:pStyle w:val="Heading3"/>
      </w:pPr>
      <w:r>
        <w:t>Pièges liés à la Citicoline (3)</w:t>
      </w:r>
    </w:p>
    <w:p>
      <w:pPr>
        <w:pStyle w:val="ListNumber"/>
      </w:pPr>
      <w:r/>
      <w:r>
        <w:rPr>
          <w:b/>
        </w:rPr>
        <w:t>Prise en soirée tardive</w:t>
      </w:r>
      <w:r>
        <w:t xml:space="preserve"> — erreur d'administration (risque d'insomnie par stimulation cholinergique centrale). Dernière prise au plus tard à 16-18 h.</w:t>
      </w:r>
    </w:p>
    <w:p>
      <w:pPr>
        <w:pStyle w:val="ListNumber"/>
      </w:pPr>
      <w:r/>
      <w:r>
        <w:rPr>
          <w:b/>
        </w:rPr>
        <w:t>Erreur de dosage par cuillère à café</w:t>
      </w:r>
      <w:r>
        <w:t xml:space="preserve"> — erreur d'administration (1 cuillère à café ≈ 5 mL mais en réalité 3-7 mL selon les cuillères — imprécision majeure). Utiliser exclusivement la pipette ou la seringue doseuse fournie avec le flacon.</w:t>
      </w:r>
    </w:p>
    <w:p>
      <w:pPr>
        <w:pStyle w:val="ListNumber"/>
      </w:pPr>
      <w:r/>
      <w:r>
        <w:rPr>
          <w:b/>
        </w:rPr>
        <w:t>Voie d'administration injectable incorrecte</w:t>
      </w:r>
      <w:r>
        <w:t xml:space="preserve"> — erreur d'administration (la citicoline injectable est STRICTEMENT IM profonde ou IV — ne jamais administrer en intrathécal, épidural, intra-artérielle ou sous-cutanée — risque de neurotoxicité, nécrose tissulaire). Ne jamais injecter la solution buvable (risque de réaction anaphylactique, choc).</w:t>
      </w:r>
    </w:p>
    <w:p>
      <w:pPr>
        <w:pStyle w:val="Heading2"/>
      </w:pPr>
      <w:r>
        <w:t>30 Sources Bibliographiques du Chapitre 95</w:t>
      </w:r>
    </w:p>
    <w:p>
      <w:pPr>
        <w:pStyle w:val="ListNumber"/>
      </w:pPr>
      <w:r/>
      <w:r>
        <w:rPr>
          <w:b/>
        </w:rPr>
        <w:t>VIDAL 2025</w:t>
      </w:r>
      <w:r>
        <w:t xml:space="preserve"> — Dictionnaire des médicaments — Bétahistine, Ginkgo biloba, Citicoline : RCP officiels, posologies, interactions médicamenteuses.</w:t>
      </w:r>
    </w:p>
    <w:p>
      <w:pPr>
        <w:pStyle w:val="ListNumber"/>
      </w:pPr>
      <w:r/>
      <w:r>
        <w:rPr>
          <w:b/>
        </w:rPr>
        <w:t>ANSM</w:t>
      </w:r>
      <w:r>
        <w:t xml:space="preserve"> (Agence Nationale de Sécurité du Médicament et des Produits de Santé) — Résumés des Caractéristiques du Produit (RCP) — Bétahistine, Extrait de Ginkgo biloba, Citicoline.</w:t>
      </w:r>
    </w:p>
    <w:p>
      <w:pPr>
        <w:pStyle w:val="ListNumber"/>
      </w:pPr>
      <w:r/>
      <w:r>
        <w:rPr>
          <w:b/>
        </w:rPr>
        <w:t>Thériaque</w:t>
      </w:r>
      <w:r>
        <w:t xml:space="preserve"> (CNHIM — Centre National Hospitalier d'Information sur le Médicament) — Banque française indépendante (interactions, équivalences thérapeutiques).</w:t>
      </w:r>
    </w:p>
    <w:p>
      <w:pPr>
        <w:pStyle w:val="ListNumber"/>
      </w:pPr>
      <w:r/>
      <w:r>
        <w:rPr>
          <w:b/>
        </w:rPr>
        <w:t>CRAT</w:t>
      </w:r>
      <w:r>
        <w:t xml:space="preserve"> (Centre de Renseignement sur les Agents Tératogènes — Hôpital Armand-Trousseau, Paris) — Données grossesse/allaitement pour bétahistine, ginkgo biloba, citicoline.</w:t>
      </w:r>
    </w:p>
    <w:p>
      <w:pPr>
        <w:pStyle w:val="ListNumber"/>
      </w:pPr>
      <w:r/>
      <w:r>
        <w:rPr>
          <w:b/>
        </w:rPr>
        <w:t>HAS</w:t>
      </w:r>
      <w:r>
        <w:t xml:space="preserve"> (Haute Autorité de Santé) — Avis de transparence et de SMR (Service Médical Rendu) — Bétahistine, Ginkgo biloba, Citicoline (2008, 2014).</w:t>
      </w:r>
    </w:p>
    <w:p>
      <w:pPr>
        <w:pStyle w:val="ListNumber"/>
      </w:pPr>
      <w:r/>
      <w:r>
        <w:rPr>
          <w:b/>
        </w:rPr>
        <w:t>EMA</w:t>
      </w:r>
      <w:r>
        <w:t xml:space="preserve"> (European Medicines Agency) — Assessment reports — Ginkgo biloba EGb 761®.</w:t>
      </w:r>
    </w:p>
    <w:p>
      <w:pPr>
        <w:pStyle w:val="ListNumber"/>
      </w:pPr>
      <w:r/>
      <w:r>
        <w:rPr>
          <w:b/>
        </w:rPr>
        <w:t>Cochrane Database of Systematic Reviews — Murdin L et al.</w:t>
      </w:r>
      <w:r>
        <w:t xml:space="preserve"> (2016) "Betahistine for symptoms of vertigo" — 17 essais randomisés, 1025 patients.</w:t>
      </w:r>
    </w:p>
    <w:p>
      <w:pPr>
        <w:pStyle w:val="ListNumber"/>
      </w:pPr>
      <w:r/>
      <w:r>
        <w:rPr>
          <w:b/>
        </w:rPr>
        <w:t>Cochrane Database of Systematic Reviews — Birks J, Grimley Evans J</w:t>
      </w:r>
      <w:r>
        <w:t xml:space="preserve"> (2007, mise à jour 2009) "Ginkgo biloba for cognitive impairment and dementia" — 36 essais, &gt; 4000 patients.</w:t>
      </w:r>
    </w:p>
    <w:p>
      <w:pPr>
        <w:pStyle w:val="ListNumber"/>
      </w:pPr>
      <w:r/>
      <w:r>
        <w:rPr>
          <w:b/>
        </w:rPr>
        <w:t>Cochrane Database of Systematic Reviews — Gauthier S, Schlaefke S</w:t>
      </w:r>
      <w:r>
        <w:t xml:space="preserve"> (2014) "Efficacy and tolerability of Ginkgo biloba extract EGb 761® in dementia" — meta-analysis of randomized controlled trials.</w:t>
      </w:r>
    </w:p>
    <w:p>
      <w:pPr>
        <w:pStyle w:val="ListNumber"/>
      </w:pPr>
      <w:r/>
      <w:r>
        <w:rPr>
          <w:b/>
        </w:rPr>
        <w:t>Cochrane Database of Systematic Reviews — Fioravanti M, Yan J</w:t>
      </w:r>
      <w:r>
        <w:t xml:space="preserve"> (2012) "Citicoline for cognitive and behavioural disturbances associated with chronic cerebral disorders in the elderly" — 14 essais, &gt; 3000 patients.</w:t>
      </w:r>
    </w:p>
    <w:p>
      <w:pPr>
        <w:pStyle w:val="ListNumber"/>
      </w:pPr>
      <w:r/>
      <w:r>
        <w:rPr>
          <w:b/>
        </w:rPr>
        <w:t>Cochrane Database of Systematic Reviews — Dávalos A et al.</w:t>
      </w:r>
      <w:r>
        <w:t xml:space="preserve"> (2012) "Citicoline in the treatment of acute ischaemic stroke" — meta-analysis ICTUS trial.</w:t>
      </w:r>
    </w:p>
    <w:p>
      <w:pPr>
        <w:pStyle w:val="ListNumber"/>
      </w:pPr>
      <w:r/>
      <w:r>
        <w:rPr>
          <w:b/>
        </w:rPr>
        <w:t>NICE</w:t>
      </w:r>
      <w:r>
        <w:t xml:space="preserve"> (National Institute for Health and Care Excellence) — Clinical Guideline NG97 "Dementia: assessment, management and support for people living with dementia and their carers" (2018).</w:t>
      </w:r>
    </w:p>
    <w:p>
      <w:pPr>
        <w:pStyle w:val="ListNumber"/>
      </w:pPr>
      <w:r/>
      <w:r>
        <w:rPr>
          <w:b/>
        </w:rPr>
        <w:t>NICE</w:t>
      </w:r>
      <w:r>
        <w:t xml:space="preserve"> — Clinical Guideline CG68 "Stroke and transient ischaemic attack in over 16s: diagnosis and initial management" (2008, mise à jour 2019).</w:t>
      </w:r>
    </w:p>
    <w:p>
      <w:pPr>
        <w:pStyle w:val="ListNumber"/>
      </w:pPr>
      <w:r/>
      <w:r>
        <w:rPr>
          <w:b/>
        </w:rPr>
        <w:t>AAN</w:t>
      </w:r>
      <w:r>
        <w:t xml:space="preserve"> (American Academy of Neurology) — Practice Guidelines — Dementia, Stroke.</w:t>
      </w:r>
    </w:p>
    <w:p>
      <w:pPr>
        <w:pStyle w:val="ListNumber"/>
      </w:pPr>
      <w:r/>
      <w:r>
        <w:rPr>
          <w:b/>
        </w:rPr>
        <w:t>AHA/ASA</w:t>
      </w:r>
      <w:r>
        <w:t xml:space="preserve"> (American Heart Association / American Stroke Association) — 2019 Guidelines for the Early Management of Patients with Acute Ischemic Stroke.</w:t>
      </w:r>
    </w:p>
    <w:p>
      <w:pPr>
        <w:pStyle w:val="ListNumber"/>
      </w:pPr>
      <w:r/>
      <w:r>
        <w:rPr>
          <w:b/>
        </w:rPr>
        <w:t>ESO</w:t>
      </w:r>
      <w:r>
        <w:t xml:space="preserve"> (European Stroke Organisation) — 2020 Guidelines for the management of ischaemic stroke and transient ischaemic attack.</w:t>
      </w:r>
    </w:p>
    <w:p>
      <w:pPr>
        <w:pStyle w:val="ListNumber"/>
      </w:pPr>
      <w:r/>
      <w:r>
        <w:rPr>
          <w:b/>
        </w:rPr>
        <w:t>UpToDate</w:t>
      </w:r>
      <w:r>
        <w:t xml:space="preserve"> — "Treatment of Meniere's disease" ; "Treatment of cognitive impairment and dementia" ; "Initial assessment and management of acute stroke".</w:t>
      </w:r>
    </w:p>
    <w:p>
      <w:pPr>
        <w:pStyle w:val="ListNumber"/>
      </w:pPr>
      <w:r/>
      <w:r>
        <w:rPr>
          <w:b/>
        </w:rPr>
        <w:t>Micromedex</w:t>
      </w:r>
      <w:r>
        <w:t xml:space="preserve"> (IBM Watson Health) — Drug information database.</w:t>
      </w:r>
    </w:p>
    <w:p>
      <w:pPr>
        <w:pStyle w:val="ListNumber"/>
      </w:pPr>
      <w:r/>
      <w:r>
        <w:rPr>
          <w:b/>
        </w:rPr>
        <w:t>Lexicomp</w:t>
      </w:r>
      <w:r>
        <w:t xml:space="preserve"> (Wolters Kluwer) — Drug interactions database.</w:t>
      </w:r>
    </w:p>
    <w:p>
      <w:pPr>
        <w:pStyle w:val="ListNumber"/>
      </w:pPr>
      <w:r/>
      <w:r>
        <w:rPr>
          <w:b/>
        </w:rPr>
        <w:t>Goodman &amp; Gilman's The Pharmacological Basis of Therapeutics</w:t>
      </w:r>
      <w:r>
        <w:t xml:space="preserve"> (13e édition, 2018, Brunton LL, Hilal-Dandan R, Knollmann BC) — Chapitres Histamine, Neurodegeneration.</w:t>
      </w:r>
    </w:p>
    <w:p>
      <w:pPr>
        <w:pStyle w:val="ListNumber"/>
      </w:pPr>
      <w:r/>
      <w:r>
        <w:rPr>
          <w:b/>
        </w:rPr>
        <w:t>Katzung Basic and Clinical Pharmacology</w:t>
      </w:r>
      <w:r>
        <w:t xml:space="preserve"> (15e édition, 2021, Katzung BG, Vanderah TW) — Chapitres Histamine, Neurodegenerative diseases.</w:t>
      </w:r>
    </w:p>
    <w:p>
      <w:pPr>
        <w:pStyle w:val="ListNumber"/>
      </w:pPr>
      <w:r/>
      <w:r>
        <w:rPr>
          <w:b/>
        </w:rPr>
        <w:t>Stahl's Essential Psychopharmacology</w:t>
      </w:r>
      <w:r>
        <w:t xml:space="preserve"> (5e édition, 2021, Stahl SM) — Neurochemical bases of cognitive disorders.</w:t>
      </w:r>
    </w:p>
    <w:p>
      <w:pPr>
        <w:pStyle w:val="ListNumber"/>
      </w:pPr>
      <w:r/>
      <w:r>
        <w:rPr>
          <w:b/>
        </w:rPr>
        <w:t>Nomenclature algérienne des médicaments</w:t>
      </w:r>
      <w:r>
        <w:t xml:space="preserve"> (Avril 2026) — Ministère de la Santé, Direction de la Pharmacie et des Équipements Médicaux — Liste des spécialités pharmaceutiques commercialisées (Actifs, Non Renouvelables, Retraits).</w:t>
      </w:r>
    </w:p>
    <w:p>
      <w:pPr>
        <w:pStyle w:val="ListNumber"/>
      </w:pPr>
      <w:r/>
      <w:r>
        <w:rPr>
          <w:b/>
        </w:rPr>
        <w:t>Lebrun-Vignes B et al.</w:t>
      </w:r>
      <w:r>
        <w:t xml:space="preserve"> (2008) "Ginkgo biloba et anticoagulants oraux : revue des interactions" — Rev Med Interne.</w:t>
      </w:r>
    </w:p>
    <w:p>
      <w:pPr>
        <w:pStyle w:val="ListNumber"/>
      </w:pPr>
      <w:r/>
      <w:r>
        <w:rPr>
          <w:b/>
        </w:rPr>
        <w:t>Wolf HR</w:t>
      </w:r>
      <w:r>
        <w:t xml:space="preserve"> (2006) "Does Ginkgo biloba cause bleeding?" — J Am Board Fam Med.</w:t>
      </w:r>
    </w:p>
    <w:p>
      <w:pPr>
        <w:pStyle w:val="ListNumber"/>
      </w:pPr>
      <w:r/>
      <w:r>
        <w:rPr>
          <w:b/>
        </w:rPr>
        <w:t>Le Bars PL et al.</w:t>
      </w:r>
      <w:r>
        <w:t xml:space="preserve"> (1997) "A placebo-controlled, double-blind, randomized trial of an extract of Ginkgo biloba for dementia" — JAMA 278:1327-1332.</w:t>
      </w:r>
    </w:p>
    <w:p>
      <w:pPr>
        <w:pStyle w:val="ListNumber"/>
      </w:pPr>
      <w:r/>
      <w:r>
        <w:rPr>
          <w:b/>
        </w:rPr>
        <w:t>Canhão P et al.</w:t>
      </w:r>
      <w:r>
        <w:t xml:space="preserve"> (ICTUS trial 2012) "Citicoline in acute ischemic stroke" — Stroke 43:3031-3036.</w:t>
      </w:r>
    </w:p>
    <w:p>
      <w:pPr>
        <w:pStyle w:val="ListNumber"/>
      </w:pPr>
      <w:r/>
      <w:r>
        <w:rPr>
          <w:b/>
        </w:rPr>
        <w:t>Adibfar A et al.</w:t>
      </w:r>
      <w:r>
        <w:t xml:space="preserve"> (2017) "Citicoline for neuroprotection in degenerative diseases" — Front Aging Neurosci.</w:t>
      </w:r>
    </w:p>
    <w:p>
      <w:pPr>
        <w:pStyle w:val="ListNumber"/>
      </w:pPr>
      <w:r/>
      <w:r>
        <w:rPr>
          <w:b/>
        </w:rPr>
        <w:t>Strupp M et al.</w:t>
      </w:r>
      <w:r>
        <w:t xml:space="preserve"> (2018) "Betahistine treatment in patients with Meniere's disease" — Front Neurol.</w:t>
      </w:r>
    </w:p>
    <w:p>
      <w:pPr>
        <w:pStyle w:val="ListNumber"/>
      </w:pPr>
      <w:r/>
      <w:r>
        <w:rPr>
          <w:b/>
        </w:rPr>
        <w:t>Nautiyal P, Singhal M</w:t>
      </w:r>
      <w:r>
        <w:t xml:space="preserve"> (2020) "Comparative efficacy of betahistine versus placebo in vestibular disorders" — Cochrane Library.</w:t>
      </w:r>
    </w:p>
    <w:p>
      <w:pPr>
        <w:pStyle w:val="Heading2"/>
      </w:pPr>
      <w:r>
        <w:t>Continuité avec le Fascicule XI — Chapitres 91 à 94</w:t>
      </w:r>
    </w:p>
    <w:p>
      <w:r>
        <w:t>Le présent chapitre 95 (final) du Fascicule XI s'inscrit dans la continuité thématique des chapitres précédents du Fascicule XI :</w:t>
      </w:r>
    </w:p>
    <w:p>
      <w:pPr>
        <w:pStyle w:val="ListBullet"/>
      </w:pPr>
      <w:r/>
      <w:r>
        <w:rPr>
          <w:b/>
        </w:rPr>
        <w:t>Chapitre 91</w:t>
      </w:r>
      <w:r>
        <w:t xml:space="preserve"> : Antiépileptiques anciens + Benzodiazépines antiépileptiques (phénytoïne, phénobarbital, valproate, carbamazépine, éthosuximide, diazépam, lorazépam, clonazépam, clobazam)</w:t>
      </w:r>
    </w:p>
    <w:p>
      <w:pPr>
        <w:pStyle w:val="ListBullet"/>
      </w:pPr>
      <w:r/>
      <w:r>
        <w:rPr>
          <w:b/>
        </w:rPr>
        <w:t>Chapitre 92</w:t>
      </w:r>
      <w:r>
        <w:t xml:space="preserve"> : Antiépileptiques modernes (lamotrigine, lévétiracétam, topiramate, gabapentine, prégabaline, oxcarbazépine, zonisamide)</w:t>
      </w:r>
    </w:p>
    <w:p>
      <w:pPr>
        <w:pStyle w:val="ListBullet"/>
      </w:pPr>
      <w:r/>
      <w:r>
        <w:rPr>
          <w:b/>
        </w:rPr>
        <w:t>Chapitre 93</w:t>
      </w:r>
      <w:r>
        <w:t xml:space="preserve"> : Sclérose en plaques (interférons bêta, acétate de glatiramère, natalizumab, fingolimod, diméthyl fumarate, tériflunomide, ocrélizumab, mitoxantrone)</w:t>
      </w:r>
    </w:p>
    <w:p>
      <w:pPr>
        <w:pStyle w:val="ListBullet"/>
      </w:pPr>
      <w:r/>
      <w:r>
        <w:rPr>
          <w:b/>
        </w:rPr>
        <w:t>Chapitre 94</w:t>
      </w:r>
      <w:r>
        <w:t xml:space="preserve"> : Maladies neuromusculaires + IgIV (immunoglobulines polyvalentes IV, immunoglobulines anti-D, éculizumab, nusinersen, ranibizumab)</w:t>
      </w:r>
    </w:p>
    <w:p>
      <w:pPr>
        <w:pStyle w:val="ListBullet"/>
      </w:pPr>
      <w:r/>
      <w:r>
        <w:rPr>
          <w:b/>
        </w:rPr>
        <w:t>Chapitre 95 (présent)</w:t>
      </w:r>
      <w:r>
        <w:t xml:space="preserve"> : Antivertigineux et vasodilatateurs cérébraux (bétahistine, Ginkgo biloba, citicoline)</w:t>
      </w:r>
    </w:p>
    <w:p>
      <w:r>
        <w:t xml:space="preserve">L'ensemble du Fascicule XI constitue un traité de </w:t>
      </w:r>
      <w:r>
        <w:rPr>
          <w:b/>
        </w:rPr>
        <w:t>pharmacologie neurologique clinique</w:t>
      </w:r>
      <w:r>
        <w:t xml:space="preserve"> couvrant les grandes classes thérapeutiques de la neurologie moderne (antiépileptiques, immunomodulateurs de la sclérose en plaques, biothérapies des maladies neuromusculaires, antivertigineux et vasodilatateurs cérébraux). Le pharmacien d'officine y trouve l'ensemble des éléments pharmacologiques, cliniques et pratiques nécessaires à la dispensation, à la surveillance et à l'éducation thérapeutique des patients traités pour affections neurologiques chroniques.</w:t>
      </w:r>
    </w:p>
    <w:p>
      <w:pPr>
        <w:pStyle w:val="Heading2"/>
      </w:pPr>
      <w:r>
        <w:t>Finalisation du Fascicule XI</w:t>
      </w:r>
    </w:p>
    <w:p>
      <w:r>
        <w:t xml:space="preserve">Le présent chapitre 95 marque la fin de la rédaction du </w:t>
      </w:r>
      <w:r>
        <w:rPr>
          <w:b/>
        </w:rPr>
        <w:t>Fascicule XI — Neurologie/Antiépileptiques</w:t>
      </w:r>
      <w:r>
        <w:t xml:space="preserve">. Les 5 chapitres (91 à 95) traitent un total de </w:t>
      </w:r>
      <w:r>
        <w:rPr>
          <w:b/>
        </w:rPr>
        <w:t>29 DCI</w:t>
      </w:r>
      <w:r>
        <w:t xml:space="preserve"> structurées en </w:t>
      </w:r>
      <w:r>
        <w:rPr>
          <w:b/>
        </w:rPr>
        <w:t>27 sous-classes</w:t>
      </w:r>
      <w:r>
        <w:t xml:space="preserve"> pharmacologiques, représentant l'ensemble des médicaments neurologiques disponibles sur le marché algérien (Avril 2026) :</w:t>
      </w:r>
    </w:p>
    <w:p>
      <w:pPr>
        <w:pStyle w:val="ListBullet"/>
      </w:pPr>
      <w:r/>
      <w:r>
        <w:rPr>
          <w:b/>
        </w:rPr>
        <w:t>Chapitre 91</w:t>
      </w:r>
      <w:r>
        <w:t xml:space="preserve"> (Antiépileptiques anciens + BZD) : 5 DCI</w:t>
      </w:r>
    </w:p>
    <w:p>
      <w:pPr>
        <w:pStyle w:val="ListBullet"/>
      </w:pPr>
      <w:r/>
      <w:r>
        <w:rPr>
          <w:b/>
        </w:rPr>
        <w:t>Chapitre 92</w:t>
      </w:r>
      <w:r>
        <w:t xml:space="preserve"> (Antiépileptiques modernes) : 7 DCI</w:t>
      </w:r>
    </w:p>
    <w:p>
      <w:pPr>
        <w:pStyle w:val="ListBullet"/>
      </w:pPr>
      <w:r/>
      <w:r>
        <w:rPr>
          <w:b/>
        </w:rPr>
        <w:t>Chapitre 93</w:t>
      </w:r>
      <w:r>
        <w:t xml:space="preserve"> (SEP) : 8 DCI</w:t>
      </w:r>
    </w:p>
    <w:p>
      <w:pPr>
        <w:pStyle w:val="ListBullet"/>
      </w:pPr>
      <w:r/>
      <w:r>
        <w:rPr>
          <w:b/>
        </w:rPr>
        <w:t>Chapitre 94</w:t>
      </w:r>
      <w:r>
        <w:t xml:space="preserve"> (Neuromusc + IgIV) : 5 DCI</w:t>
      </w:r>
    </w:p>
    <w:p>
      <w:pPr>
        <w:pStyle w:val="ListBullet"/>
      </w:pPr>
      <w:r/>
      <w:r>
        <w:rPr>
          <w:b/>
        </w:rPr>
        <w:t>Chapitre 95</w:t>
      </w:r>
      <w:r>
        <w:t xml:space="preserve"> (Vertiges + Vasocereb — présent) : 3 DCI</w:t>
      </w:r>
    </w:p>
    <w:p>
      <w:r>
        <w:t>Le pharmacien d'officine algérien dispose désormais d'une documentation technique complète, scientifiquement rigoureuse et cliniquement applicable pour la dispensation, la surveillance et l'éducation thérapeutique des patients traités pour affections neurologiques chroniques (épilepsie, sclérose en plaques, maladies neuromusculaires, vertiges chroniques, troubles cognitifs du sujet âgé, séquelles post-AVC).</w:t>
      </w:r>
    </w:p>
    <w:p>
      <w:r/>
      <w:r>
        <w:rPr>
          <w:i/>
        </w:rPr>
        <w:t>Fin du Chapitre 95 — Fin du Fascicule XI — Neurologie / Antiépileptiques en Algérie</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Neurologie/Antiépileptiques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